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3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3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3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2</w:t>
      </w:r>
    </w:p>
    <w:p>
      <w:pPr>
        <w:pStyle w:val="3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pPr>
        <w:pStyle w:val="3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4</w:t>
      </w:r>
    </w:p>
    <w:p>
      <w:pPr>
        <w:pStyle w:val="3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34"/>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7</w:t>
      </w:r>
    </w:p>
    <w:p>
      <w:pPr>
        <w:pStyle w:val="3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8</w:t>
      </w:r>
    </w:p>
    <w:p>
      <w:pPr>
        <w:pStyle w:val="3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9</w:t>
      </w:r>
    </w:p>
    <w:p>
      <w:pPr>
        <w:pStyle w:val="3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p>
    <w:p>
      <w:pPr>
        <w:rPr>
          <w:rFonts w:hint="default" w:eastAsia="宋体"/>
          <w:lang w:val="en-US" w:eastAsia="zh-CN"/>
        </w:rPr>
        <w:sectPr>
          <w:pgSz w:w="16840" w:h="11900" w:orient="landscape"/>
          <w:pgMar w:top="1587" w:right="1134" w:bottom="1361" w:left="1134" w:header="720" w:footer="720" w:gutter="0"/>
          <w:pgNumType w:start="1"/>
          <w:cols w:space="720" w:num="1"/>
        </w:sectPr>
      </w:pPr>
      <w:r>
        <w:fldChar w:fldCharType="end"/>
      </w:r>
      <w:r>
        <w:rPr>
          <w:rFonts w:hint="eastAsia" w:eastAsia="宋体"/>
          <w:lang w:val="en-US" w:eastAsia="zh-CN"/>
        </w:rPr>
        <w:t xml:space="preserve">       </w:t>
      </w:r>
    </w:p>
    <w:p>
      <w:pPr>
        <w:ind w:firstLine="5760" w:firstLineChars="1600"/>
        <w:jc w:val="both"/>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2126"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1639.18</w:t>
            </w:r>
          </w:p>
        </w:tc>
        <w:tc>
          <w:tcPr>
            <w:tcW w:w="4535" w:type="dxa"/>
            <w:vAlign w:val="center"/>
          </w:tcPr>
          <w:p>
            <w:pPr>
              <w:pStyle w:val="10"/>
            </w:pPr>
            <w:r>
              <w:t>一、一般公共服务支出</w:t>
            </w:r>
          </w:p>
        </w:tc>
        <w:tc>
          <w:tcPr>
            <w:tcW w:w="2126" w:type="dxa"/>
            <w:vAlign w:val="center"/>
          </w:tcPr>
          <w:p>
            <w:pPr>
              <w:pStyle w:val="9"/>
            </w:pPr>
            <w:r>
              <w:t>190.04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二十六、年初预留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1639.18</w:t>
            </w:r>
          </w:p>
        </w:tc>
        <w:tc>
          <w:tcPr>
            <w:tcW w:w="4535" w:type="dxa"/>
            <w:vAlign w:val="center"/>
          </w:tcPr>
          <w:p>
            <w:pPr>
              <w:pStyle w:val="12"/>
            </w:pPr>
            <w:r>
              <w:t>本年支出合计</w:t>
            </w:r>
          </w:p>
        </w:tc>
        <w:tc>
          <w:tcPr>
            <w:tcW w:w="2126" w:type="dxa"/>
            <w:vAlign w:val="center"/>
          </w:tcPr>
          <w:p>
            <w:pPr>
              <w:pStyle w:val="13"/>
            </w:pPr>
            <w:r>
              <w:t>1639.18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1639.18</w:t>
            </w:r>
          </w:p>
        </w:tc>
        <w:tc>
          <w:tcPr>
            <w:tcW w:w="4535" w:type="dxa"/>
            <w:vAlign w:val="center"/>
          </w:tcPr>
          <w:p>
            <w:pPr>
              <w:pStyle w:val="12"/>
            </w:pPr>
            <w:r>
              <w:t>支出总计</w:t>
            </w:r>
          </w:p>
        </w:tc>
        <w:tc>
          <w:tcPr>
            <w:tcW w:w="2126" w:type="dxa"/>
            <w:vAlign w:val="center"/>
          </w:tcPr>
          <w:p>
            <w:pPr>
              <w:pStyle w:val="13"/>
            </w:pPr>
            <w:r>
              <w:t>1639.18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1639.18</w:t>
            </w:r>
          </w:p>
        </w:tc>
        <w:tc>
          <w:tcPr>
            <w:tcW w:w="1134" w:type="dxa"/>
            <w:vAlign w:val="center"/>
          </w:tcPr>
          <w:p>
            <w:pPr>
              <w:pStyle w:val="13"/>
            </w:pPr>
            <w:r>
              <w:t>1639.18</w:t>
            </w:r>
          </w:p>
        </w:tc>
        <w:tc>
          <w:tcPr>
            <w:tcW w:w="1134" w:type="dxa"/>
            <w:vAlign w:val="center"/>
          </w:tcPr>
          <w:p>
            <w:pPr>
              <w:pStyle w:val="13"/>
            </w:pPr>
            <w:r>
              <w:t>1639.18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20134</w:t>
            </w:r>
          </w:p>
        </w:tc>
        <w:tc>
          <w:tcPr>
            <w:tcW w:w="1559" w:type="dxa"/>
            <w:vAlign w:val="center"/>
          </w:tcPr>
          <w:p>
            <w:pPr>
              <w:pStyle w:val="10"/>
            </w:pPr>
            <w:r>
              <w:t>统战事务</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2013401</w:t>
            </w:r>
          </w:p>
        </w:tc>
        <w:tc>
          <w:tcPr>
            <w:tcW w:w="1559" w:type="dxa"/>
            <w:vAlign w:val="center"/>
          </w:tcPr>
          <w:p>
            <w:pPr>
              <w:pStyle w:val="10"/>
            </w:pPr>
            <w:r>
              <w:t>行政运行</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r>
              <w:t>190.04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r>
              <w:t>8.80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r>
              <w:t>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216</w:t>
            </w:r>
          </w:p>
        </w:tc>
        <w:tc>
          <w:tcPr>
            <w:tcW w:w="1559" w:type="dxa"/>
            <w:vAlign w:val="center"/>
          </w:tcPr>
          <w:p>
            <w:pPr>
              <w:pStyle w:val="10"/>
            </w:pPr>
            <w:r>
              <w:t>商业服务业等支出</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21602</w:t>
            </w:r>
          </w:p>
        </w:tc>
        <w:tc>
          <w:tcPr>
            <w:tcW w:w="1559" w:type="dxa"/>
            <w:vAlign w:val="center"/>
          </w:tcPr>
          <w:p>
            <w:pPr>
              <w:pStyle w:val="10"/>
            </w:pPr>
            <w:r>
              <w:t>商业流通事务</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2160219</w:t>
            </w:r>
          </w:p>
        </w:tc>
        <w:tc>
          <w:tcPr>
            <w:tcW w:w="1559" w:type="dxa"/>
            <w:vAlign w:val="center"/>
          </w:tcPr>
          <w:p>
            <w:pPr>
              <w:pStyle w:val="10"/>
            </w:pPr>
            <w:r>
              <w:t>民贸民品贷款贴息</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r>
              <w:t>1429.00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r>
              <w:t>7.40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1639.18</w:t>
            </w:r>
          </w:p>
        </w:tc>
        <w:tc>
          <w:tcPr>
            <w:tcW w:w="1361" w:type="dxa"/>
            <w:vAlign w:val="center"/>
          </w:tcPr>
          <w:p>
            <w:pPr>
              <w:pStyle w:val="13"/>
            </w:pPr>
            <w:r>
              <w:t>108.04</w:t>
            </w:r>
          </w:p>
        </w:tc>
        <w:tc>
          <w:tcPr>
            <w:tcW w:w="1361" w:type="dxa"/>
            <w:vAlign w:val="center"/>
          </w:tcPr>
          <w:p>
            <w:pPr>
              <w:pStyle w:val="13"/>
            </w:pPr>
            <w:r>
              <w:t>1531.14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6" w:type="dxa"/>
            <w:vAlign w:val="center"/>
          </w:tcPr>
          <w:p>
            <w:pPr>
              <w:pStyle w:val="10"/>
            </w:pPr>
            <w:r>
              <w:t>一般公共服务支出</w:t>
            </w:r>
          </w:p>
        </w:tc>
        <w:tc>
          <w:tcPr>
            <w:tcW w:w="1361" w:type="dxa"/>
            <w:vAlign w:val="center"/>
          </w:tcPr>
          <w:p>
            <w:pPr>
              <w:pStyle w:val="9"/>
            </w:pPr>
            <w:r>
              <w:t>190.04</w:t>
            </w:r>
          </w:p>
        </w:tc>
        <w:tc>
          <w:tcPr>
            <w:tcW w:w="1361" w:type="dxa"/>
            <w:vAlign w:val="center"/>
          </w:tcPr>
          <w:p>
            <w:pPr>
              <w:pStyle w:val="9"/>
            </w:pPr>
            <w:r>
              <w:t>87.90</w:t>
            </w:r>
          </w:p>
        </w:tc>
        <w:tc>
          <w:tcPr>
            <w:tcW w:w="1361" w:type="dxa"/>
            <w:vAlign w:val="center"/>
          </w:tcPr>
          <w:p>
            <w:pPr>
              <w:pStyle w:val="9"/>
            </w:pPr>
            <w:r>
              <w:t>102.14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20134</w:t>
            </w:r>
          </w:p>
        </w:tc>
        <w:tc>
          <w:tcPr>
            <w:tcW w:w="4536" w:type="dxa"/>
            <w:vAlign w:val="center"/>
          </w:tcPr>
          <w:p>
            <w:pPr>
              <w:pStyle w:val="10"/>
            </w:pPr>
            <w:r>
              <w:t>统战事务</w:t>
            </w:r>
          </w:p>
        </w:tc>
        <w:tc>
          <w:tcPr>
            <w:tcW w:w="1361" w:type="dxa"/>
            <w:vAlign w:val="center"/>
          </w:tcPr>
          <w:p>
            <w:pPr>
              <w:pStyle w:val="9"/>
            </w:pPr>
            <w:r>
              <w:t>190.04</w:t>
            </w:r>
          </w:p>
        </w:tc>
        <w:tc>
          <w:tcPr>
            <w:tcW w:w="1361" w:type="dxa"/>
            <w:vAlign w:val="center"/>
          </w:tcPr>
          <w:p>
            <w:pPr>
              <w:pStyle w:val="9"/>
            </w:pPr>
            <w:r>
              <w:t>87.90</w:t>
            </w:r>
          </w:p>
        </w:tc>
        <w:tc>
          <w:tcPr>
            <w:tcW w:w="1361" w:type="dxa"/>
            <w:vAlign w:val="center"/>
          </w:tcPr>
          <w:p>
            <w:pPr>
              <w:pStyle w:val="9"/>
            </w:pPr>
            <w:r>
              <w:t>102.14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2013401</w:t>
            </w:r>
          </w:p>
        </w:tc>
        <w:tc>
          <w:tcPr>
            <w:tcW w:w="4536" w:type="dxa"/>
            <w:vAlign w:val="center"/>
          </w:tcPr>
          <w:p>
            <w:pPr>
              <w:pStyle w:val="10"/>
            </w:pPr>
            <w:r>
              <w:t>行政运行</w:t>
            </w:r>
          </w:p>
        </w:tc>
        <w:tc>
          <w:tcPr>
            <w:tcW w:w="1361" w:type="dxa"/>
            <w:vAlign w:val="center"/>
          </w:tcPr>
          <w:p>
            <w:pPr>
              <w:pStyle w:val="9"/>
            </w:pPr>
            <w:r>
              <w:t>190.04</w:t>
            </w:r>
          </w:p>
        </w:tc>
        <w:tc>
          <w:tcPr>
            <w:tcW w:w="1361" w:type="dxa"/>
            <w:vAlign w:val="center"/>
          </w:tcPr>
          <w:p>
            <w:pPr>
              <w:pStyle w:val="9"/>
            </w:pPr>
            <w:r>
              <w:t>87.90</w:t>
            </w:r>
          </w:p>
        </w:tc>
        <w:tc>
          <w:tcPr>
            <w:tcW w:w="1361" w:type="dxa"/>
            <w:vAlign w:val="center"/>
          </w:tcPr>
          <w:p>
            <w:pPr>
              <w:pStyle w:val="9"/>
            </w:pPr>
            <w:r>
              <w:t>102.14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8.80</w:t>
            </w:r>
          </w:p>
        </w:tc>
        <w:tc>
          <w:tcPr>
            <w:tcW w:w="1361" w:type="dxa"/>
            <w:vAlign w:val="center"/>
          </w:tcPr>
          <w:p>
            <w:pPr>
              <w:pStyle w:val="9"/>
            </w:pPr>
            <w:r>
              <w:t>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8.80</w:t>
            </w:r>
          </w:p>
        </w:tc>
        <w:tc>
          <w:tcPr>
            <w:tcW w:w="1361" w:type="dxa"/>
            <w:vAlign w:val="center"/>
          </w:tcPr>
          <w:p>
            <w:pPr>
              <w:pStyle w:val="9"/>
            </w:pPr>
            <w:r>
              <w:t>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8.80</w:t>
            </w:r>
          </w:p>
        </w:tc>
        <w:tc>
          <w:tcPr>
            <w:tcW w:w="1361" w:type="dxa"/>
            <w:vAlign w:val="center"/>
          </w:tcPr>
          <w:p>
            <w:pPr>
              <w:pStyle w:val="9"/>
            </w:pPr>
            <w:r>
              <w:t>8.80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3.93</w:t>
            </w:r>
          </w:p>
        </w:tc>
        <w:tc>
          <w:tcPr>
            <w:tcW w:w="1361" w:type="dxa"/>
            <w:vAlign w:val="center"/>
          </w:tcPr>
          <w:p>
            <w:pPr>
              <w:pStyle w:val="9"/>
            </w:pPr>
            <w:r>
              <w:t>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3.93</w:t>
            </w:r>
          </w:p>
        </w:tc>
        <w:tc>
          <w:tcPr>
            <w:tcW w:w="1361" w:type="dxa"/>
            <w:vAlign w:val="center"/>
          </w:tcPr>
          <w:p>
            <w:pPr>
              <w:pStyle w:val="9"/>
            </w:pPr>
            <w:r>
              <w:t>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6" w:type="dxa"/>
            <w:vAlign w:val="center"/>
          </w:tcPr>
          <w:p>
            <w:pPr>
              <w:pStyle w:val="10"/>
            </w:pPr>
            <w:r>
              <w:t>行政单位医疗</w:t>
            </w:r>
          </w:p>
        </w:tc>
        <w:tc>
          <w:tcPr>
            <w:tcW w:w="1361" w:type="dxa"/>
            <w:vAlign w:val="center"/>
          </w:tcPr>
          <w:p>
            <w:pPr>
              <w:pStyle w:val="9"/>
            </w:pPr>
            <w:r>
              <w:t>3.93</w:t>
            </w:r>
          </w:p>
        </w:tc>
        <w:tc>
          <w:tcPr>
            <w:tcW w:w="1361" w:type="dxa"/>
            <w:vAlign w:val="center"/>
          </w:tcPr>
          <w:p>
            <w:pPr>
              <w:pStyle w:val="9"/>
            </w:pPr>
            <w:r>
              <w:t>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216</w:t>
            </w:r>
          </w:p>
        </w:tc>
        <w:tc>
          <w:tcPr>
            <w:tcW w:w="4536" w:type="dxa"/>
            <w:vAlign w:val="center"/>
          </w:tcPr>
          <w:p>
            <w:pPr>
              <w:pStyle w:val="10"/>
            </w:pPr>
            <w:r>
              <w:t>商业服务业等支出</w:t>
            </w: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21602</w:t>
            </w:r>
          </w:p>
        </w:tc>
        <w:tc>
          <w:tcPr>
            <w:tcW w:w="4536" w:type="dxa"/>
            <w:vAlign w:val="center"/>
          </w:tcPr>
          <w:p>
            <w:pPr>
              <w:pStyle w:val="10"/>
            </w:pPr>
            <w:r>
              <w:t>商业流通事务</w:t>
            </w: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2160219</w:t>
            </w:r>
          </w:p>
        </w:tc>
        <w:tc>
          <w:tcPr>
            <w:tcW w:w="4536" w:type="dxa"/>
            <w:vAlign w:val="center"/>
          </w:tcPr>
          <w:p>
            <w:pPr>
              <w:pStyle w:val="10"/>
            </w:pPr>
            <w:r>
              <w:t>民贸民品贷款贴息</w:t>
            </w: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r>
              <w:t>1429.00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7.40</w:t>
            </w:r>
          </w:p>
        </w:tc>
        <w:tc>
          <w:tcPr>
            <w:tcW w:w="1361" w:type="dxa"/>
            <w:vAlign w:val="center"/>
          </w:tcPr>
          <w:p>
            <w:pPr>
              <w:pStyle w:val="9"/>
            </w:pPr>
            <w:r>
              <w:t>7.40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7.40</w:t>
            </w:r>
          </w:p>
        </w:tc>
        <w:tc>
          <w:tcPr>
            <w:tcW w:w="1361" w:type="dxa"/>
            <w:vAlign w:val="center"/>
          </w:tcPr>
          <w:p>
            <w:pPr>
              <w:pStyle w:val="9"/>
            </w:pPr>
            <w:r>
              <w:t>7.40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7.40</w:t>
            </w:r>
          </w:p>
        </w:tc>
        <w:tc>
          <w:tcPr>
            <w:tcW w:w="1361" w:type="dxa"/>
            <w:vAlign w:val="center"/>
          </w:tcPr>
          <w:p>
            <w:pPr>
              <w:pStyle w:val="9"/>
            </w:pPr>
            <w:r>
              <w:t>7.40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3402" w:type="dxa"/>
            <w:tcBorders>
              <w:top w:val="single" w:color="FFFFFF" w:sz="6" w:space="0"/>
              <w:left w:val="single" w:color="FFFFFF" w:sz="6" w:space="0"/>
              <w:right w:val="single" w:color="FFFFFF" w:sz="6" w:space="0"/>
            </w:tcBorders>
            <w:vAlign w:val="center"/>
          </w:tcPr>
          <w:p>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1639.18</w:t>
            </w:r>
          </w:p>
        </w:tc>
        <w:tc>
          <w:tcPr>
            <w:tcW w:w="3402" w:type="dxa"/>
            <w:vAlign w:val="center"/>
          </w:tcPr>
          <w:p>
            <w:pPr>
              <w:pStyle w:val="10"/>
            </w:pPr>
            <w:r>
              <w:t>一、一般公共服务支出</w:t>
            </w:r>
          </w:p>
        </w:tc>
        <w:tc>
          <w:tcPr>
            <w:tcW w:w="1474" w:type="dxa"/>
            <w:vAlign w:val="center"/>
          </w:tcPr>
          <w:p>
            <w:pPr>
              <w:pStyle w:val="9"/>
            </w:pPr>
            <w:r>
              <w:t>190.04</w:t>
            </w:r>
          </w:p>
        </w:tc>
        <w:tc>
          <w:tcPr>
            <w:tcW w:w="1474" w:type="dxa"/>
            <w:vAlign w:val="center"/>
          </w:tcPr>
          <w:p>
            <w:pPr>
              <w:pStyle w:val="9"/>
            </w:pPr>
            <w:r>
              <w:t>190.04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8.80</w:t>
            </w:r>
          </w:p>
        </w:tc>
        <w:tc>
          <w:tcPr>
            <w:tcW w:w="1474" w:type="dxa"/>
            <w:vAlign w:val="center"/>
          </w:tcPr>
          <w:p>
            <w:pPr>
              <w:pStyle w:val="9"/>
            </w:pPr>
            <w:r>
              <w:t>8.80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3.93</w:t>
            </w:r>
          </w:p>
        </w:tc>
        <w:tc>
          <w:tcPr>
            <w:tcW w:w="1474" w:type="dxa"/>
            <w:vAlign w:val="center"/>
          </w:tcPr>
          <w:p>
            <w:pPr>
              <w:pStyle w:val="9"/>
            </w:pPr>
            <w:r>
              <w:t>3.93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r>
              <w:t>1429.00</w:t>
            </w:r>
          </w:p>
        </w:tc>
        <w:tc>
          <w:tcPr>
            <w:tcW w:w="1474" w:type="dxa"/>
            <w:vAlign w:val="center"/>
          </w:tcPr>
          <w:p>
            <w:pPr>
              <w:pStyle w:val="9"/>
            </w:pPr>
            <w:r>
              <w:t>1429.00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7.40</w:t>
            </w:r>
          </w:p>
        </w:tc>
        <w:tc>
          <w:tcPr>
            <w:tcW w:w="1474" w:type="dxa"/>
            <w:vAlign w:val="center"/>
          </w:tcPr>
          <w:p>
            <w:pPr>
              <w:pStyle w:val="9"/>
            </w:pPr>
            <w:r>
              <w:t>7.40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二十六、年初预留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1639.18</w:t>
            </w:r>
          </w:p>
        </w:tc>
        <w:tc>
          <w:tcPr>
            <w:tcW w:w="3402" w:type="dxa"/>
            <w:vAlign w:val="center"/>
          </w:tcPr>
          <w:p>
            <w:pPr>
              <w:pStyle w:val="12"/>
            </w:pPr>
            <w:r>
              <w:t>本年支出合计</w:t>
            </w:r>
          </w:p>
        </w:tc>
        <w:tc>
          <w:tcPr>
            <w:tcW w:w="1474" w:type="dxa"/>
            <w:vAlign w:val="center"/>
          </w:tcPr>
          <w:p>
            <w:pPr>
              <w:pStyle w:val="13"/>
            </w:pPr>
            <w:r>
              <w:t>1639.18</w:t>
            </w:r>
          </w:p>
        </w:tc>
        <w:tc>
          <w:tcPr>
            <w:tcW w:w="1474" w:type="dxa"/>
            <w:vAlign w:val="center"/>
          </w:tcPr>
          <w:p>
            <w:pPr>
              <w:pStyle w:val="13"/>
            </w:pPr>
            <w:r>
              <w:t>1639.18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1639.18</w:t>
            </w:r>
          </w:p>
        </w:tc>
        <w:tc>
          <w:tcPr>
            <w:tcW w:w="3402" w:type="dxa"/>
            <w:vAlign w:val="center"/>
          </w:tcPr>
          <w:p>
            <w:pPr>
              <w:pStyle w:val="12"/>
            </w:pPr>
            <w:r>
              <w:t>支出总计</w:t>
            </w:r>
          </w:p>
        </w:tc>
        <w:tc>
          <w:tcPr>
            <w:tcW w:w="1474" w:type="dxa"/>
            <w:vAlign w:val="center"/>
          </w:tcPr>
          <w:p>
            <w:pPr>
              <w:pStyle w:val="13"/>
            </w:pPr>
            <w:r>
              <w:t>1639.18</w:t>
            </w:r>
          </w:p>
        </w:tc>
        <w:tc>
          <w:tcPr>
            <w:tcW w:w="1474" w:type="dxa"/>
            <w:vAlign w:val="center"/>
          </w:tcPr>
          <w:p>
            <w:pPr>
              <w:pStyle w:val="13"/>
            </w:pPr>
            <w:r>
              <w:t>1639.18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1639.18</w:t>
            </w:r>
          </w:p>
        </w:tc>
        <w:tc>
          <w:tcPr>
            <w:tcW w:w="2551" w:type="dxa"/>
            <w:vAlign w:val="center"/>
          </w:tcPr>
          <w:p>
            <w:pPr>
              <w:pStyle w:val="13"/>
            </w:pPr>
            <w:r>
              <w:t>108.04</w:t>
            </w:r>
          </w:p>
        </w:tc>
        <w:tc>
          <w:tcPr>
            <w:tcW w:w="2551" w:type="dxa"/>
            <w:vAlign w:val="center"/>
          </w:tcPr>
          <w:p>
            <w:pPr>
              <w:pStyle w:val="13"/>
            </w:pPr>
            <w:r>
              <w:t>1531.14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190.04</w:t>
            </w:r>
          </w:p>
        </w:tc>
        <w:tc>
          <w:tcPr>
            <w:tcW w:w="2551" w:type="dxa"/>
            <w:vAlign w:val="center"/>
          </w:tcPr>
          <w:p>
            <w:pPr>
              <w:pStyle w:val="9"/>
            </w:pPr>
            <w:r>
              <w:t>87.90</w:t>
            </w:r>
          </w:p>
        </w:tc>
        <w:tc>
          <w:tcPr>
            <w:tcW w:w="2551" w:type="dxa"/>
            <w:vAlign w:val="center"/>
          </w:tcPr>
          <w:p>
            <w:pPr>
              <w:pStyle w:val="9"/>
            </w:pPr>
            <w:r>
              <w:t>102.14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20134</w:t>
            </w:r>
          </w:p>
        </w:tc>
        <w:tc>
          <w:tcPr>
            <w:tcW w:w="4535" w:type="dxa"/>
            <w:vAlign w:val="center"/>
          </w:tcPr>
          <w:p>
            <w:pPr>
              <w:pStyle w:val="10"/>
            </w:pPr>
            <w:r>
              <w:t>统战事务</w:t>
            </w:r>
          </w:p>
        </w:tc>
        <w:tc>
          <w:tcPr>
            <w:tcW w:w="2551" w:type="dxa"/>
            <w:vAlign w:val="center"/>
          </w:tcPr>
          <w:p>
            <w:pPr>
              <w:pStyle w:val="9"/>
            </w:pPr>
            <w:r>
              <w:t>190.04</w:t>
            </w:r>
          </w:p>
        </w:tc>
        <w:tc>
          <w:tcPr>
            <w:tcW w:w="2551" w:type="dxa"/>
            <w:vAlign w:val="center"/>
          </w:tcPr>
          <w:p>
            <w:pPr>
              <w:pStyle w:val="9"/>
            </w:pPr>
            <w:r>
              <w:t>87.90</w:t>
            </w:r>
          </w:p>
        </w:tc>
        <w:tc>
          <w:tcPr>
            <w:tcW w:w="2551" w:type="dxa"/>
            <w:vAlign w:val="center"/>
          </w:tcPr>
          <w:p>
            <w:pPr>
              <w:pStyle w:val="9"/>
            </w:pPr>
            <w:r>
              <w:t>102.14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2013401</w:t>
            </w:r>
          </w:p>
        </w:tc>
        <w:tc>
          <w:tcPr>
            <w:tcW w:w="4535" w:type="dxa"/>
            <w:vAlign w:val="center"/>
          </w:tcPr>
          <w:p>
            <w:pPr>
              <w:pStyle w:val="10"/>
            </w:pPr>
            <w:r>
              <w:t>行政运行</w:t>
            </w:r>
          </w:p>
        </w:tc>
        <w:tc>
          <w:tcPr>
            <w:tcW w:w="2551" w:type="dxa"/>
            <w:vAlign w:val="center"/>
          </w:tcPr>
          <w:p>
            <w:pPr>
              <w:pStyle w:val="9"/>
            </w:pPr>
            <w:r>
              <w:t>190.04</w:t>
            </w:r>
          </w:p>
        </w:tc>
        <w:tc>
          <w:tcPr>
            <w:tcW w:w="2551" w:type="dxa"/>
            <w:vAlign w:val="center"/>
          </w:tcPr>
          <w:p>
            <w:pPr>
              <w:pStyle w:val="9"/>
            </w:pPr>
            <w:r>
              <w:t>87.90</w:t>
            </w:r>
          </w:p>
        </w:tc>
        <w:tc>
          <w:tcPr>
            <w:tcW w:w="2551" w:type="dxa"/>
            <w:vAlign w:val="center"/>
          </w:tcPr>
          <w:p>
            <w:pPr>
              <w:pStyle w:val="9"/>
            </w:pPr>
            <w:r>
              <w:t>102.14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8.80</w:t>
            </w:r>
          </w:p>
        </w:tc>
        <w:tc>
          <w:tcPr>
            <w:tcW w:w="2551" w:type="dxa"/>
            <w:vAlign w:val="center"/>
          </w:tcPr>
          <w:p>
            <w:pPr>
              <w:pStyle w:val="9"/>
            </w:pPr>
            <w:r>
              <w:t>8.80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8.80</w:t>
            </w:r>
          </w:p>
        </w:tc>
        <w:tc>
          <w:tcPr>
            <w:tcW w:w="2551" w:type="dxa"/>
            <w:vAlign w:val="center"/>
          </w:tcPr>
          <w:p>
            <w:pPr>
              <w:pStyle w:val="9"/>
            </w:pPr>
            <w:r>
              <w:t>8.80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8.80</w:t>
            </w:r>
          </w:p>
        </w:tc>
        <w:tc>
          <w:tcPr>
            <w:tcW w:w="2551" w:type="dxa"/>
            <w:vAlign w:val="center"/>
          </w:tcPr>
          <w:p>
            <w:pPr>
              <w:pStyle w:val="9"/>
            </w:pPr>
            <w:r>
              <w:t>8.80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3.93</w:t>
            </w:r>
          </w:p>
        </w:tc>
        <w:tc>
          <w:tcPr>
            <w:tcW w:w="2551" w:type="dxa"/>
            <w:vAlign w:val="center"/>
          </w:tcPr>
          <w:p>
            <w:pPr>
              <w:pStyle w:val="9"/>
            </w:pPr>
            <w:r>
              <w:t>3.93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3.93</w:t>
            </w:r>
          </w:p>
        </w:tc>
        <w:tc>
          <w:tcPr>
            <w:tcW w:w="2551" w:type="dxa"/>
            <w:vAlign w:val="center"/>
          </w:tcPr>
          <w:p>
            <w:pPr>
              <w:pStyle w:val="9"/>
            </w:pPr>
            <w:r>
              <w:t>3.93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3.93</w:t>
            </w:r>
          </w:p>
        </w:tc>
        <w:tc>
          <w:tcPr>
            <w:tcW w:w="2551" w:type="dxa"/>
            <w:vAlign w:val="center"/>
          </w:tcPr>
          <w:p>
            <w:pPr>
              <w:pStyle w:val="9"/>
            </w:pPr>
            <w:r>
              <w:t>3.93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216</w:t>
            </w:r>
          </w:p>
        </w:tc>
        <w:tc>
          <w:tcPr>
            <w:tcW w:w="4535" w:type="dxa"/>
            <w:vAlign w:val="center"/>
          </w:tcPr>
          <w:p>
            <w:pPr>
              <w:pStyle w:val="10"/>
            </w:pPr>
            <w:r>
              <w:t>商业服务业等支出</w:t>
            </w:r>
          </w:p>
        </w:tc>
        <w:tc>
          <w:tcPr>
            <w:tcW w:w="2551" w:type="dxa"/>
            <w:vAlign w:val="center"/>
          </w:tcPr>
          <w:p>
            <w:pPr>
              <w:pStyle w:val="9"/>
            </w:pPr>
            <w:r>
              <w:t>1429.00</w:t>
            </w:r>
          </w:p>
        </w:tc>
        <w:tc>
          <w:tcPr>
            <w:tcW w:w="2551" w:type="dxa"/>
            <w:vAlign w:val="center"/>
          </w:tcPr>
          <w:p>
            <w:pPr>
              <w:pStyle w:val="9"/>
            </w:pPr>
          </w:p>
        </w:tc>
        <w:tc>
          <w:tcPr>
            <w:tcW w:w="2551"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21602</w:t>
            </w:r>
          </w:p>
        </w:tc>
        <w:tc>
          <w:tcPr>
            <w:tcW w:w="4535" w:type="dxa"/>
            <w:vAlign w:val="center"/>
          </w:tcPr>
          <w:p>
            <w:pPr>
              <w:pStyle w:val="10"/>
            </w:pPr>
            <w:r>
              <w:t>商业流通事务</w:t>
            </w:r>
          </w:p>
        </w:tc>
        <w:tc>
          <w:tcPr>
            <w:tcW w:w="2551" w:type="dxa"/>
            <w:vAlign w:val="center"/>
          </w:tcPr>
          <w:p>
            <w:pPr>
              <w:pStyle w:val="9"/>
            </w:pPr>
            <w:r>
              <w:t>1429.00</w:t>
            </w:r>
          </w:p>
        </w:tc>
        <w:tc>
          <w:tcPr>
            <w:tcW w:w="2551" w:type="dxa"/>
            <w:vAlign w:val="center"/>
          </w:tcPr>
          <w:p>
            <w:pPr>
              <w:pStyle w:val="9"/>
            </w:pPr>
          </w:p>
        </w:tc>
        <w:tc>
          <w:tcPr>
            <w:tcW w:w="2551"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2160219</w:t>
            </w:r>
          </w:p>
        </w:tc>
        <w:tc>
          <w:tcPr>
            <w:tcW w:w="4535" w:type="dxa"/>
            <w:vAlign w:val="center"/>
          </w:tcPr>
          <w:p>
            <w:pPr>
              <w:pStyle w:val="10"/>
            </w:pPr>
            <w:r>
              <w:t>民贸民品贷款贴息</w:t>
            </w:r>
          </w:p>
        </w:tc>
        <w:tc>
          <w:tcPr>
            <w:tcW w:w="2551" w:type="dxa"/>
            <w:vAlign w:val="center"/>
          </w:tcPr>
          <w:p>
            <w:pPr>
              <w:pStyle w:val="9"/>
            </w:pPr>
            <w:r>
              <w:t>1429.00</w:t>
            </w:r>
          </w:p>
        </w:tc>
        <w:tc>
          <w:tcPr>
            <w:tcW w:w="2551" w:type="dxa"/>
            <w:vAlign w:val="center"/>
          </w:tcPr>
          <w:p>
            <w:pPr>
              <w:pStyle w:val="9"/>
            </w:pPr>
          </w:p>
        </w:tc>
        <w:tc>
          <w:tcPr>
            <w:tcW w:w="2551" w:type="dxa"/>
            <w:vAlign w:val="center"/>
          </w:tcPr>
          <w:p>
            <w:pPr>
              <w:pStyle w:val="9"/>
            </w:pPr>
            <w:r>
              <w:t>1429.00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7.40</w:t>
            </w:r>
          </w:p>
        </w:tc>
        <w:tc>
          <w:tcPr>
            <w:tcW w:w="2551" w:type="dxa"/>
            <w:vAlign w:val="center"/>
          </w:tcPr>
          <w:p>
            <w:pPr>
              <w:pStyle w:val="9"/>
            </w:pPr>
            <w:r>
              <w:t>7.40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7.40</w:t>
            </w:r>
          </w:p>
        </w:tc>
        <w:tc>
          <w:tcPr>
            <w:tcW w:w="2551" w:type="dxa"/>
            <w:vAlign w:val="center"/>
          </w:tcPr>
          <w:p>
            <w:pPr>
              <w:pStyle w:val="9"/>
            </w:pPr>
            <w:r>
              <w:t>7.40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7.40</w:t>
            </w:r>
          </w:p>
        </w:tc>
        <w:tc>
          <w:tcPr>
            <w:tcW w:w="2551" w:type="dxa"/>
            <w:vAlign w:val="center"/>
          </w:tcPr>
          <w:p>
            <w:pPr>
              <w:pStyle w:val="9"/>
            </w:pPr>
            <w:r>
              <w:t>7.40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108.04</w:t>
            </w:r>
          </w:p>
        </w:tc>
        <w:tc>
          <w:tcPr>
            <w:tcW w:w="2551" w:type="dxa"/>
            <w:vAlign w:val="center"/>
          </w:tcPr>
          <w:p>
            <w:pPr>
              <w:pStyle w:val="13"/>
            </w:pPr>
            <w:r>
              <w:t>97.29</w:t>
            </w:r>
          </w:p>
        </w:tc>
        <w:tc>
          <w:tcPr>
            <w:tcW w:w="2552" w:type="dxa"/>
            <w:vAlign w:val="center"/>
          </w:tcPr>
          <w:p>
            <w:pPr>
              <w:pStyle w:val="13"/>
            </w:pPr>
            <w:r>
              <w:t>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95.71</w:t>
            </w:r>
          </w:p>
        </w:tc>
        <w:tc>
          <w:tcPr>
            <w:tcW w:w="2551" w:type="dxa"/>
            <w:vAlign w:val="center"/>
          </w:tcPr>
          <w:p>
            <w:pPr>
              <w:pStyle w:val="9"/>
            </w:pPr>
            <w:r>
              <w:t>95.71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39.12</w:t>
            </w:r>
          </w:p>
        </w:tc>
        <w:tc>
          <w:tcPr>
            <w:tcW w:w="2551" w:type="dxa"/>
            <w:vAlign w:val="center"/>
          </w:tcPr>
          <w:p>
            <w:pPr>
              <w:pStyle w:val="9"/>
            </w:pPr>
            <w:r>
              <w:t>39.12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32.32</w:t>
            </w:r>
          </w:p>
        </w:tc>
        <w:tc>
          <w:tcPr>
            <w:tcW w:w="2551" w:type="dxa"/>
            <w:vAlign w:val="center"/>
          </w:tcPr>
          <w:p>
            <w:pPr>
              <w:pStyle w:val="9"/>
            </w:pPr>
            <w:r>
              <w:t>32.32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3.26</w:t>
            </w:r>
          </w:p>
        </w:tc>
        <w:tc>
          <w:tcPr>
            <w:tcW w:w="2551" w:type="dxa"/>
            <w:vAlign w:val="center"/>
          </w:tcPr>
          <w:p>
            <w:pPr>
              <w:pStyle w:val="9"/>
            </w:pPr>
            <w:r>
              <w:t>3.26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0.11</w:t>
            </w:r>
          </w:p>
        </w:tc>
        <w:tc>
          <w:tcPr>
            <w:tcW w:w="2551" w:type="dxa"/>
            <w:vAlign w:val="center"/>
          </w:tcPr>
          <w:p>
            <w:pPr>
              <w:pStyle w:val="9"/>
            </w:pPr>
            <w:r>
              <w:t>0.11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8.80</w:t>
            </w:r>
          </w:p>
        </w:tc>
        <w:tc>
          <w:tcPr>
            <w:tcW w:w="2551" w:type="dxa"/>
            <w:vAlign w:val="center"/>
          </w:tcPr>
          <w:p>
            <w:pPr>
              <w:pStyle w:val="9"/>
            </w:pPr>
            <w:r>
              <w:t>8.80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3.93</w:t>
            </w:r>
          </w:p>
        </w:tc>
        <w:tc>
          <w:tcPr>
            <w:tcW w:w="2551" w:type="dxa"/>
            <w:vAlign w:val="center"/>
          </w:tcPr>
          <w:p>
            <w:pPr>
              <w:pStyle w:val="9"/>
            </w:pPr>
            <w:r>
              <w:t>3.93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0.76</w:t>
            </w:r>
          </w:p>
        </w:tc>
        <w:tc>
          <w:tcPr>
            <w:tcW w:w="2551" w:type="dxa"/>
            <w:vAlign w:val="center"/>
          </w:tcPr>
          <w:p>
            <w:pPr>
              <w:pStyle w:val="9"/>
            </w:pPr>
            <w:r>
              <w:t>0.76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7.40</w:t>
            </w:r>
          </w:p>
        </w:tc>
        <w:tc>
          <w:tcPr>
            <w:tcW w:w="2551" w:type="dxa"/>
            <w:vAlign w:val="center"/>
          </w:tcPr>
          <w:p>
            <w:pPr>
              <w:pStyle w:val="9"/>
            </w:pPr>
            <w:r>
              <w:t>7.40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10.75</w:t>
            </w:r>
          </w:p>
        </w:tc>
        <w:tc>
          <w:tcPr>
            <w:tcW w:w="2551" w:type="dxa"/>
            <w:vAlign w:val="center"/>
          </w:tcPr>
          <w:p>
            <w:pPr>
              <w:pStyle w:val="9"/>
            </w:pPr>
          </w:p>
        </w:tc>
        <w:tc>
          <w:tcPr>
            <w:tcW w:w="2552" w:type="dxa"/>
            <w:vAlign w:val="center"/>
          </w:tcPr>
          <w:p>
            <w:pPr>
              <w:pStyle w:val="9"/>
            </w:pPr>
            <w:r>
              <w:t>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3.43</w:t>
            </w:r>
          </w:p>
        </w:tc>
        <w:tc>
          <w:tcPr>
            <w:tcW w:w="2551" w:type="dxa"/>
            <w:vAlign w:val="center"/>
          </w:tcPr>
          <w:p>
            <w:pPr>
              <w:pStyle w:val="9"/>
            </w:pPr>
          </w:p>
        </w:tc>
        <w:tc>
          <w:tcPr>
            <w:tcW w:w="2552" w:type="dxa"/>
            <w:vAlign w:val="center"/>
          </w:tcPr>
          <w:p>
            <w:pPr>
              <w:pStyle w:val="9"/>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0.18</w:t>
            </w:r>
          </w:p>
        </w:tc>
        <w:tc>
          <w:tcPr>
            <w:tcW w:w="2551" w:type="dxa"/>
            <w:vAlign w:val="center"/>
          </w:tcPr>
          <w:p>
            <w:pPr>
              <w:pStyle w:val="9"/>
            </w:pPr>
          </w:p>
        </w:tc>
        <w:tc>
          <w:tcPr>
            <w:tcW w:w="2552" w:type="dxa"/>
            <w:vAlign w:val="center"/>
          </w:tcPr>
          <w:p>
            <w:pPr>
              <w:pStyle w:val="9"/>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0.18</w:t>
            </w:r>
          </w:p>
        </w:tc>
        <w:tc>
          <w:tcPr>
            <w:tcW w:w="2551" w:type="dxa"/>
            <w:vAlign w:val="center"/>
          </w:tcPr>
          <w:p>
            <w:pPr>
              <w:pStyle w:val="9"/>
            </w:pPr>
          </w:p>
        </w:tc>
        <w:tc>
          <w:tcPr>
            <w:tcW w:w="2552" w:type="dxa"/>
            <w:vAlign w:val="center"/>
          </w:tcPr>
          <w:p>
            <w:pPr>
              <w:pStyle w:val="9"/>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6.78</w:t>
            </w:r>
          </w:p>
        </w:tc>
        <w:tc>
          <w:tcPr>
            <w:tcW w:w="2551" w:type="dxa"/>
            <w:vAlign w:val="center"/>
          </w:tcPr>
          <w:p>
            <w:pPr>
              <w:pStyle w:val="9"/>
            </w:pPr>
          </w:p>
        </w:tc>
        <w:tc>
          <w:tcPr>
            <w:tcW w:w="2552" w:type="dxa"/>
            <w:vAlign w:val="center"/>
          </w:tcPr>
          <w:p>
            <w:pPr>
              <w:pStyle w:val="9"/>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0.18</w:t>
            </w:r>
          </w:p>
        </w:tc>
        <w:tc>
          <w:tcPr>
            <w:tcW w:w="2551" w:type="dxa"/>
            <w:vAlign w:val="center"/>
          </w:tcPr>
          <w:p>
            <w:pPr>
              <w:pStyle w:val="9"/>
            </w:pPr>
          </w:p>
        </w:tc>
        <w:tc>
          <w:tcPr>
            <w:tcW w:w="2552" w:type="dxa"/>
            <w:vAlign w:val="center"/>
          </w:tcPr>
          <w:p>
            <w:pPr>
              <w:pStyle w:val="9"/>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1.58</w:t>
            </w:r>
          </w:p>
        </w:tc>
        <w:tc>
          <w:tcPr>
            <w:tcW w:w="2551" w:type="dxa"/>
            <w:vAlign w:val="center"/>
          </w:tcPr>
          <w:p>
            <w:pPr>
              <w:pStyle w:val="9"/>
            </w:pPr>
            <w:r>
              <w:t>1.58</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1.58</w:t>
            </w:r>
          </w:p>
        </w:tc>
        <w:tc>
          <w:tcPr>
            <w:tcW w:w="2551" w:type="dxa"/>
            <w:vAlign w:val="center"/>
          </w:tcPr>
          <w:p>
            <w:pPr>
              <w:pStyle w:val="9"/>
            </w:pPr>
            <w:r>
              <w:t>1.58</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213001中国共产党隆尧县委员会统一战线工作部本级</w:t>
            </w:r>
          </w:p>
        </w:tc>
        <w:tc>
          <w:tcPr>
            <w:tcW w:w="2381" w:type="dxa"/>
            <w:tcBorders>
              <w:top w:val="single" w:color="FFFFFF" w:sz="6" w:space="0"/>
              <w:left w:val="single" w:color="FFFFFF" w:sz="6" w:space="0"/>
              <w:right w:val="single" w:color="FFFFFF" w:sz="6" w:space="0"/>
            </w:tcBorders>
            <w:vAlign w:val="center"/>
          </w:tcPr>
          <w:p>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五、培训费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中国共产党隆尧县委员会统一战线工作部本级</w:t>
      </w:r>
    </w:p>
    <w:p>
      <w:pPr>
        <w:jc w:val="center"/>
        <w:outlineLvl w:val="4"/>
      </w:pPr>
      <w:r>
        <w:rPr>
          <w:rFonts w:ascii="方正小标宋_GBK" w:hAnsi="方正小标宋_GBK" w:eastAsia="方正小标宋_GBK" w:cs="方正小标宋_GBK"/>
          <w:color w:val="000000"/>
          <w:sz w:val="44"/>
        </w:rPr>
        <w:t>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按照《预算法》、《地方预决算公开操作规程》和《关于进一步推进预算公开工作的实施意见》规定，现将中国共产党隆尧县委员会统一战线工作部本级2022年单位预算公开如下：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县、市、县委关于统一战线工作重大决策部署，巩固壮大最广泛的统一战线。</w:t>
      </w:r>
    </w:p>
    <w:p>
      <w:pPr>
        <w:pStyle w:val="15"/>
      </w:pPr>
      <w:r>
        <w:t>（二）开展统一战线理论研究，研究拟订统一战线工作的政策措施并推动落实，深入调查研究，及时向县委报告统一战线工作情况并提出建议。</w:t>
      </w:r>
    </w:p>
    <w:p>
      <w:pPr>
        <w:pStyle w:val="15"/>
      </w:pPr>
      <w:r>
        <w:t>（三）负责发现、培养党外代表人士，负责党外人士的政治安排，会同有关部门做好安排党外人士担任政府和司法机关等领导职务的工作，协助有关民主党派、县工商联做好干部管理工作，反映和协调解决党外代表人士工作生活中的实际困难。</w:t>
      </w:r>
    </w:p>
    <w:p>
      <w:pPr>
        <w:pStyle w:val="15"/>
      </w:pPr>
      <w:r>
        <w:t>（四）贯彻落实党的宣传工作方针，统筹推进全县统一战线宣传工作，拟订全县统一战线宣传工作规划并组织实施，研判涉及统一战线的舆情并协调有关部门应对处置。</w:t>
      </w:r>
    </w:p>
    <w:p>
      <w:pPr>
        <w:pStyle w:val="15"/>
      </w:pPr>
      <w:r>
        <w:t>（五）负责联系党外代表人士，通报情况、反映意见。贯彻落实中国共产党领导的多党合作和政治协商制度以及对民主党派的方针政策，支持、帮助民主党派加强自身建设，做好支持民主党派履行职责、发挥作用的工作。</w:t>
      </w:r>
    </w:p>
    <w:p>
      <w:pPr>
        <w:pStyle w:val="15"/>
      </w:pPr>
      <w:r>
        <w:t>（六）负责民族宗教工作。贯彻落实党中央和县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w:t>
      </w:r>
    </w:p>
    <w:p>
      <w:pPr>
        <w:pStyle w:val="15"/>
      </w:pPr>
      <w: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pPr>
        <w:pStyle w:val="15"/>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15"/>
      </w:pPr>
      <w: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pPr>
        <w:pStyle w:val="15"/>
      </w:pPr>
      <w: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协调、处理县内涉台重大事件。负责县委对台工作领导小组的日常工作。</w:t>
      </w:r>
    </w:p>
    <w:p>
      <w:pPr>
        <w:pStyle w:val="15"/>
      </w:pPr>
      <w: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pPr>
        <w:pStyle w:val="15"/>
      </w:pPr>
      <w:r>
        <w:t>（十二）完成县委交办的其他任务。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中国共产党隆尧县委员会统一战线工作部本级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val="en-US" w:eastAsia="zh-CN"/>
        </w:rPr>
        <w:t>单位</w:t>
      </w:r>
      <w:r>
        <w:t>预算的编制实行综合预算管理，即全部收入和支出都反映的预算。</w:t>
      </w:r>
      <w:r>
        <w:rPr>
          <w:rFonts w:hint="eastAsia"/>
          <w:lang w:eastAsia="zh-CN"/>
        </w:rPr>
        <w:t>中国共产党隆尧县委员会统一战线工作部</w:t>
      </w:r>
      <w:r>
        <w:t>的收支包含在部门预算中。</w:t>
      </w:r>
    </w:p>
    <w:p>
      <w:pPr>
        <w:pStyle w:val="16"/>
      </w:pPr>
      <w:r>
        <w:t>1、收入说明</w:t>
      </w:r>
    </w:p>
    <w:p>
      <w:pPr>
        <w:pStyle w:val="16"/>
      </w:pPr>
      <w:r>
        <w:t>反映本</w:t>
      </w:r>
      <w:r>
        <w:rPr>
          <w:rFonts w:hint="eastAsia"/>
          <w:lang w:val="en-US" w:eastAsia="zh-CN"/>
        </w:rPr>
        <w:t>单位</w:t>
      </w:r>
      <w:r>
        <w:t>当年全部收入。202</w:t>
      </w:r>
      <w:r>
        <w:rPr>
          <w:rFonts w:hint="eastAsia"/>
          <w:lang w:val="en-US" w:eastAsia="zh-CN"/>
        </w:rPr>
        <w:t>2</w:t>
      </w:r>
      <w:r>
        <w:t>年预算收入</w:t>
      </w:r>
      <w:r>
        <w:rPr>
          <w:rFonts w:hint="eastAsia"/>
          <w:lang w:val="en-US" w:eastAsia="zh-CN"/>
        </w:rPr>
        <w:t>1639.18</w:t>
      </w:r>
      <w:r>
        <w:t>万元，其中：一般公共预算收入</w:t>
      </w:r>
      <w:r>
        <w:rPr>
          <w:rFonts w:hint="eastAsia"/>
          <w:lang w:val="en-US" w:eastAsia="zh-CN"/>
        </w:rPr>
        <w:t>1639.18</w:t>
      </w:r>
      <w:r>
        <w:t>万元，基金预算收入0万元，财政专户核拨收入0万元，其他来源收入0万元。</w:t>
      </w:r>
    </w:p>
    <w:p>
      <w:pPr>
        <w:pStyle w:val="16"/>
        <w:numPr>
          <w:ilvl w:val="0"/>
          <w:numId w:val="1"/>
        </w:numPr>
        <w:rPr>
          <w:rFonts w:hint="eastAsia"/>
          <w:lang w:val="en-US" w:eastAsia="zh-CN"/>
        </w:rPr>
      </w:pPr>
      <w:r>
        <w:rPr>
          <w:rFonts w:hint="eastAsia"/>
          <w:lang w:val="en-US" w:eastAsia="zh-CN"/>
        </w:rPr>
        <w:t>支出说明</w:t>
      </w:r>
    </w:p>
    <w:p>
      <w:pPr>
        <w:pStyle w:val="16"/>
        <w:numPr>
          <w:ilvl w:val="0"/>
          <w:numId w:val="0"/>
        </w:numPr>
        <w:ind w:firstLine="560" w:firstLineChars="200"/>
      </w:pPr>
      <w:r>
        <w:t>收支预算总表支出栏、基本支出表、项目支出表按经济分类和支出功能分类科目编制，反映中共隆尧县委统战部年度</w:t>
      </w:r>
      <w:r>
        <w:rPr>
          <w:rFonts w:hint="eastAsia"/>
          <w:lang w:val="en-US" w:eastAsia="zh-CN"/>
        </w:rPr>
        <w:t>单位</w:t>
      </w:r>
      <w:r>
        <w:t>预算中支出预算的总体情况。2022年</w:t>
      </w:r>
      <w:r>
        <w:rPr>
          <w:rFonts w:hint="eastAsia"/>
          <w:lang w:val="en-US" w:eastAsia="zh-CN"/>
        </w:rPr>
        <w:t>单位</w:t>
      </w:r>
      <w:r>
        <w:t>支出预算为1639.1764万元，其中基本支出108.0364万元，包括人员经费97.2864万元和日常公用经费10.75万元；项目支出1531.14万元，主要为统战(宗教)经费19万元，工商联经费支出1万元，归侨职工生活补贴0.24万元，民贸民品贷款贴息奖励1000万元,提前下达的县级2020年普惠金融发展专项资金429万元，民贸民品贴息补贴审计专项经费3万元，基层治理工作队经费18万元，劳务派遣人员工资9.9万元，民营企业培训经费26万元，宗教场所可视化平台25万元。</w:t>
      </w:r>
    </w:p>
    <w:p>
      <w:pPr>
        <w:pStyle w:val="16"/>
      </w:pPr>
      <w:r>
        <w:t>3、比上年增减情况</w:t>
      </w:r>
    </w:p>
    <w:p>
      <w:pPr>
        <w:pStyle w:val="16"/>
        <w:rPr>
          <w:highlight w:val="none"/>
        </w:rPr>
      </w:pPr>
      <w:r>
        <w:rPr>
          <w:highlight w:val="none"/>
        </w:rPr>
        <w:t>202</w:t>
      </w:r>
      <w:r>
        <w:rPr>
          <w:rFonts w:hint="eastAsia"/>
          <w:highlight w:val="none"/>
          <w:lang w:val="en-US" w:eastAsia="zh-CN"/>
        </w:rPr>
        <w:t>2</w:t>
      </w:r>
      <w:r>
        <w:rPr>
          <w:highlight w:val="none"/>
        </w:rPr>
        <w:t>年</w:t>
      </w:r>
      <w:r>
        <w:rPr>
          <w:rFonts w:hint="eastAsia"/>
          <w:lang w:val="en-US" w:eastAsia="zh-CN"/>
        </w:rPr>
        <w:t>单位</w:t>
      </w:r>
      <w:r>
        <w:rPr>
          <w:highlight w:val="none"/>
        </w:rPr>
        <w:t>预算收支安排1639.1764万元，较202</w:t>
      </w:r>
      <w:r>
        <w:rPr>
          <w:rFonts w:hint="eastAsia"/>
          <w:highlight w:val="none"/>
          <w:lang w:val="en-US" w:eastAsia="zh-CN"/>
        </w:rPr>
        <w:t>1</w:t>
      </w:r>
      <w:r>
        <w:rPr>
          <w:highlight w:val="none"/>
        </w:rPr>
        <w:t>年</w:t>
      </w:r>
      <w:r>
        <w:rPr>
          <w:rFonts w:hint="eastAsia"/>
          <w:highlight w:val="none"/>
          <w:lang w:val="en-US" w:eastAsia="zh-CN"/>
        </w:rPr>
        <w:t>增加740.6357</w:t>
      </w:r>
      <w:r>
        <w:rPr>
          <w:highlight w:val="none"/>
        </w:rPr>
        <w:t>万元，其中：</w:t>
      </w:r>
      <w:r>
        <w:rPr>
          <w:rFonts w:hint="eastAsia"/>
          <w:highlight w:val="none"/>
          <w:lang w:val="en-US" w:eastAsia="zh-CN"/>
        </w:rPr>
        <w:t>基本支出增加28.74万元，</w:t>
      </w:r>
      <w:r>
        <w:rPr>
          <w:highlight w:val="none"/>
        </w:rPr>
        <w:t>主要是</w:t>
      </w:r>
      <w:r>
        <w:rPr>
          <w:rFonts w:hint="eastAsia"/>
          <w:highlight w:val="none"/>
          <w:lang w:val="en-US" w:eastAsia="zh-CN"/>
        </w:rPr>
        <w:t>增加</w:t>
      </w:r>
      <w:r>
        <w:rPr>
          <w:highlight w:val="none"/>
        </w:rPr>
        <w:t>人员工资和日常公用经费；项目支出</w:t>
      </w:r>
      <w:r>
        <w:rPr>
          <w:rFonts w:hint="eastAsia"/>
          <w:highlight w:val="none"/>
          <w:lang w:val="en-US" w:eastAsia="zh-CN"/>
        </w:rPr>
        <w:t>增加711.9</w:t>
      </w:r>
      <w:r>
        <w:rPr>
          <w:highlight w:val="none"/>
        </w:rPr>
        <w:t>万元，</w:t>
      </w:r>
      <w:r>
        <w:rPr>
          <w:rFonts w:hint="eastAsia"/>
          <w:highlight w:val="none"/>
          <w:lang w:eastAsia="zh-CN"/>
        </w:rPr>
        <w:t>原因</w:t>
      </w:r>
      <w:r>
        <w:rPr>
          <w:highlight w:val="none"/>
        </w:rPr>
        <w:t>为民贸民品贷款贴息资金项目</w:t>
      </w:r>
      <w:r>
        <w:rPr>
          <w:rFonts w:hint="eastAsia"/>
          <w:highlight w:val="none"/>
          <w:lang w:val="en-US" w:eastAsia="zh-CN"/>
        </w:rPr>
        <w:t>增加</w:t>
      </w:r>
      <w:r>
        <w:rPr>
          <w:highlight w:val="none"/>
        </w:rPr>
        <w:t>。</w:t>
      </w:r>
    </w:p>
    <w:p>
      <w:pPr>
        <w:spacing w:before="10" w:after="10"/>
        <w:ind w:firstLine="640"/>
        <w:outlineLvl w:val="5"/>
      </w:pPr>
      <w:r>
        <w:rPr>
          <w:rFonts w:ascii="黑体" w:hAnsi="黑体" w:eastAsia="黑体" w:cs="黑体"/>
          <w:color w:val="000000"/>
          <w:sz w:val="32"/>
        </w:rPr>
        <w:t>三、机关运行经费安排情况</w:t>
      </w:r>
    </w:p>
    <w:p>
      <w:pPr>
        <w:pStyle w:val="29"/>
      </w:pPr>
      <w:r>
        <w:rPr>
          <w:rFonts w:hint="eastAsia"/>
          <w:lang w:val="en-US" w:eastAsia="zh-CN"/>
        </w:rPr>
        <w:t>2022年我单位</w:t>
      </w:r>
      <w:r>
        <w:t>机关运行经费安排情况：共计安排10.75万元，主要用于保证机关正常运转的办公费、邮电费、福利费、工会经费、交通费用等支出。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2022年</w:t>
      </w:r>
      <w:r>
        <w:rPr>
          <w:rFonts w:hint="eastAsia"/>
          <w:lang w:val="en-US" w:eastAsia="zh-CN"/>
        </w:rPr>
        <w:t>我单位</w:t>
      </w:r>
      <w:r>
        <w:t>财政拨款“三公”经费预算安排0万元，其中：因公出国（境）费0万元；公务用车购置及运维费0万元（其中：公务用车购置费0万元，公务用车运行维护费0万元)；公务接待费0万元。与</w:t>
      </w:r>
      <w:r>
        <w:rPr>
          <w:rFonts w:hint="eastAsia"/>
          <w:lang w:val="en-US" w:eastAsia="zh-CN"/>
        </w:rPr>
        <w:t>2021</w:t>
      </w:r>
      <w:r>
        <w:t>年比无增减。</w:t>
      </w:r>
    </w:p>
    <w:p>
      <w:pPr>
        <w:spacing w:before="10" w:after="10"/>
        <w:ind w:firstLine="640"/>
        <w:outlineLvl w:val="5"/>
      </w:pPr>
      <w:r>
        <w:rPr>
          <w:rFonts w:ascii="黑体" w:hAnsi="黑体" w:eastAsia="黑体" w:cs="黑体"/>
          <w:color w:val="000000"/>
          <w:sz w:val="32"/>
        </w:rPr>
        <w:t>五、预算绩效信息</w:t>
      </w:r>
    </w:p>
    <w:p>
      <w:pPr>
        <w:pStyle w:val="22"/>
        <w:ind w:firstLine="560"/>
      </w:pPr>
      <w:r>
        <w:rPr>
          <w:rFonts w:ascii="方正仿宋_GBK" w:hAnsi="方正仿宋_GBK" w:eastAsia="方正仿宋_GBK" w:cs="方正仿宋_GBK"/>
          <w:b/>
          <w:color w:val="000000"/>
          <w:sz w:val="28"/>
        </w:rPr>
        <w:t>1、2022年民贸民品贷款贴息补贴绩效目标表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贴息企业数量</w:t>
            </w:r>
          </w:p>
        </w:tc>
        <w:tc>
          <w:tcPr>
            <w:tcW w:w="2835" w:type="dxa"/>
            <w:vAlign w:val="center"/>
          </w:tcPr>
          <w:p>
            <w:pPr>
              <w:pStyle w:val="24"/>
            </w:pPr>
            <w:r>
              <w:t>贴息企业数量</w:t>
            </w:r>
          </w:p>
        </w:tc>
        <w:tc>
          <w:tcPr>
            <w:tcW w:w="2551" w:type="dxa"/>
            <w:vAlign w:val="center"/>
          </w:tcPr>
          <w:p>
            <w:pPr>
              <w:pStyle w:val="24"/>
            </w:pPr>
            <w:r>
              <w:t>≥100个数</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贴息资金使用质量</w:t>
            </w:r>
          </w:p>
        </w:tc>
        <w:tc>
          <w:tcPr>
            <w:tcW w:w="2835" w:type="dxa"/>
            <w:vAlign w:val="center"/>
          </w:tcPr>
          <w:p>
            <w:pPr>
              <w:pStyle w:val="24"/>
            </w:pPr>
            <w:r>
              <w:t>贴息资金使用质量</w:t>
            </w:r>
          </w:p>
        </w:tc>
        <w:tc>
          <w:tcPr>
            <w:tcW w:w="2551" w:type="dxa"/>
            <w:vAlign w:val="center"/>
          </w:tcPr>
          <w:p>
            <w:pPr>
              <w:pStyle w:val="24"/>
            </w:pPr>
            <w:r>
              <w:t>≥100质量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认定时间</w:t>
            </w:r>
          </w:p>
        </w:tc>
        <w:tc>
          <w:tcPr>
            <w:tcW w:w="2835" w:type="dxa"/>
            <w:vAlign w:val="center"/>
          </w:tcPr>
          <w:p>
            <w:pPr>
              <w:pStyle w:val="24"/>
            </w:pPr>
            <w:r>
              <w:t>认定时间</w:t>
            </w:r>
          </w:p>
        </w:tc>
        <w:tc>
          <w:tcPr>
            <w:tcW w:w="2551" w:type="dxa"/>
            <w:vAlign w:val="center"/>
          </w:tcPr>
          <w:p>
            <w:pPr>
              <w:pStyle w:val="24"/>
            </w:pPr>
            <w:r>
              <w:t>≥100时效</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贴息资金拨付成本</w:t>
            </w:r>
          </w:p>
        </w:tc>
        <w:tc>
          <w:tcPr>
            <w:tcW w:w="2835" w:type="dxa"/>
            <w:vAlign w:val="center"/>
          </w:tcPr>
          <w:p>
            <w:pPr>
              <w:pStyle w:val="24"/>
            </w:pPr>
            <w:r>
              <w:t>贴息资金拨付成本</w:t>
            </w:r>
          </w:p>
        </w:tc>
        <w:tc>
          <w:tcPr>
            <w:tcW w:w="2551" w:type="dxa"/>
            <w:vAlign w:val="center"/>
          </w:tcPr>
          <w:p>
            <w:pPr>
              <w:pStyle w:val="24"/>
            </w:pPr>
            <w:r>
              <w:t>≥100成本</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pPr>
            <w:r>
              <w:t>贴息资金给企业带来的经济效益</w:t>
            </w:r>
          </w:p>
        </w:tc>
        <w:tc>
          <w:tcPr>
            <w:tcW w:w="2835" w:type="dxa"/>
            <w:vAlign w:val="center"/>
          </w:tcPr>
          <w:p>
            <w:pPr>
              <w:pStyle w:val="24"/>
            </w:pPr>
            <w:r>
              <w:t>贴息资金给企业带来的经济效益</w:t>
            </w:r>
          </w:p>
        </w:tc>
        <w:tc>
          <w:tcPr>
            <w:tcW w:w="2551" w:type="dxa"/>
            <w:vAlign w:val="center"/>
          </w:tcPr>
          <w:p>
            <w:pPr>
              <w:pStyle w:val="24"/>
            </w:pPr>
            <w:r>
              <w:t>≥100经济效益</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贴息企业的满意度</w:t>
            </w:r>
          </w:p>
        </w:tc>
        <w:tc>
          <w:tcPr>
            <w:tcW w:w="2835" w:type="dxa"/>
            <w:vAlign w:val="center"/>
          </w:tcPr>
          <w:p>
            <w:pPr>
              <w:pStyle w:val="24"/>
            </w:pPr>
            <w:r>
              <w:t>贴息企业的满意度</w:t>
            </w:r>
          </w:p>
        </w:tc>
        <w:tc>
          <w:tcPr>
            <w:tcW w:w="2551" w:type="dxa"/>
            <w:vAlign w:val="center"/>
          </w:tcPr>
          <w:p>
            <w:pPr>
              <w:pStyle w:val="24"/>
            </w:pPr>
            <w:r>
              <w:t>≥100满意度</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2、工商联经费绩效目标表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本年度开展活动次数</w:t>
            </w:r>
          </w:p>
        </w:tc>
        <w:tc>
          <w:tcPr>
            <w:tcW w:w="2835" w:type="dxa"/>
            <w:vAlign w:val="center"/>
          </w:tcPr>
          <w:p>
            <w:pPr>
              <w:pStyle w:val="24"/>
            </w:pPr>
            <w:r>
              <w:t>本年度开展活动次数</w:t>
            </w:r>
          </w:p>
        </w:tc>
        <w:tc>
          <w:tcPr>
            <w:tcW w:w="2551" w:type="dxa"/>
            <w:vAlign w:val="center"/>
          </w:tcPr>
          <w:p>
            <w:pPr>
              <w:pStyle w:val="24"/>
            </w:pPr>
            <w:r>
              <w:t>≥10数量</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开展工作的质量</w:t>
            </w:r>
          </w:p>
        </w:tc>
        <w:tc>
          <w:tcPr>
            <w:tcW w:w="2835" w:type="dxa"/>
            <w:vAlign w:val="center"/>
          </w:tcPr>
          <w:p>
            <w:pPr>
              <w:pStyle w:val="24"/>
            </w:pPr>
            <w:r>
              <w:t>开展工作的质量率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工作活动开展的时间要求</w:t>
            </w:r>
          </w:p>
        </w:tc>
        <w:tc>
          <w:tcPr>
            <w:tcW w:w="2835" w:type="dxa"/>
            <w:vAlign w:val="center"/>
          </w:tcPr>
          <w:p>
            <w:pPr>
              <w:pStyle w:val="24"/>
            </w:pPr>
            <w:r>
              <w:t>工作活动开展的时间要求</w:t>
            </w:r>
          </w:p>
        </w:tc>
        <w:tc>
          <w:tcPr>
            <w:tcW w:w="2551" w:type="dxa"/>
            <w:vAlign w:val="center"/>
          </w:tcPr>
          <w:p>
            <w:pPr>
              <w:pStyle w:val="24"/>
            </w:pPr>
            <w:r>
              <w:t>≥1本年度内完成</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开展活动的资金成本</w:t>
            </w:r>
          </w:p>
        </w:tc>
        <w:tc>
          <w:tcPr>
            <w:tcW w:w="2835" w:type="dxa"/>
            <w:vAlign w:val="center"/>
          </w:tcPr>
          <w:p>
            <w:pPr>
              <w:pStyle w:val="24"/>
            </w:pPr>
            <w:r>
              <w:t>开展活动的资金成本</w:t>
            </w:r>
          </w:p>
        </w:tc>
        <w:tc>
          <w:tcPr>
            <w:tcW w:w="2551" w:type="dxa"/>
            <w:vAlign w:val="center"/>
          </w:tcPr>
          <w:p>
            <w:pPr>
              <w:pStyle w:val="24"/>
            </w:pPr>
            <w:r>
              <w:t>≥1经费控制在1万元内</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带来的社会效果</w:t>
            </w:r>
          </w:p>
        </w:tc>
        <w:tc>
          <w:tcPr>
            <w:tcW w:w="2835" w:type="dxa"/>
            <w:vAlign w:val="center"/>
          </w:tcPr>
          <w:p>
            <w:pPr>
              <w:pStyle w:val="24"/>
            </w:pPr>
            <w:r>
              <w:t>带来的社会效果</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民营企业满意度</w:t>
            </w:r>
          </w:p>
        </w:tc>
        <w:tc>
          <w:tcPr>
            <w:tcW w:w="2835" w:type="dxa"/>
            <w:vAlign w:val="center"/>
          </w:tcPr>
          <w:p>
            <w:pPr>
              <w:pStyle w:val="24"/>
            </w:pPr>
            <w:r>
              <w:t>民营企业满意度</w:t>
            </w:r>
          </w:p>
        </w:tc>
        <w:tc>
          <w:tcPr>
            <w:tcW w:w="2551" w:type="dxa"/>
            <w:vAlign w:val="center"/>
          </w:tcPr>
          <w:p>
            <w:pPr>
              <w:pStyle w:val="24"/>
            </w:pPr>
            <w:r>
              <w:t>≥100百分比</w:t>
            </w:r>
          </w:p>
        </w:tc>
        <w:tc>
          <w:tcPr>
            <w:tcW w:w="2268" w:type="dxa"/>
            <w:vAlign w:val="center"/>
          </w:tcPr>
          <w:p>
            <w:pPr>
              <w:pStyle w:val="24"/>
            </w:pPr>
            <w:r>
              <w:t>年初工作计划</w:t>
            </w:r>
          </w:p>
        </w:tc>
      </w:tr>
    </w:tbl>
    <w:p>
      <w:pPr>
        <w:pStyle w:val="22"/>
      </w:pPr>
    </w:p>
    <w:p>
      <w:pPr>
        <w:pStyle w:val="22"/>
        <w:ind w:firstLine="560"/>
      </w:pPr>
      <w:r>
        <w:rPr>
          <w:rFonts w:ascii="方正仿宋_GBK" w:hAnsi="方正仿宋_GBK" w:eastAsia="方正仿宋_GBK" w:cs="方正仿宋_GBK"/>
          <w:b/>
          <w:color w:val="000000"/>
          <w:sz w:val="28"/>
        </w:rPr>
        <w:t>3、归侨职工生活补贴绩效目标表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生活困难归侨个数</w:t>
            </w:r>
          </w:p>
        </w:tc>
        <w:tc>
          <w:tcPr>
            <w:tcW w:w="2835" w:type="dxa"/>
            <w:vAlign w:val="center"/>
          </w:tcPr>
          <w:p>
            <w:pPr>
              <w:pStyle w:val="24"/>
            </w:pPr>
            <w:r>
              <w:t>生活苦难归侨数量</w:t>
            </w:r>
          </w:p>
        </w:tc>
        <w:tc>
          <w:tcPr>
            <w:tcW w:w="2551" w:type="dxa"/>
            <w:vAlign w:val="center"/>
          </w:tcPr>
          <w:p>
            <w:pPr>
              <w:pStyle w:val="24"/>
            </w:pPr>
            <w:r>
              <w:t>≥100个</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补助资金使用质量</w:t>
            </w:r>
          </w:p>
        </w:tc>
        <w:tc>
          <w:tcPr>
            <w:tcW w:w="2835" w:type="dxa"/>
            <w:vAlign w:val="center"/>
          </w:tcPr>
          <w:p>
            <w:pPr>
              <w:pStyle w:val="24"/>
            </w:pPr>
            <w:r>
              <w:t>补助资金使用质量</w:t>
            </w:r>
          </w:p>
        </w:tc>
        <w:tc>
          <w:tcPr>
            <w:tcW w:w="2551" w:type="dxa"/>
            <w:vAlign w:val="center"/>
          </w:tcPr>
          <w:p>
            <w:pPr>
              <w:pStyle w:val="24"/>
            </w:pPr>
            <w:r>
              <w:t>≥100质量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补助资金发放时间</w:t>
            </w:r>
          </w:p>
        </w:tc>
        <w:tc>
          <w:tcPr>
            <w:tcW w:w="2835" w:type="dxa"/>
            <w:vAlign w:val="center"/>
          </w:tcPr>
          <w:p>
            <w:pPr>
              <w:pStyle w:val="24"/>
            </w:pPr>
            <w:r>
              <w:t>补助资金发放时间</w:t>
            </w:r>
          </w:p>
        </w:tc>
        <w:tc>
          <w:tcPr>
            <w:tcW w:w="2551" w:type="dxa"/>
            <w:vAlign w:val="center"/>
          </w:tcPr>
          <w:p>
            <w:pPr>
              <w:pStyle w:val="24"/>
            </w:pPr>
            <w:r>
              <w:t>≥100时间</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补助资金发放成本</w:t>
            </w:r>
          </w:p>
        </w:tc>
        <w:tc>
          <w:tcPr>
            <w:tcW w:w="2835" w:type="dxa"/>
            <w:vAlign w:val="center"/>
          </w:tcPr>
          <w:p>
            <w:pPr>
              <w:pStyle w:val="24"/>
            </w:pPr>
            <w:r>
              <w:t>补助资金发放成本</w:t>
            </w:r>
          </w:p>
        </w:tc>
        <w:tc>
          <w:tcPr>
            <w:tcW w:w="2551" w:type="dxa"/>
            <w:vAlign w:val="center"/>
          </w:tcPr>
          <w:p>
            <w:pPr>
              <w:pStyle w:val="24"/>
            </w:pPr>
            <w:r>
              <w:t>≥100成本</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带来的社会效益</w:t>
            </w:r>
          </w:p>
        </w:tc>
        <w:tc>
          <w:tcPr>
            <w:tcW w:w="2835" w:type="dxa"/>
            <w:vAlign w:val="center"/>
          </w:tcPr>
          <w:p>
            <w:pPr>
              <w:pStyle w:val="24"/>
            </w:pPr>
            <w:r>
              <w:t>带来的社会效益</w:t>
            </w:r>
          </w:p>
        </w:tc>
        <w:tc>
          <w:tcPr>
            <w:tcW w:w="2551" w:type="dxa"/>
            <w:vAlign w:val="center"/>
          </w:tcPr>
          <w:p>
            <w:pPr>
              <w:pStyle w:val="24"/>
            </w:pPr>
            <w:r>
              <w:t>≥100社会效益</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生活困难归侨满意度</w:t>
            </w:r>
          </w:p>
        </w:tc>
        <w:tc>
          <w:tcPr>
            <w:tcW w:w="2835" w:type="dxa"/>
            <w:vAlign w:val="center"/>
          </w:tcPr>
          <w:p>
            <w:pPr>
              <w:pStyle w:val="24"/>
            </w:pPr>
            <w:r>
              <w:t>生活困难归侨满意度</w:t>
            </w:r>
          </w:p>
        </w:tc>
        <w:tc>
          <w:tcPr>
            <w:tcW w:w="2551" w:type="dxa"/>
            <w:vAlign w:val="center"/>
          </w:tcPr>
          <w:p>
            <w:pPr>
              <w:pStyle w:val="24"/>
            </w:pPr>
            <w:r>
              <w:t>≥100满意度</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4、基层治理工作队经费绩效目标表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工作队人员数量</w:t>
            </w:r>
          </w:p>
        </w:tc>
        <w:tc>
          <w:tcPr>
            <w:tcW w:w="2835" w:type="dxa"/>
            <w:vAlign w:val="center"/>
          </w:tcPr>
          <w:p>
            <w:pPr>
              <w:pStyle w:val="24"/>
            </w:pPr>
            <w:r>
              <w:t>工作队人员数量</w:t>
            </w:r>
          </w:p>
        </w:tc>
        <w:tc>
          <w:tcPr>
            <w:tcW w:w="2551" w:type="dxa"/>
            <w:vAlign w:val="center"/>
          </w:tcPr>
          <w:p>
            <w:pPr>
              <w:pStyle w:val="24"/>
            </w:pPr>
            <w:r>
              <w:t>≥21数量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工作完成质量率</w:t>
            </w:r>
          </w:p>
        </w:tc>
        <w:tc>
          <w:tcPr>
            <w:tcW w:w="2835" w:type="dxa"/>
            <w:vAlign w:val="center"/>
          </w:tcPr>
          <w:p>
            <w:pPr>
              <w:pStyle w:val="24"/>
            </w:pPr>
            <w:r>
              <w:t>工作完成质量率</w:t>
            </w:r>
          </w:p>
        </w:tc>
        <w:tc>
          <w:tcPr>
            <w:tcW w:w="2551" w:type="dxa"/>
            <w:vAlign w:val="center"/>
          </w:tcPr>
          <w:p>
            <w:pPr>
              <w:pStyle w:val="24"/>
            </w:pPr>
            <w:r>
              <w:t>≥90百分比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工作完成时间</w:t>
            </w:r>
          </w:p>
        </w:tc>
        <w:tc>
          <w:tcPr>
            <w:tcW w:w="2835" w:type="dxa"/>
            <w:vAlign w:val="center"/>
          </w:tcPr>
          <w:p>
            <w:pPr>
              <w:pStyle w:val="24"/>
            </w:pPr>
            <w:r>
              <w:t>工作完成时间率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完成工作需要的成本</w:t>
            </w:r>
          </w:p>
        </w:tc>
        <w:tc>
          <w:tcPr>
            <w:tcW w:w="2835" w:type="dxa"/>
            <w:vAlign w:val="center"/>
          </w:tcPr>
          <w:p>
            <w:pPr>
              <w:pStyle w:val="24"/>
            </w:pPr>
            <w:r>
              <w:t>完成各项工作需要的成本率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可带来的社会效益</w:t>
            </w:r>
          </w:p>
        </w:tc>
        <w:tc>
          <w:tcPr>
            <w:tcW w:w="2835" w:type="dxa"/>
            <w:vAlign w:val="center"/>
          </w:tcPr>
          <w:p>
            <w:pPr>
              <w:pStyle w:val="24"/>
            </w:pPr>
            <w:r>
              <w:t>可带来的社会效益率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工作队所在村群众满意度</w:t>
            </w:r>
          </w:p>
        </w:tc>
        <w:tc>
          <w:tcPr>
            <w:tcW w:w="2835" w:type="dxa"/>
            <w:vAlign w:val="center"/>
          </w:tcPr>
          <w:p>
            <w:pPr>
              <w:pStyle w:val="24"/>
            </w:pPr>
            <w:r>
              <w:t>工作队所在村群众满意度</w:t>
            </w:r>
          </w:p>
        </w:tc>
        <w:tc>
          <w:tcPr>
            <w:tcW w:w="2551" w:type="dxa"/>
            <w:vAlign w:val="center"/>
          </w:tcPr>
          <w:p>
            <w:pPr>
              <w:pStyle w:val="24"/>
            </w:pPr>
            <w:r>
              <w:t>≥100满意度</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5、冀财金[2021]57号/县级/2022年县级普惠金融发展专项资金（民贸民品企业贷款贴息）绩效目标表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1.确定拨付企业数量</w:t>
            </w:r>
          </w:p>
          <w:p>
            <w:pPr>
              <w:pStyle w:val="24"/>
            </w:pPr>
            <w:r>
              <w:t>2.对所拨付企业金额进行审核</w:t>
            </w:r>
          </w:p>
          <w:p>
            <w:pPr>
              <w:pStyle w:val="24"/>
            </w:pPr>
            <w:r>
              <w:t>3.按照要求，及时拨付</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民贸民品企业数量</w:t>
            </w:r>
          </w:p>
        </w:tc>
        <w:tc>
          <w:tcPr>
            <w:tcW w:w="2835" w:type="dxa"/>
            <w:vAlign w:val="center"/>
          </w:tcPr>
          <w:p>
            <w:pPr>
              <w:pStyle w:val="24"/>
            </w:pPr>
            <w:r>
              <w:t>民贸民品企业数量</w:t>
            </w:r>
          </w:p>
        </w:tc>
        <w:tc>
          <w:tcPr>
            <w:tcW w:w="2551" w:type="dxa"/>
            <w:vAlign w:val="center"/>
          </w:tcPr>
          <w:p>
            <w:pPr>
              <w:pStyle w:val="24"/>
            </w:pPr>
            <w:r>
              <w:t>≥100数量</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贴息资金使用质量</w:t>
            </w:r>
          </w:p>
        </w:tc>
        <w:tc>
          <w:tcPr>
            <w:tcW w:w="2835" w:type="dxa"/>
            <w:vAlign w:val="center"/>
          </w:tcPr>
          <w:p>
            <w:pPr>
              <w:pStyle w:val="24"/>
            </w:pPr>
            <w:r>
              <w:t>贴息资金使用质量</w:t>
            </w:r>
          </w:p>
        </w:tc>
        <w:tc>
          <w:tcPr>
            <w:tcW w:w="2551" w:type="dxa"/>
            <w:vAlign w:val="center"/>
          </w:tcPr>
          <w:p>
            <w:pPr>
              <w:pStyle w:val="24"/>
            </w:pPr>
            <w:r>
              <w:t>≥100质量</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贴息资金拨付时间</w:t>
            </w:r>
          </w:p>
        </w:tc>
        <w:tc>
          <w:tcPr>
            <w:tcW w:w="2835" w:type="dxa"/>
            <w:vAlign w:val="center"/>
          </w:tcPr>
          <w:p>
            <w:pPr>
              <w:pStyle w:val="24"/>
            </w:pPr>
            <w:r>
              <w:t>贴息资金拨付时间</w:t>
            </w:r>
          </w:p>
        </w:tc>
        <w:tc>
          <w:tcPr>
            <w:tcW w:w="2551" w:type="dxa"/>
            <w:vAlign w:val="center"/>
          </w:tcPr>
          <w:p>
            <w:pPr>
              <w:pStyle w:val="24"/>
            </w:pPr>
            <w:r>
              <w:t>≥100时间</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拨付贴息资金成本</w:t>
            </w:r>
          </w:p>
        </w:tc>
        <w:tc>
          <w:tcPr>
            <w:tcW w:w="2835" w:type="dxa"/>
            <w:vAlign w:val="center"/>
          </w:tcPr>
          <w:p>
            <w:pPr>
              <w:pStyle w:val="24"/>
            </w:pPr>
            <w:r>
              <w:t>拨付贴息资金成本</w:t>
            </w:r>
          </w:p>
        </w:tc>
        <w:tc>
          <w:tcPr>
            <w:tcW w:w="2551" w:type="dxa"/>
            <w:vAlign w:val="center"/>
          </w:tcPr>
          <w:p>
            <w:pPr>
              <w:pStyle w:val="24"/>
            </w:pPr>
            <w:r>
              <w:t>≥100成本</w:t>
            </w:r>
          </w:p>
        </w:tc>
        <w:tc>
          <w:tcPr>
            <w:tcW w:w="2268" w:type="dxa"/>
            <w:vAlign w:val="center"/>
          </w:tcPr>
          <w:p>
            <w:pPr>
              <w:pStyle w:val="24"/>
            </w:pPr>
            <w:r>
              <w:t>冀财规【2019】12号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民贸民品企业满意度</w:t>
            </w:r>
          </w:p>
        </w:tc>
        <w:tc>
          <w:tcPr>
            <w:tcW w:w="2835" w:type="dxa"/>
            <w:vAlign w:val="center"/>
          </w:tcPr>
          <w:p>
            <w:pPr>
              <w:pStyle w:val="24"/>
            </w:pPr>
            <w:r>
              <w:t>民贸民品企业满意度</w:t>
            </w:r>
          </w:p>
        </w:tc>
        <w:tc>
          <w:tcPr>
            <w:tcW w:w="2551" w:type="dxa"/>
            <w:vAlign w:val="center"/>
          </w:tcPr>
          <w:p>
            <w:pPr>
              <w:pStyle w:val="24"/>
            </w:pPr>
            <w:r>
              <w:t>≥100满意度</w:t>
            </w:r>
          </w:p>
        </w:tc>
        <w:tc>
          <w:tcPr>
            <w:tcW w:w="2268" w:type="dxa"/>
            <w:vAlign w:val="center"/>
          </w:tcPr>
          <w:p>
            <w:pPr>
              <w:pStyle w:val="24"/>
            </w:pPr>
            <w:r>
              <w:t>冀财规【2019】12号</w:t>
            </w:r>
          </w:p>
        </w:tc>
      </w:tr>
    </w:tbl>
    <w:p>
      <w:pPr>
        <w:pStyle w:val="22"/>
      </w:pPr>
    </w:p>
    <w:p>
      <w:pPr>
        <w:pStyle w:val="22"/>
        <w:ind w:firstLine="560"/>
      </w:pPr>
      <w:r>
        <w:rPr>
          <w:rFonts w:ascii="方正仿宋_GBK" w:hAnsi="方正仿宋_GBK" w:eastAsia="方正仿宋_GBK" w:cs="方正仿宋_GBK"/>
          <w:b/>
          <w:color w:val="000000"/>
          <w:sz w:val="28"/>
        </w:rPr>
        <w:t>6、劳务派遣人员工资绩效目标表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劳务派遣人员数量</w:t>
            </w:r>
          </w:p>
        </w:tc>
        <w:tc>
          <w:tcPr>
            <w:tcW w:w="2835" w:type="dxa"/>
            <w:vAlign w:val="center"/>
          </w:tcPr>
          <w:p>
            <w:pPr>
              <w:pStyle w:val="24"/>
            </w:pPr>
            <w:r>
              <w:t>人员数量</w:t>
            </w:r>
          </w:p>
        </w:tc>
        <w:tc>
          <w:tcPr>
            <w:tcW w:w="2551" w:type="dxa"/>
            <w:vAlign w:val="center"/>
          </w:tcPr>
          <w:p>
            <w:pPr>
              <w:pStyle w:val="24"/>
            </w:pPr>
            <w:r>
              <w:t>2人员数量</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工资发放质量</w:t>
            </w:r>
          </w:p>
        </w:tc>
        <w:tc>
          <w:tcPr>
            <w:tcW w:w="2835" w:type="dxa"/>
            <w:vAlign w:val="center"/>
          </w:tcPr>
          <w:p>
            <w:pPr>
              <w:pStyle w:val="24"/>
            </w:pPr>
            <w:r>
              <w:t>工资发放质量</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劳务派遣人员工资发放率</w:t>
            </w:r>
          </w:p>
        </w:tc>
        <w:tc>
          <w:tcPr>
            <w:tcW w:w="2835" w:type="dxa"/>
            <w:vAlign w:val="center"/>
          </w:tcPr>
          <w:p>
            <w:pPr>
              <w:pStyle w:val="24"/>
            </w:pPr>
            <w:r>
              <w:t>劳务派遣人员工资发放时间</w:t>
            </w:r>
          </w:p>
        </w:tc>
        <w:tc>
          <w:tcPr>
            <w:tcW w:w="2551" w:type="dxa"/>
            <w:vAlign w:val="center"/>
          </w:tcPr>
          <w:p>
            <w:pPr>
              <w:pStyle w:val="24"/>
            </w:pPr>
            <w:r>
              <w:t>≥12本年度内按月发放</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工资发放成本率</w:t>
            </w:r>
          </w:p>
        </w:tc>
        <w:tc>
          <w:tcPr>
            <w:tcW w:w="2835" w:type="dxa"/>
            <w:vAlign w:val="center"/>
          </w:tcPr>
          <w:p>
            <w:pPr>
              <w:pStyle w:val="24"/>
            </w:pPr>
            <w:r>
              <w:t>工资发放成本率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劳务派遣人员社会效益率指标</w:t>
            </w:r>
          </w:p>
        </w:tc>
        <w:tc>
          <w:tcPr>
            <w:tcW w:w="2835" w:type="dxa"/>
            <w:vAlign w:val="center"/>
          </w:tcPr>
          <w:p>
            <w:pPr>
              <w:pStyle w:val="24"/>
            </w:pPr>
            <w:r>
              <w:t>劳务派遣人员社会效益率指标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发放人员的满意度</w:t>
            </w:r>
          </w:p>
        </w:tc>
        <w:tc>
          <w:tcPr>
            <w:tcW w:w="2835" w:type="dxa"/>
            <w:vAlign w:val="center"/>
          </w:tcPr>
          <w:p>
            <w:pPr>
              <w:pStyle w:val="24"/>
            </w:pPr>
            <w:r>
              <w:t>发放人员的满意度</w:t>
            </w:r>
          </w:p>
        </w:tc>
        <w:tc>
          <w:tcPr>
            <w:tcW w:w="2551" w:type="dxa"/>
            <w:vAlign w:val="center"/>
          </w:tcPr>
          <w:p>
            <w:pPr>
              <w:pStyle w:val="24"/>
            </w:pPr>
            <w:r>
              <w:t>≥100百分比</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7、民贸民品贷款审计经费绩效目标表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补贴资金的审计次数</w:t>
            </w:r>
          </w:p>
        </w:tc>
        <w:tc>
          <w:tcPr>
            <w:tcW w:w="2835" w:type="dxa"/>
            <w:vAlign w:val="center"/>
          </w:tcPr>
          <w:p>
            <w:pPr>
              <w:pStyle w:val="24"/>
            </w:pPr>
            <w:r>
              <w:t>补贴资金的审计次数</w:t>
            </w:r>
          </w:p>
        </w:tc>
        <w:tc>
          <w:tcPr>
            <w:tcW w:w="2551" w:type="dxa"/>
            <w:vAlign w:val="center"/>
          </w:tcPr>
          <w:p>
            <w:pPr>
              <w:pStyle w:val="24"/>
            </w:pPr>
            <w:r>
              <w:t>≥1次</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民贸民品贴息资金审计质量</w:t>
            </w:r>
          </w:p>
        </w:tc>
        <w:tc>
          <w:tcPr>
            <w:tcW w:w="2835" w:type="dxa"/>
            <w:vAlign w:val="center"/>
          </w:tcPr>
          <w:p>
            <w:pPr>
              <w:pStyle w:val="24"/>
            </w:pPr>
            <w:r>
              <w:t>民贸民品贴息资金审计质量率</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贴息资金的审计时间</w:t>
            </w:r>
          </w:p>
        </w:tc>
        <w:tc>
          <w:tcPr>
            <w:tcW w:w="2835" w:type="dxa"/>
            <w:vAlign w:val="center"/>
          </w:tcPr>
          <w:p>
            <w:pPr>
              <w:pStyle w:val="24"/>
            </w:pPr>
            <w:r>
              <w:t>贴息资金的审计时间</w:t>
            </w:r>
          </w:p>
        </w:tc>
        <w:tc>
          <w:tcPr>
            <w:tcW w:w="2551" w:type="dxa"/>
            <w:vAlign w:val="center"/>
          </w:tcPr>
          <w:p>
            <w:pPr>
              <w:pStyle w:val="24"/>
            </w:pPr>
            <w:r>
              <w:t>≥66月份之前完成</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贴息资金的审计成本</w:t>
            </w:r>
          </w:p>
        </w:tc>
        <w:tc>
          <w:tcPr>
            <w:tcW w:w="2835" w:type="dxa"/>
            <w:vAlign w:val="center"/>
          </w:tcPr>
          <w:p>
            <w:pPr>
              <w:pStyle w:val="24"/>
            </w:pPr>
            <w:r>
              <w:t>贴息资金的审计成本</w:t>
            </w:r>
          </w:p>
        </w:tc>
        <w:tc>
          <w:tcPr>
            <w:tcW w:w="2551" w:type="dxa"/>
            <w:vAlign w:val="center"/>
          </w:tcPr>
          <w:p>
            <w:pPr>
              <w:pStyle w:val="24"/>
            </w:pPr>
            <w:r>
              <w:t>≥3控制在3万元以内</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审计资金使用的社会效益</w:t>
            </w:r>
          </w:p>
        </w:tc>
        <w:tc>
          <w:tcPr>
            <w:tcW w:w="2835" w:type="dxa"/>
            <w:vAlign w:val="center"/>
          </w:tcPr>
          <w:p>
            <w:pPr>
              <w:pStyle w:val="24"/>
            </w:pPr>
            <w:r>
              <w:t>审计资金使用的社会效益</w:t>
            </w:r>
          </w:p>
        </w:tc>
        <w:tc>
          <w:tcPr>
            <w:tcW w:w="2551" w:type="dxa"/>
            <w:vAlign w:val="center"/>
          </w:tcPr>
          <w:p>
            <w:pPr>
              <w:pStyle w:val="24"/>
            </w:pPr>
            <w:r>
              <w:t>≥100百分比</w:t>
            </w:r>
          </w:p>
        </w:tc>
        <w:tc>
          <w:tcPr>
            <w:tcW w:w="2268" w:type="dxa"/>
            <w:vAlign w:val="center"/>
          </w:tcPr>
          <w:p>
            <w:pPr>
              <w:pStyle w:val="2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被审计企业的满意度</w:t>
            </w:r>
          </w:p>
        </w:tc>
        <w:tc>
          <w:tcPr>
            <w:tcW w:w="2835" w:type="dxa"/>
            <w:vAlign w:val="center"/>
          </w:tcPr>
          <w:p>
            <w:pPr>
              <w:pStyle w:val="24"/>
            </w:pPr>
            <w:r>
              <w:t>被审计企业的满意度</w:t>
            </w:r>
          </w:p>
        </w:tc>
        <w:tc>
          <w:tcPr>
            <w:tcW w:w="2551" w:type="dxa"/>
            <w:vAlign w:val="center"/>
          </w:tcPr>
          <w:p>
            <w:pPr>
              <w:pStyle w:val="24"/>
            </w:pPr>
            <w:r>
              <w:t>≥100百分比</w:t>
            </w:r>
          </w:p>
        </w:tc>
        <w:tc>
          <w:tcPr>
            <w:tcW w:w="2268" w:type="dxa"/>
            <w:vAlign w:val="center"/>
          </w:tcPr>
          <w:p>
            <w:pPr>
              <w:pStyle w:val="24"/>
            </w:pPr>
            <w:r>
              <w:t>有关文件</w:t>
            </w:r>
          </w:p>
        </w:tc>
      </w:tr>
    </w:tbl>
    <w:p>
      <w:pPr>
        <w:pStyle w:val="22"/>
      </w:pPr>
    </w:p>
    <w:p>
      <w:pPr>
        <w:pStyle w:val="22"/>
        <w:ind w:firstLine="560"/>
      </w:pPr>
      <w:r>
        <w:rPr>
          <w:rFonts w:ascii="方正仿宋_GBK" w:hAnsi="方正仿宋_GBK" w:eastAsia="方正仿宋_GBK" w:cs="方正仿宋_GBK"/>
          <w:b/>
          <w:color w:val="000000"/>
          <w:sz w:val="28"/>
        </w:rPr>
        <w:t>8、民营企业培训经费绩效目标表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民营企业培训次数</w:t>
            </w:r>
          </w:p>
        </w:tc>
        <w:tc>
          <w:tcPr>
            <w:tcW w:w="2835" w:type="dxa"/>
            <w:vAlign w:val="center"/>
          </w:tcPr>
          <w:p>
            <w:pPr>
              <w:pStyle w:val="24"/>
            </w:pPr>
            <w:r>
              <w:t>民营企业培训次数</w:t>
            </w:r>
          </w:p>
        </w:tc>
        <w:tc>
          <w:tcPr>
            <w:tcW w:w="2551" w:type="dxa"/>
            <w:vAlign w:val="center"/>
          </w:tcPr>
          <w:p>
            <w:pPr>
              <w:pStyle w:val="24"/>
            </w:pPr>
            <w:r>
              <w:t>≥20开展培训次数</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民营企业培训质量</w:t>
            </w:r>
          </w:p>
        </w:tc>
        <w:tc>
          <w:tcPr>
            <w:tcW w:w="2835" w:type="dxa"/>
            <w:vAlign w:val="center"/>
          </w:tcPr>
          <w:p>
            <w:pPr>
              <w:pStyle w:val="24"/>
            </w:pPr>
            <w:r>
              <w:t>民营企业培训质量率</w:t>
            </w:r>
          </w:p>
        </w:tc>
        <w:tc>
          <w:tcPr>
            <w:tcW w:w="2551" w:type="dxa"/>
            <w:vAlign w:val="center"/>
          </w:tcPr>
          <w:p>
            <w:pPr>
              <w:pStyle w:val="24"/>
            </w:pPr>
            <w:r>
              <w:t>≥100百分比</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培训的时间要求</w:t>
            </w:r>
          </w:p>
        </w:tc>
        <w:tc>
          <w:tcPr>
            <w:tcW w:w="2835" w:type="dxa"/>
            <w:vAlign w:val="center"/>
          </w:tcPr>
          <w:p>
            <w:pPr>
              <w:pStyle w:val="24"/>
            </w:pPr>
            <w:r>
              <w:t>培训的时间率</w:t>
            </w:r>
          </w:p>
        </w:tc>
        <w:tc>
          <w:tcPr>
            <w:tcW w:w="2551" w:type="dxa"/>
            <w:vAlign w:val="center"/>
          </w:tcPr>
          <w:p>
            <w:pPr>
              <w:pStyle w:val="24"/>
            </w:pPr>
            <w:r>
              <w:t>≥100百分比</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培训费用成本</w:t>
            </w:r>
          </w:p>
        </w:tc>
        <w:tc>
          <w:tcPr>
            <w:tcW w:w="2835" w:type="dxa"/>
            <w:vAlign w:val="center"/>
          </w:tcPr>
          <w:p>
            <w:pPr>
              <w:pStyle w:val="24"/>
            </w:pPr>
            <w:r>
              <w:t>培训费用成本</w:t>
            </w:r>
          </w:p>
        </w:tc>
        <w:tc>
          <w:tcPr>
            <w:tcW w:w="2551" w:type="dxa"/>
            <w:vAlign w:val="center"/>
          </w:tcPr>
          <w:p>
            <w:pPr>
              <w:pStyle w:val="24"/>
            </w:pPr>
            <w:r>
              <w:t>≥26控制在26万元内</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带来的社会效果</w:t>
            </w:r>
          </w:p>
        </w:tc>
        <w:tc>
          <w:tcPr>
            <w:tcW w:w="2835" w:type="dxa"/>
            <w:vAlign w:val="center"/>
          </w:tcPr>
          <w:p>
            <w:pPr>
              <w:pStyle w:val="24"/>
            </w:pPr>
            <w:r>
              <w:t>带来的社会效果率</w:t>
            </w:r>
          </w:p>
        </w:tc>
        <w:tc>
          <w:tcPr>
            <w:tcW w:w="2551" w:type="dxa"/>
            <w:vAlign w:val="center"/>
          </w:tcPr>
          <w:p>
            <w:pPr>
              <w:pStyle w:val="24"/>
            </w:pPr>
            <w:r>
              <w:t>≥100百分比</w:t>
            </w:r>
          </w:p>
        </w:tc>
        <w:tc>
          <w:tcPr>
            <w:tcW w:w="2268" w:type="dxa"/>
            <w:vAlign w:val="center"/>
          </w:tcPr>
          <w:p>
            <w:pPr>
              <w:pStyle w:val="24"/>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民营企业满意度</w:t>
            </w:r>
          </w:p>
        </w:tc>
        <w:tc>
          <w:tcPr>
            <w:tcW w:w="2835" w:type="dxa"/>
            <w:vAlign w:val="center"/>
          </w:tcPr>
          <w:p>
            <w:pPr>
              <w:pStyle w:val="24"/>
            </w:pPr>
            <w:r>
              <w:t>民营企业满意度</w:t>
            </w:r>
          </w:p>
        </w:tc>
        <w:tc>
          <w:tcPr>
            <w:tcW w:w="2551" w:type="dxa"/>
            <w:vAlign w:val="center"/>
          </w:tcPr>
          <w:p>
            <w:pPr>
              <w:pStyle w:val="24"/>
            </w:pPr>
            <w:r>
              <w:t>≥100百分比</w:t>
            </w:r>
          </w:p>
        </w:tc>
        <w:tc>
          <w:tcPr>
            <w:tcW w:w="2268" w:type="dxa"/>
            <w:vAlign w:val="center"/>
          </w:tcPr>
          <w:p>
            <w:pPr>
              <w:pStyle w:val="24"/>
            </w:pPr>
            <w:r>
              <w:t>培训计划</w:t>
            </w:r>
          </w:p>
        </w:tc>
      </w:tr>
    </w:tbl>
    <w:p>
      <w:pPr>
        <w:pStyle w:val="22"/>
      </w:pPr>
    </w:p>
    <w:p>
      <w:pPr>
        <w:pStyle w:val="22"/>
        <w:ind w:firstLine="560"/>
      </w:pPr>
      <w:r>
        <w:rPr>
          <w:rFonts w:ascii="方正仿宋_GBK" w:hAnsi="方正仿宋_GBK" w:eastAsia="方正仿宋_GBK" w:cs="方正仿宋_GBK"/>
          <w:b/>
          <w:color w:val="000000"/>
          <w:sz w:val="28"/>
        </w:rPr>
        <w:t>9、统战（宗教）经费绩效目标表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开展活动次数</w:t>
            </w:r>
          </w:p>
        </w:tc>
        <w:tc>
          <w:tcPr>
            <w:tcW w:w="2835" w:type="dxa"/>
            <w:vAlign w:val="center"/>
          </w:tcPr>
          <w:p>
            <w:pPr>
              <w:pStyle w:val="24"/>
            </w:pPr>
            <w:r>
              <w:t>开展活动次数</w:t>
            </w:r>
          </w:p>
        </w:tc>
        <w:tc>
          <w:tcPr>
            <w:tcW w:w="2551" w:type="dxa"/>
            <w:vAlign w:val="center"/>
          </w:tcPr>
          <w:p>
            <w:pPr>
              <w:pStyle w:val="24"/>
            </w:pPr>
            <w:r>
              <w:t>≥8次数</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工作开展质量</w:t>
            </w:r>
          </w:p>
        </w:tc>
        <w:tc>
          <w:tcPr>
            <w:tcW w:w="2835" w:type="dxa"/>
            <w:vAlign w:val="center"/>
          </w:tcPr>
          <w:p>
            <w:pPr>
              <w:pStyle w:val="24"/>
            </w:pPr>
            <w:r>
              <w:t>工作开展质量率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各项工作完成时限率</w:t>
            </w:r>
          </w:p>
        </w:tc>
        <w:tc>
          <w:tcPr>
            <w:tcW w:w="2835" w:type="dxa"/>
            <w:vAlign w:val="center"/>
          </w:tcPr>
          <w:p>
            <w:pPr>
              <w:pStyle w:val="24"/>
            </w:pPr>
            <w:r>
              <w:t>各项工作完成事件率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开展工作的成本</w:t>
            </w:r>
          </w:p>
        </w:tc>
        <w:tc>
          <w:tcPr>
            <w:tcW w:w="2835" w:type="dxa"/>
            <w:vAlign w:val="center"/>
          </w:tcPr>
          <w:p>
            <w:pPr>
              <w:pStyle w:val="24"/>
            </w:pPr>
            <w:r>
              <w:t>开展工作的成本率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工作开展的社会效果</w:t>
            </w:r>
          </w:p>
        </w:tc>
        <w:tc>
          <w:tcPr>
            <w:tcW w:w="2835" w:type="dxa"/>
            <w:vAlign w:val="center"/>
          </w:tcPr>
          <w:p>
            <w:pPr>
              <w:pStyle w:val="24"/>
            </w:pPr>
            <w:r>
              <w:t>工作开展的社会效果率</w:t>
            </w:r>
          </w:p>
        </w:tc>
        <w:tc>
          <w:tcPr>
            <w:tcW w:w="2551" w:type="dxa"/>
            <w:vAlign w:val="center"/>
          </w:tcPr>
          <w:p>
            <w:pPr>
              <w:pStyle w:val="24"/>
            </w:pPr>
            <w:r>
              <w:t>≥100百分比</w:t>
            </w:r>
          </w:p>
        </w:tc>
        <w:tc>
          <w:tcPr>
            <w:tcW w:w="2268" w:type="dxa"/>
            <w:vAlign w:val="center"/>
          </w:tcPr>
          <w:p>
            <w:pPr>
              <w:pStyle w:val="2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服务群众满意度</w:t>
            </w:r>
          </w:p>
        </w:tc>
        <w:tc>
          <w:tcPr>
            <w:tcW w:w="2835" w:type="dxa"/>
            <w:vAlign w:val="center"/>
          </w:tcPr>
          <w:p>
            <w:pPr>
              <w:pStyle w:val="24"/>
            </w:pPr>
            <w:r>
              <w:t>服务群众满意度</w:t>
            </w:r>
          </w:p>
        </w:tc>
        <w:tc>
          <w:tcPr>
            <w:tcW w:w="2551" w:type="dxa"/>
            <w:vAlign w:val="center"/>
          </w:tcPr>
          <w:p>
            <w:pPr>
              <w:pStyle w:val="24"/>
            </w:pPr>
            <w:r>
              <w:t>≥100百分比</w:t>
            </w:r>
          </w:p>
        </w:tc>
        <w:tc>
          <w:tcPr>
            <w:tcW w:w="2268" w:type="dxa"/>
            <w:vAlign w:val="center"/>
          </w:tcPr>
          <w:p>
            <w:pPr>
              <w:pStyle w:val="24"/>
            </w:pPr>
            <w:r>
              <w:t>年初工作计划</w:t>
            </w:r>
          </w:p>
        </w:tc>
      </w:tr>
    </w:tbl>
    <w:p>
      <w:pPr>
        <w:pStyle w:val="22"/>
      </w:pPr>
    </w:p>
    <w:p>
      <w:pPr>
        <w:pStyle w:val="22"/>
        <w:ind w:firstLine="560"/>
      </w:pPr>
      <w:r>
        <w:rPr>
          <w:rFonts w:ascii="方正仿宋_GBK" w:hAnsi="方正仿宋_GBK" w:eastAsia="方正仿宋_GBK" w:cs="方正仿宋_GBK"/>
          <w:b/>
          <w:color w:val="000000"/>
          <w:sz w:val="28"/>
        </w:rPr>
        <w:t>10、宗教场所可视化平台绩效目标表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pPr>
            <w:r>
              <w:t>宗教场所数量</w:t>
            </w:r>
          </w:p>
        </w:tc>
        <w:tc>
          <w:tcPr>
            <w:tcW w:w="2835" w:type="dxa"/>
            <w:vAlign w:val="center"/>
          </w:tcPr>
          <w:p>
            <w:pPr>
              <w:pStyle w:val="24"/>
            </w:pPr>
            <w:r>
              <w:t>宗教场所数量</w:t>
            </w:r>
          </w:p>
        </w:tc>
        <w:tc>
          <w:tcPr>
            <w:tcW w:w="2551" w:type="dxa"/>
            <w:vAlign w:val="center"/>
          </w:tcPr>
          <w:p>
            <w:pPr>
              <w:pStyle w:val="24"/>
            </w:pPr>
            <w:r>
              <w:t>≥57数量</w:t>
            </w:r>
          </w:p>
        </w:tc>
        <w:tc>
          <w:tcPr>
            <w:tcW w:w="2268" w:type="dxa"/>
            <w:vAlign w:val="center"/>
          </w:tcPr>
          <w:p>
            <w:pPr>
              <w:pStyle w:val="24"/>
            </w:pPr>
            <w:r>
              <w:t>我县宗教场所数量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pPr>
            <w:r>
              <w:t>安装质量标准</w:t>
            </w:r>
          </w:p>
        </w:tc>
        <w:tc>
          <w:tcPr>
            <w:tcW w:w="2835" w:type="dxa"/>
            <w:vAlign w:val="center"/>
          </w:tcPr>
          <w:p>
            <w:pPr>
              <w:pStyle w:val="24"/>
            </w:pPr>
            <w:r>
              <w:t>安装质量标准</w:t>
            </w:r>
          </w:p>
        </w:tc>
        <w:tc>
          <w:tcPr>
            <w:tcW w:w="2551" w:type="dxa"/>
            <w:vAlign w:val="center"/>
          </w:tcPr>
          <w:p>
            <w:pPr>
              <w:pStyle w:val="24"/>
            </w:pPr>
            <w:r>
              <w:t>≥100百分比</w:t>
            </w:r>
          </w:p>
        </w:tc>
        <w:tc>
          <w:tcPr>
            <w:tcW w:w="2268" w:type="dxa"/>
            <w:vAlign w:val="center"/>
          </w:tcPr>
          <w:p>
            <w:pPr>
              <w:pStyle w:val="24"/>
            </w:pPr>
            <w:r>
              <w:t>安装质量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pPr>
            <w:r>
              <w:t>安装时间要求</w:t>
            </w:r>
          </w:p>
        </w:tc>
        <w:tc>
          <w:tcPr>
            <w:tcW w:w="2835" w:type="dxa"/>
            <w:vAlign w:val="center"/>
          </w:tcPr>
          <w:p>
            <w:pPr>
              <w:pStyle w:val="24"/>
            </w:pPr>
            <w:r>
              <w:t>安装时间要求</w:t>
            </w:r>
          </w:p>
        </w:tc>
        <w:tc>
          <w:tcPr>
            <w:tcW w:w="2551" w:type="dxa"/>
            <w:vAlign w:val="center"/>
          </w:tcPr>
          <w:p>
            <w:pPr>
              <w:pStyle w:val="24"/>
            </w:pPr>
            <w:r>
              <w:t>≥33个月内完成</w:t>
            </w:r>
          </w:p>
        </w:tc>
        <w:tc>
          <w:tcPr>
            <w:tcW w:w="2268" w:type="dxa"/>
            <w:vAlign w:val="center"/>
          </w:tcPr>
          <w:p>
            <w:pPr>
              <w:pStyle w:val="24"/>
            </w:pPr>
            <w:r>
              <w:t>是否达到安装时间要求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pPr>
            <w:r>
              <w:t>可视化平台成本</w:t>
            </w:r>
          </w:p>
        </w:tc>
        <w:tc>
          <w:tcPr>
            <w:tcW w:w="2835" w:type="dxa"/>
            <w:vAlign w:val="center"/>
          </w:tcPr>
          <w:p>
            <w:pPr>
              <w:pStyle w:val="24"/>
            </w:pPr>
            <w:r>
              <w:t>可视化平台成本</w:t>
            </w:r>
          </w:p>
        </w:tc>
        <w:tc>
          <w:tcPr>
            <w:tcW w:w="2551" w:type="dxa"/>
            <w:vAlign w:val="center"/>
          </w:tcPr>
          <w:p>
            <w:pPr>
              <w:pStyle w:val="24"/>
            </w:pPr>
            <w:r>
              <w:t>≥25控制在25万以内</w:t>
            </w:r>
          </w:p>
        </w:tc>
        <w:tc>
          <w:tcPr>
            <w:tcW w:w="2268" w:type="dxa"/>
            <w:vAlign w:val="center"/>
          </w:tcPr>
          <w:p>
            <w:pPr>
              <w:pStyle w:val="24"/>
            </w:pPr>
            <w:r>
              <w:t>成本测算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社会效益指标</w:t>
            </w:r>
          </w:p>
        </w:tc>
        <w:tc>
          <w:tcPr>
            <w:tcW w:w="2835" w:type="dxa"/>
            <w:vAlign w:val="center"/>
          </w:tcPr>
          <w:p>
            <w:pPr>
              <w:pStyle w:val="24"/>
            </w:pPr>
            <w:r>
              <w:t>带来的社会影响率</w:t>
            </w:r>
          </w:p>
        </w:tc>
        <w:tc>
          <w:tcPr>
            <w:tcW w:w="2835" w:type="dxa"/>
            <w:vAlign w:val="center"/>
          </w:tcPr>
          <w:p>
            <w:pPr>
              <w:pStyle w:val="24"/>
            </w:pPr>
            <w:r>
              <w:t>带来的社会影响率</w:t>
            </w:r>
          </w:p>
        </w:tc>
        <w:tc>
          <w:tcPr>
            <w:tcW w:w="2551" w:type="dxa"/>
            <w:vAlign w:val="center"/>
          </w:tcPr>
          <w:p>
            <w:pPr>
              <w:pStyle w:val="24"/>
            </w:pPr>
            <w:r>
              <w:t>≥80百分比</w:t>
            </w:r>
          </w:p>
        </w:tc>
        <w:tc>
          <w:tcPr>
            <w:tcW w:w="2268" w:type="dxa"/>
            <w:vAlign w:val="center"/>
          </w:tcPr>
          <w:p>
            <w:pPr>
              <w:pStyle w:val="24"/>
            </w:pPr>
            <w:r>
              <w:t>社会效果程度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pPr>
            <w:r>
              <w:t>信教群众的满意度</w:t>
            </w:r>
          </w:p>
        </w:tc>
        <w:tc>
          <w:tcPr>
            <w:tcW w:w="2835" w:type="dxa"/>
            <w:vAlign w:val="center"/>
          </w:tcPr>
          <w:p>
            <w:pPr>
              <w:pStyle w:val="24"/>
            </w:pPr>
            <w:r>
              <w:t>信教群众的满意度</w:t>
            </w:r>
          </w:p>
        </w:tc>
        <w:tc>
          <w:tcPr>
            <w:tcW w:w="2551" w:type="dxa"/>
            <w:vAlign w:val="center"/>
          </w:tcPr>
          <w:p>
            <w:pPr>
              <w:pStyle w:val="24"/>
            </w:pPr>
            <w:r>
              <w:t>≥100满意度</w:t>
            </w:r>
          </w:p>
        </w:tc>
        <w:tc>
          <w:tcPr>
            <w:tcW w:w="2268" w:type="dxa"/>
            <w:vAlign w:val="center"/>
          </w:tcPr>
          <w:p>
            <w:pPr>
              <w:pStyle w:val="24"/>
            </w:pPr>
            <w:r>
              <w:t>上级要求</w:t>
            </w:r>
          </w:p>
        </w:tc>
      </w:tr>
    </w:tbl>
    <w:p>
      <w:pPr>
        <w:pStyle w:val="22"/>
        <w:sectPr>
          <w:pgSz w:w="16840" w:h="11900" w:orient="landscape"/>
          <w:pgMar w:top="1361" w:right="1020" w:bottom="1361" w:left="1020" w:header="720" w:footer="720" w:gutter="0"/>
          <w:cols w:space="720" w:num="1"/>
        </w:sectPr>
      </w:pPr>
    </w:p>
    <w:p>
      <w:pPr>
        <w:spacing w:before="10" w:after="10"/>
        <w:ind w:firstLine="640"/>
        <w:outlineLvl w:val="2"/>
      </w:pPr>
      <w:bookmarkStart w:id="0" w:name="_Toc_3_3_0000000015"/>
      <w:r>
        <w:rPr>
          <w:rFonts w:ascii="黑体" w:hAnsi="黑体" w:eastAsia="黑体" w:cs="黑体"/>
          <w:color w:val="000000"/>
          <w:sz w:val="32"/>
        </w:rPr>
        <w:t>六、政府采购预算情况</w:t>
      </w:r>
      <w:bookmarkEnd w:id="0"/>
    </w:p>
    <w:p>
      <w:pPr>
        <w:spacing w:line="500" w:lineRule="exact"/>
        <w:ind w:firstLine="560"/>
      </w:pPr>
      <w:r>
        <w:rPr>
          <w:rFonts w:eastAsia="方正仿宋_GBK"/>
          <w:color w:val="000000"/>
          <w:sz w:val="28"/>
        </w:rPr>
        <w:t>2022年，中国共产党隆尧县委员会统一战线工作部安排政府采购预算</w:t>
      </w:r>
      <w:r>
        <w:rPr>
          <w:rFonts w:hint="eastAsia" w:eastAsia="方正仿宋_GBK"/>
          <w:color w:val="000000"/>
          <w:sz w:val="28"/>
          <w:lang w:val="en-US" w:eastAsia="zh-CN"/>
        </w:rPr>
        <w:t>3.9</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rPr>
                <w:rFonts w:hint="eastAsia" w:eastAsia="方正书宋_GBK"/>
                <w:lang w:eastAsia="zh-CN"/>
              </w:rPr>
            </w:pPr>
            <w:r>
              <w:rPr>
                <w:rFonts w:hint="eastAsia"/>
                <w:lang w:eastAsia="zh-CN"/>
              </w:rPr>
              <w:t>合计</w:t>
            </w:r>
          </w:p>
        </w:tc>
        <w:tc>
          <w:tcPr>
            <w:tcW w:w="964" w:type="dxa"/>
            <w:vAlign w:val="center"/>
          </w:tcPr>
          <w:p>
            <w:pPr>
              <w:pStyle w:val="8"/>
            </w:pPr>
          </w:p>
        </w:tc>
        <w:tc>
          <w:tcPr>
            <w:tcW w:w="1134" w:type="dxa"/>
          </w:tcPr>
          <w:p/>
        </w:tc>
        <w:tc>
          <w:tcPr>
            <w:tcW w:w="1134" w:type="dxa"/>
          </w:tcPr>
          <w:p/>
        </w:tc>
        <w:tc>
          <w:tcPr>
            <w:tcW w:w="709" w:type="dxa"/>
          </w:tcPr>
          <w:p/>
        </w:tc>
        <w:tc>
          <w:tcPr>
            <w:tcW w:w="850" w:type="dxa"/>
          </w:tcPr>
          <w:p/>
        </w:tc>
        <w:tc>
          <w:tcPr>
            <w:tcW w:w="850" w:type="dxa"/>
          </w:tcPr>
          <w:p/>
        </w:tc>
        <w:tc>
          <w:tcPr>
            <w:tcW w:w="964" w:type="dxa"/>
            <w:vAlign w:val="center"/>
          </w:tcPr>
          <w:p>
            <w:pPr>
              <w:pStyle w:val="8"/>
              <w:rPr>
                <w:rFonts w:hint="default" w:eastAsia="方正书宋_GBK"/>
                <w:lang w:val="en-US" w:eastAsia="zh-CN"/>
              </w:rPr>
            </w:pPr>
            <w:r>
              <w:rPr>
                <w:rFonts w:hint="eastAsia"/>
                <w:lang w:val="en-US" w:eastAsia="zh-CN"/>
              </w:rPr>
              <w:t>3.9</w:t>
            </w:r>
          </w:p>
        </w:tc>
        <w:tc>
          <w:tcPr>
            <w:tcW w:w="964" w:type="dxa"/>
            <w:vAlign w:val="center"/>
          </w:tcPr>
          <w:p>
            <w:pPr>
              <w:pStyle w:val="8"/>
              <w:rPr>
                <w:rFonts w:hint="default" w:eastAsia="方正书宋_GBK"/>
                <w:lang w:val="en-US" w:eastAsia="zh-CN"/>
              </w:rPr>
            </w:pPr>
            <w:r>
              <w:rPr>
                <w:rFonts w:hint="eastAsia"/>
                <w:lang w:val="en-US" w:eastAsia="zh-CN"/>
              </w:rPr>
              <w:t>3.9</w:t>
            </w: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default" w:eastAsia="方正书宋_GBK"/>
                <w:lang w:val="en-US" w:eastAsia="zh-CN"/>
              </w:rPr>
            </w:pPr>
            <w:r>
              <w:rPr>
                <w:rFonts w:hint="eastAsia"/>
                <w:lang w:val="en-US" w:eastAsia="zh-CN"/>
              </w:rPr>
              <w:t>预备机动资金/宗教场所“双创四进”工作经费</w:t>
            </w:r>
          </w:p>
        </w:tc>
        <w:tc>
          <w:tcPr>
            <w:tcW w:w="964" w:type="dxa"/>
            <w:vAlign w:val="center"/>
          </w:tcPr>
          <w:p>
            <w:pPr>
              <w:pStyle w:val="9"/>
              <w:rPr>
                <w:rFonts w:hint="default" w:eastAsia="方正书宋_GBK"/>
                <w:lang w:val="en-US" w:eastAsia="zh-CN"/>
              </w:rPr>
            </w:pPr>
            <w:r>
              <w:rPr>
                <w:rFonts w:hint="eastAsia"/>
                <w:lang w:val="en-US" w:eastAsia="zh-CN"/>
              </w:rPr>
              <w:t>10</w:t>
            </w:r>
          </w:p>
        </w:tc>
        <w:tc>
          <w:tcPr>
            <w:tcW w:w="1134" w:type="dxa"/>
            <w:vAlign w:val="center"/>
          </w:tcPr>
          <w:p>
            <w:pPr>
              <w:pStyle w:val="10"/>
              <w:rPr>
                <w:rFonts w:hint="eastAsia" w:eastAsia="方正书宋_GBK"/>
                <w:lang w:eastAsia="zh-CN"/>
              </w:rPr>
            </w:pPr>
            <w:r>
              <w:rPr>
                <w:rFonts w:hint="eastAsia"/>
                <w:lang w:eastAsia="zh-CN"/>
              </w:rPr>
              <w:t>打印机</w:t>
            </w:r>
          </w:p>
        </w:tc>
        <w:tc>
          <w:tcPr>
            <w:tcW w:w="1134" w:type="dxa"/>
            <w:vAlign w:val="center"/>
          </w:tcPr>
          <w:p>
            <w:pPr>
              <w:pStyle w:val="10"/>
              <w:rPr>
                <w:rFonts w:hint="default" w:eastAsia="方正书宋_GBK"/>
                <w:lang w:val="en-US" w:eastAsia="zh-CN"/>
              </w:rPr>
            </w:pPr>
            <w:r>
              <w:rPr>
                <w:rFonts w:hint="eastAsia"/>
                <w:lang w:val="en-US" w:eastAsia="zh-CN"/>
              </w:rPr>
              <w:t>A02020400</w:t>
            </w:r>
          </w:p>
        </w:tc>
        <w:tc>
          <w:tcPr>
            <w:tcW w:w="709" w:type="dxa"/>
            <w:vAlign w:val="center"/>
          </w:tcPr>
          <w:p>
            <w:pPr>
              <w:pStyle w:val="11"/>
              <w:rPr>
                <w:rFonts w:hint="eastAsia" w:eastAsia="方正书宋_GBK"/>
                <w:lang w:eastAsia="zh-CN"/>
              </w:rPr>
            </w:pPr>
            <w:r>
              <w:rPr>
                <w:rFonts w:hint="eastAsia"/>
                <w:lang w:eastAsia="zh-CN"/>
              </w:rPr>
              <w:t>台</w:t>
            </w:r>
          </w:p>
        </w:tc>
        <w:tc>
          <w:tcPr>
            <w:tcW w:w="850" w:type="dxa"/>
            <w:vAlign w:val="center"/>
          </w:tcPr>
          <w:p>
            <w:pPr>
              <w:pStyle w:val="9"/>
              <w:rPr>
                <w:rFonts w:hint="default" w:eastAsia="方正书宋_GBK"/>
                <w:lang w:val="en-US" w:eastAsia="zh-CN"/>
              </w:rPr>
            </w:pPr>
            <w:r>
              <w:rPr>
                <w:rFonts w:hint="eastAsia"/>
                <w:lang w:val="en-US" w:eastAsia="zh-CN"/>
              </w:rPr>
              <w:t>2</w:t>
            </w:r>
          </w:p>
        </w:tc>
        <w:tc>
          <w:tcPr>
            <w:tcW w:w="850" w:type="dxa"/>
            <w:vAlign w:val="center"/>
          </w:tcPr>
          <w:p>
            <w:pPr>
              <w:pStyle w:val="9"/>
              <w:rPr>
                <w:rFonts w:hint="default" w:eastAsia="方正书宋_GBK"/>
                <w:lang w:val="en-US" w:eastAsia="zh-CN"/>
              </w:rPr>
            </w:pPr>
            <w:r>
              <w:rPr>
                <w:rFonts w:hint="eastAsia"/>
                <w:lang w:val="en-US" w:eastAsia="zh-CN"/>
              </w:rPr>
              <w:t>0.2</w:t>
            </w:r>
          </w:p>
        </w:tc>
        <w:tc>
          <w:tcPr>
            <w:tcW w:w="964" w:type="dxa"/>
            <w:vAlign w:val="center"/>
          </w:tcPr>
          <w:p>
            <w:pPr>
              <w:pStyle w:val="9"/>
              <w:rPr>
                <w:rFonts w:hint="default" w:eastAsia="方正书宋_GBK"/>
                <w:lang w:val="en-US" w:eastAsia="zh-CN"/>
              </w:rPr>
            </w:pPr>
            <w:r>
              <w:rPr>
                <w:rFonts w:hint="eastAsia"/>
                <w:lang w:val="en-US" w:eastAsia="zh-CN"/>
              </w:rPr>
              <w:t>0.4</w:t>
            </w:r>
          </w:p>
        </w:tc>
        <w:tc>
          <w:tcPr>
            <w:tcW w:w="964" w:type="dxa"/>
            <w:vAlign w:val="center"/>
          </w:tcPr>
          <w:p>
            <w:pPr>
              <w:pStyle w:val="9"/>
              <w:rPr>
                <w:rFonts w:hint="eastAsia" w:eastAsia="方正书宋_GBK"/>
                <w:lang w:eastAsia="zh-CN"/>
              </w:rPr>
            </w:pPr>
            <w:r>
              <w:rPr>
                <w:rFonts w:hint="eastAsia"/>
                <w:lang w:val="en-US" w:eastAsia="zh-CN"/>
              </w:rPr>
              <w:t>0.4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val="en-US" w:eastAsia="zh-CN"/>
              </w:rPr>
            </w:pPr>
            <w:r>
              <w:rPr>
                <w:rFonts w:hint="eastAsia"/>
                <w:lang w:val="en-US" w:eastAsia="zh-CN"/>
              </w:rPr>
              <w:t>预备机动资金/宗教场所“双创四进”工作经费</w:t>
            </w:r>
          </w:p>
        </w:tc>
        <w:tc>
          <w:tcPr>
            <w:tcW w:w="964" w:type="dxa"/>
            <w:vAlign w:val="center"/>
          </w:tcPr>
          <w:p>
            <w:pPr>
              <w:pStyle w:val="9"/>
              <w:rPr>
                <w:rFonts w:hint="eastAsia"/>
                <w:lang w:val="en-US" w:eastAsia="zh-CN"/>
              </w:rPr>
            </w:pPr>
            <w:r>
              <w:rPr>
                <w:rFonts w:hint="eastAsia"/>
                <w:lang w:val="en-US" w:eastAsia="zh-CN"/>
              </w:rPr>
              <w:t>10</w:t>
            </w:r>
          </w:p>
        </w:tc>
        <w:tc>
          <w:tcPr>
            <w:tcW w:w="1134" w:type="dxa"/>
            <w:vAlign w:val="center"/>
          </w:tcPr>
          <w:p>
            <w:pPr>
              <w:pStyle w:val="10"/>
              <w:rPr>
                <w:rFonts w:hint="eastAsia" w:eastAsia="方正书宋_GBK"/>
                <w:lang w:eastAsia="zh-CN"/>
              </w:rPr>
            </w:pPr>
            <w:r>
              <w:t>台式计算机</w:t>
            </w:r>
          </w:p>
        </w:tc>
        <w:tc>
          <w:tcPr>
            <w:tcW w:w="1134" w:type="dxa"/>
            <w:vAlign w:val="center"/>
          </w:tcPr>
          <w:p>
            <w:pPr>
              <w:pStyle w:val="10"/>
              <w:rPr>
                <w:rFonts w:hint="default" w:eastAsia="方正书宋_GBK"/>
                <w:lang w:val="en-US" w:eastAsia="zh-CN"/>
              </w:rPr>
            </w:pPr>
            <w:r>
              <w:t>A02010105</w:t>
            </w:r>
          </w:p>
        </w:tc>
        <w:tc>
          <w:tcPr>
            <w:tcW w:w="709" w:type="dxa"/>
            <w:vAlign w:val="center"/>
          </w:tcPr>
          <w:p>
            <w:pPr>
              <w:pStyle w:val="11"/>
              <w:rPr>
                <w:rFonts w:hint="eastAsia" w:eastAsia="方正书宋_GBK"/>
                <w:lang w:eastAsia="zh-CN"/>
              </w:rPr>
            </w:pPr>
            <w:r>
              <w:rPr>
                <w:rFonts w:hint="eastAsia"/>
                <w:lang w:eastAsia="zh-CN"/>
              </w:rPr>
              <w:t>台</w:t>
            </w:r>
          </w:p>
        </w:tc>
        <w:tc>
          <w:tcPr>
            <w:tcW w:w="850" w:type="dxa"/>
            <w:vAlign w:val="center"/>
          </w:tcPr>
          <w:p>
            <w:pPr>
              <w:pStyle w:val="9"/>
              <w:rPr>
                <w:rFonts w:hint="default" w:eastAsia="方正书宋_GBK"/>
                <w:lang w:val="en-US" w:eastAsia="zh-CN"/>
              </w:rPr>
            </w:pPr>
            <w:r>
              <w:rPr>
                <w:rFonts w:hint="eastAsia"/>
                <w:lang w:val="en-US" w:eastAsia="zh-CN"/>
              </w:rPr>
              <w:t>2</w:t>
            </w:r>
          </w:p>
        </w:tc>
        <w:tc>
          <w:tcPr>
            <w:tcW w:w="850" w:type="dxa"/>
            <w:vAlign w:val="center"/>
          </w:tcPr>
          <w:p>
            <w:pPr>
              <w:pStyle w:val="9"/>
              <w:rPr>
                <w:rFonts w:hint="default" w:eastAsia="方正书宋_GBK"/>
                <w:lang w:val="en-US" w:eastAsia="zh-CN"/>
              </w:rPr>
            </w:pPr>
            <w:r>
              <w:rPr>
                <w:rFonts w:hint="eastAsia"/>
                <w:lang w:val="en-US" w:eastAsia="zh-CN"/>
              </w:rPr>
              <w:t>0.5</w:t>
            </w:r>
          </w:p>
        </w:tc>
        <w:tc>
          <w:tcPr>
            <w:tcW w:w="964" w:type="dxa"/>
            <w:vAlign w:val="center"/>
          </w:tcPr>
          <w:p>
            <w:pPr>
              <w:pStyle w:val="9"/>
              <w:rPr>
                <w:rFonts w:hint="default" w:eastAsia="方正书宋_GBK"/>
                <w:lang w:val="en-US" w:eastAsia="zh-CN"/>
              </w:rPr>
            </w:pPr>
            <w:r>
              <w:rPr>
                <w:rFonts w:hint="eastAsia"/>
                <w:lang w:val="en-US" w:eastAsia="zh-CN"/>
              </w:rPr>
              <w:t>1</w:t>
            </w:r>
          </w:p>
        </w:tc>
        <w:tc>
          <w:tcPr>
            <w:tcW w:w="964" w:type="dxa"/>
            <w:vAlign w:val="center"/>
          </w:tcPr>
          <w:p>
            <w:pPr>
              <w:pStyle w:val="9"/>
              <w:rPr>
                <w:rFonts w:hint="eastAsia" w:eastAsia="方正书宋_GBK"/>
                <w:lang w:eastAsia="zh-CN"/>
              </w:rPr>
            </w:pPr>
            <w:r>
              <w:rPr>
                <w:rFonts w:hint="eastAsia"/>
                <w:lang w:val="en-US" w:eastAsia="zh-CN"/>
              </w:rPr>
              <w:t>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default"/>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笔记本电脑</w:t>
            </w:r>
          </w:p>
        </w:tc>
        <w:tc>
          <w:tcPr>
            <w:tcW w:w="1134" w:type="dxa"/>
            <w:vAlign w:val="center"/>
          </w:tcPr>
          <w:p>
            <w:pPr>
              <w:pStyle w:val="10"/>
              <w:rPr>
                <w:rFonts w:hint="default"/>
                <w:lang w:val="en-US" w:eastAsia="zh-CN"/>
              </w:rPr>
            </w:pPr>
            <w:r>
              <w:rPr>
                <w:rFonts w:hint="eastAsia"/>
                <w:lang w:val="en-US" w:eastAsia="zh-CN"/>
              </w:rPr>
              <w:t>A02010108</w:t>
            </w:r>
          </w:p>
        </w:tc>
        <w:tc>
          <w:tcPr>
            <w:tcW w:w="709" w:type="dxa"/>
            <w:vAlign w:val="center"/>
          </w:tcPr>
          <w:p>
            <w:pPr>
              <w:pStyle w:val="11"/>
              <w:rPr>
                <w:rFonts w:hint="eastAsia"/>
                <w:lang w:eastAsia="zh-CN"/>
              </w:rPr>
            </w:pPr>
            <w:r>
              <w:rPr>
                <w:rFonts w:hint="eastAsia"/>
                <w:lang w:eastAsia="zh-CN"/>
              </w:rPr>
              <w:t>台</w:t>
            </w:r>
          </w:p>
        </w:tc>
        <w:tc>
          <w:tcPr>
            <w:tcW w:w="850" w:type="dxa"/>
            <w:vAlign w:val="center"/>
          </w:tcPr>
          <w:p>
            <w:pPr>
              <w:pStyle w:val="9"/>
              <w:rPr>
                <w:rFonts w:hint="default"/>
                <w:lang w:val="en-US" w:eastAsia="zh-CN"/>
              </w:rPr>
            </w:pPr>
            <w:r>
              <w:rPr>
                <w:rFonts w:hint="eastAsia"/>
                <w:lang w:val="en-US" w:eastAsia="zh-CN"/>
              </w:rPr>
              <w:t>2</w:t>
            </w:r>
          </w:p>
        </w:tc>
        <w:tc>
          <w:tcPr>
            <w:tcW w:w="850" w:type="dxa"/>
            <w:vAlign w:val="center"/>
          </w:tcPr>
          <w:p>
            <w:pPr>
              <w:pStyle w:val="9"/>
              <w:rPr>
                <w:rFonts w:hint="default"/>
                <w:lang w:val="en-US" w:eastAsia="zh-CN"/>
              </w:rPr>
            </w:pPr>
            <w:r>
              <w:rPr>
                <w:rFonts w:hint="eastAsia"/>
                <w:lang w:val="en-US" w:eastAsia="zh-CN"/>
              </w:rPr>
              <w:t>0.6</w:t>
            </w:r>
          </w:p>
        </w:tc>
        <w:tc>
          <w:tcPr>
            <w:tcW w:w="964" w:type="dxa"/>
            <w:vAlign w:val="center"/>
          </w:tcPr>
          <w:p>
            <w:pPr>
              <w:pStyle w:val="9"/>
              <w:rPr>
                <w:rFonts w:hint="default" w:eastAsia="方正书宋_GBK"/>
                <w:lang w:val="en-US" w:eastAsia="zh-CN"/>
              </w:rPr>
            </w:pPr>
            <w:r>
              <w:rPr>
                <w:rFonts w:hint="eastAsia"/>
                <w:lang w:val="en-US" w:eastAsia="zh-CN"/>
              </w:rPr>
              <w:t>1.2</w:t>
            </w:r>
          </w:p>
        </w:tc>
        <w:tc>
          <w:tcPr>
            <w:tcW w:w="964" w:type="dxa"/>
            <w:vAlign w:val="center"/>
          </w:tcPr>
          <w:p>
            <w:pPr>
              <w:pStyle w:val="9"/>
              <w:rPr>
                <w:rFonts w:hint="default" w:eastAsia="方正书宋_GBK"/>
                <w:lang w:val="en-US" w:eastAsia="zh-CN"/>
              </w:rPr>
            </w:pPr>
            <w:r>
              <w:rPr>
                <w:rFonts w:hint="eastAsia"/>
                <w:lang w:val="en-US" w:eastAsia="zh-CN"/>
              </w:rPr>
              <w:t>1.2</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90" w:hRule="atLeas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办公桌</w:t>
            </w:r>
          </w:p>
        </w:tc>
        <w:tc>
          <w:tcPr>
            <w:tcW w:w="1134" w:type="dxa"/>
            <w:vAlign w:val="center"/>
          </w:tcPr>
          <w:p>
            <w:pPr>
              <w:pStyle w:val="10"/>
              <w:rPr>
                <w:rFonts w:hint="default" w:eastAsia="方正书宋_GBK"/>
                <w:lang w:val="en-US" w:eastAsia="zh-CN"/>
              </w:rPr>
            </w:pPr>
            <w:r>
              <w:rPr>
                <w:rFonts w:hint="eastAsia"/>
                <w:lang w:val="en-US" w:eastAsia="zh-CN"/>
              </w:rPr>
              <w:t>A05010201</w:t>
            </w:r>
          </w:p>
        </w:tc>
        <w:tc>
          <w:tcPr>
            <w:tcW w:w="709" w:type="dxa"/>
            <w:vAlign w:val="center"/>
          </w:tcPr>
          <w:p>
            <w:pPr>
              <w:pStyle w:val="11"/>
              <w:rPr>
                <w:rFonts w:hint="eastAsia" w:eastAsia="方正书宋_GBK"/>
                <w:lang w:eastAsia="zh-CN"/>
              </w:rPr>
            </w:pPr>
            <w:r>
              <w:rPr>
                <w:rFonts w:hint="eastAsia"/>
                <w:lang w:eastAsia="zh-CN"/>
              </w:rPr>
              <w:t>张</w:t>
            </w:r>
          </w:p>
        </w:tc>
        <w:tc>
          <w:tcPr>
            <w:tcW w:w="850" w:type="dxa"/>
            <w:vAlign w:val="center"/>
          </w:tcPr>
          <w:p>
            <w:pPr>
              <w:pStyle w:val="9"/>
              <w:rPr>
                <w:rFonts w:hint="default" w:eastAsia="方正书宋_GBK"/>
                <w:lang w:val="en-US" w:eastAsia="zh-CN"/>
              </w:rPr>
            </w:pPr>
            <w:r>
              <w:rPr>
                <w:rFonts w:hint="eastAsia"/>
                <w:lang w:val="en-US" w:eastAsia="zh-CN"/>
              </w:rPr>
              <w:t>1</w:t>
            </w:r>
          </w:p>
        </w:tc>
        <w:tc>
          <w:tcPr>
            <w:tcW w:w="850" w:type="dxa"/>
            <w:vAlign w:val="center"/>
          </w:tcPr>
          <w:p>
            <w:pPr>
              <w:pStyle w:val="9"/>
              <w:rPr>
                <w:rFonts w:hint="default" w:eastAsia="方正书宋_GBK"/>
                <w:lang w:val="en-US" w:eastAsia="zh-CN"/>
              </w:rPr>
            </w:pPr>
            <w:r>
              <w:rPr>
                <w:rFonts w:hint="eastAsia"/>
                <w:lang w:val="en-US" w:eastAsia="zh-CN"/>
              </w:rPr>
              <w:t>0.21</w:t>
            </w:r>
          </w:p>
        </w:tc>
        <w:tc>
          <w:tcPr>
            <w:tcW w:w="964" w:type="dxa"/>
            <w:vAlign w:val="center"/>
          </w:tcPr>
          <w:p>
            <w:pPr>
              <w:pStyle w:val="9"/>
              <w:rPr>
                <w:rFonts w:hint="default" w:eastAsia="方正书宋_GBK"/>
                <w:lang w:val="en-US" w:eastAsia="zh-CN"/>
              </w:rPr>
            </w:pPr>
            <w:r>
              <w:rPr>
                <w:rFonts w:hint="eastAsia"/>
                <w:lang w:val="en-US" w:eastAsia="zh-CN"/>
              </w:rPr>
              <w:t>0.21</w:t>
            </w:r>
          </w:p>
        </w:tc>
        <w:tc>
          <w:tcPr>
            <w:tcW w:w="964" w:type="dxa"/>
            <w:vAlign w:val="center"/>
          </w:tcPr>
          <w:p>
            <w:pPr>
              <w:pStyle w:val="9"/>
              <w:rPr>
                <w:rFonts w:hint="eastAsia" w:eastAsia="方正书宋_GBK"/>
                <w:lang w:eastAsia="zh-CN"/>
              </w:rPr>
            </w:pPr>
            <w:r>
              <w:rPr>
                <w:rFonts w:hint="eastAsia"/>
                <w:lang w:val="en-US" w:eastAsia="zh-CN"/>
              </w:rPr>
              <w:t>0.21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会议椅</w:t>
            </w:r>
          </w:p>
        </w:tc>
        <w:tc>
          <w:tcPr>
            <w:tcW w:w="1134" w:type="dxa"/>
            <w:vAlign w:val="center"/>
          </w:tcPr>
          <w:p>
            <w:pPr>
              <w:pStyle w:val="10"/>
              <w:rPr>
                <w:rFonts w:hint="default"/>
                <w:lang w:val="en-US" w:eastAsia="zh-CN"/>
              </w:rPr>
            </w:pPr>
            <w:r>
              <w:rPr>
                <w:rFonts w:hint="eastAsia"/>
                <w:lang w:val="en-US" w:eastAsia="zh-CN"/>
              </w:rPr>
              <w:t>A05010303</w:t>
            </w:r>
          </w:p>
        </w:tc>
        <w:tc>
          <w:tcPr>
            <w:tcW w:w="709" w:type="dxa"/>
            <w:vAlign w:val="center"/>
          </w:tcPr>
          <w:p>
            <w:pPr>
              <w:pStyle w:val="11"/>
              <w:rPr>
                <w:rFonts w:hint="eastAsia"/>
                <w:lang w:eastAsia="zh-CN"/>
              </w:rPr>
            </w:pPr>
            <w:r>
              <w:rPr>
                <w:rFonts w:hint="eastAsia"/>
                <w:lang w:eastAsia="zh-CN"/>
              </w:rPr>
              <w:t>把</w:t>
            </w:r>
          </w:p>
        </w:tc>
        <w:tc>
          <w:tcPr>
            <w:tcW w:w="850" w:type="dxa"/>
            <w:vAlign w:val="center"/>
          </w:tcPr>
          <w:p>
            <w:pPr>
              <w:pStyle w:val="9"/>
              <w:rPr>
                <w:rFonts w:hint="default"/>
                <w:lang w:val="en-US" w:eastAsia="zh-CN"/>
              </w:rPr>
            </w:pPr>
            <w:r>
              <w:rPr>
                <w:rFonts w:hint="eastAsia"/>
                <w:lang w:val="en-US" w:eastAsia="zh-CN"/>
              </w:rPr>
              <w:t>12</w:t>
            </w:r>
          </w:p>
        </w:tc>
        <w:tc>
          <w:tcPr>
            <w:tcW w:w="850" w:type="dxa"/>
            <w:vAlign w:val="center"/>
          </w:tcPr>
          <w:p>
            <w:pPr>
              <w:pStyle w:val="9"/>
              <w:rPr>
                <w:rFonts w:hint="default"/>
                <w:lang w:val="en-US" w:eastAsia="zh-CN"/>
              </w:rPr>
            </w:pPr>
            <w:r>
              <w:rPr>
                <w:rFonts w:hint="eastAsia"/>
                <w:lang w:val="en-US" w:eastAsia="zh-CN"/>
              </w:rPr>
              <w:t>0.018</w:t>
            </w:r>
          </w:p>
        </w:tc>
        <w:tc>
          <w:tcPr>
            <w:tcW w:w="964" w:type="dxa"/>
            <w:vAlign w:val="center"/>
          </w:tcPr>
          <w:p>
            <w:pPr>
              <w:pStyle w:val="9"/>
              <w:rPr>
                <w:rFonts w:hint="default" w:eastAsia="方正书宋_GBK"/>
                <w:lang w:val="en-US" w:eastAsia="zh-CN"/>
              </w:rPr>
            </w:pPr>
            <w:r>
              <w:rPr>
                <w:rFonts w:hint="eastAsia"/>
                <w:lang w:val="en-US" w:eastAsia="zh-CN"/>
              </w:rPr>
              <w:t>0.216</w:t>
            </w:r>
          </w:p>
        </w:tc>
        <w:tc>
          <w:tcPr>
            <w:tcW w:w="964" w:type="dxa"/>
            <w:vAlign w:val="center"/>
          </w:tcPr>
          <w:p>
            <w:pPr>
              <w:pStyle w:val="9"/>
              <w:rPr>
                <w:rFonts w:hint="eastAsia" w:eastAsia="方正书宋_GBK"/>
                <w:lang w:eastAsia="zh-CN"/>
              </w:rPr>
            </w:pPr>
            <w:r>
              <w:rPr>
                <w:rFonts w:hint="eastAsia"/>
                <w:lang w:val="en-US" w:eastAsia="zh-CN"/>
              </w:rPr>
              <w:t>0.216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办公椅</w:t>
            </w:r>
          </w:p>
        </w:tc>
        <w:tc>
          <w:tcPr>
            <w:tcW w:w="1134" w:type="dxa"/>
            <w:vAlign w:val="center"/>
          </w:tcPr>
          <w:p>
            <w:pPr>
              <w:pStyle w:val="10"/>
              <w:rPr>
                <w:rFonts w:hint="default"/>
                <w:lang w:val="en-US" w:eastAsia="zh-CN"/>
              </w:rPr>
            </w:pPr>
            <w:r>
              <w:rPr>
                <w:rFonts w:hint="eastAsia"/>
                <w:lang w:val="en-US" w:eastAsia="zh-CN"/>
              </w:rPr>
              <w:t>A05010301</w:t>
            </w:r>
          </w:p>
        </w:tc>
        <w:tc>
          <w:tcPr>
            <w:tcW w:w="709" w:type="dxa"/>
            <w:vAlign w:val="center"/>
          </w:tcPr>
          <w:p>
            <w:pPr>
              <w:pStyle w:val="11"/>
              <w:rPr>
                <w:rFonts w:hint="default"/>
                <w:lang w:val="en-US" w:eastAsia="zh-CN"/>
              </w:rPr>
            </w:pPr>
            <w:r>
              <w:rPr>
                <w:rFonts w:hint="eastAsia"/>
                <w:lang w:val="en-US" w:eastAsia="zh-CN"/>
              </w:rPr>
              <w:t>把</w:t>
            </w:r>
          </w:p>
        </w:tc>
        <w:tc>
          <w:tcPr>
            <w:tcW w:w="850" w:type="dxa"/>
            <w:vAlign w:val="center"/>
          </w:tcPr>
          <w:p>
            <w:pPr>
              <w:pStyle w:val="9"/>
              <w:rPr>
                <w:rFonts w:hint="default"/>
                <w:lang w:val="en-US" w:eastAsia="zh-CN"/>
              </w:rPr>
            </w:pPr>
            <w:r>
              <w:rPr>
                <w:rFonts w:hint="eastAsia"/>
                <w:lang w:val="en-US" w:eastAsia="zh-CN"/>
              </w:rPr>
              <w:t>3</w:t>
            </w:r>
          </w:p>
        </w:tc>
        <w:tc>
          <w:tcPr>
            <w:tcW w:w="850" w:type="dxa"/>
            <w:vAlign w:val="center"/>
          </w:tcPr>
          <w:p>
            <w:pPr>
              <w:pStyle w:val="9"/>
              <w:rPr>
                <w:rFonts w:hint="default"/>
                <w:lang w:val="en-US" w:eastAsia="zh-CN"/>
              </w:rPr>
            </w:pPr>
            <w:r>
              <w:rPr>
                <w:rFonts w:hint="eastAsia"/>
                <w:lang w:val="en-US" w:eastAsia="zh-CN"/>
              </w:rPr>
              <w:t>0.036</w:t>
            </w:r>
          </w:p>
        </w:tc>
        <w:tc>
          <w:tcPr>
            <w:tcW w:w="964" w:type="dxa"/>
            <w:vAlign w:val="center"/>
          </w:tcPr>
          <w:p>
            <w:pPr>
              <w:pStyle w:val="9"/>
              <w:rPr>
                <w:rFonts w:hint="default" w:eastAsia="方正书宋_GBK"/>
                <w:lang w:val="en-US" w:eastAsia="zh-CN"/>
              </w:rPr>
            </w:pPr>
            <w:r>
              <w:rPr>
                <w:rFonts w:hint="eastAsia"/>
                <w:lang w:val="en-US" w:eastAsia="zh-CN"/>
              </w:rPr>
              <w:t>0.108</w:t>
            </w:r>
          </w:p>
        </w:tc>
        <w:tc>
          <w:tcPr>
            <w:tcW w:w="964" w:type="dxa"/>
            <w:vAlign w:val="center"/>
          </w:tcPr>
          <w:p>
            <w:pPr>
              <w:pStyle w:val="9"/>
              <w:rPr>
                <w:rFonts w:hint="eastAsia" w:eastAsia="方正书宋_GBK"/>
                <w:lang w:eastAsia="zh-CN"/>
              </w:rPr>
            </w:pPr>
            <w:r>
              <w:rPr>
                <w:rFonts w:hint="eastAsia"/>
                <w:lang w:val="en-US" w:eastAsia="zh-CN"/>
              </w:rPr>
              <w:t>0.108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书柜</w:t>
            </w:r>
          </w:p>
        </w:tc>
        <w:tc>
          <w:tcPr>
            <w:tcW w:w="1134" w:type="dxa"/>
            <w:vAlign w:val="center"/>
          </w:tcPr>
          <w:p>
            <w:pPr>
              <w:pStyle w:val="10"/>
              <w:rPr>
                <w:rFonts w:hint="default" w:eastAsia="方正书宋_GBK"/>
                <w:lang w:val="en-US" w:eastAsia="zh-CN"/>
              </w:rPr>
            </w:pPr>
            <w:r>
              <w:rPr>
                <w:rFonts w:hint="eastAsia"/>
                <w:lang w:val="en-US" w:eastAsia="zh-CN"/>
              </w:rPr>
              <w:t>A05010501</w:t>
            </w:r>
          </w:p>
        </w:tc>
        <w:tc>
          <w:tcPr>
            <w:tcW w:w="709" w:type="dxa"/>
            <w:vAlign w:val="center"/>
          </w:tcPr>
          <w:p>
            <w:pPr>
              <w:pStyle w:val="11"/>
              <w:rPr>
                <w:rFonts w:hint="eastAsia" w:eastAsia="方正书宋_GBK"/>
                <w:lang w:eastAsia="zh-CN"/>
              </w:rPr>
            </w:pPr>
            <w:r>
              <w:rPr>
                <w:rFonts w:hint="eastAsia"/>
                <w:lang w:eastAsia="zh-CN"/>
              </w:rPr>
              <w:t>张</w:t>
            </w:r>
          </w:p>
        </w:tc>
        <w:tc>
          <w:tcPr>
            <w:tcW w:w="850" w:type="dxa"/>
            <w:vAlign w:val="center"/>
          </w:tcPr>
          <w:p>
            <w:pPr>
              <w:pStyle w:val="9"/>
              <w:rPr>
                <w:rFonts w:hint="default" w:eastAsia="方正书宋_GBK"/>
                <w:lang w:val="en-US" w:eastAsia="zh-CN"/>
              </w:rPr>
            </w:pPr>
            <w:r>
              <w:rPr>
                <w:rFonts w:hint="eastAsia"/>
                <w:lang w:val="en-US" w:eastAsia="zh-CN"/>
              </w:rPr>
              <w:t>1</w:t>
            </w:r>
          </w:p>
        </w:tc>
        <w:tc>
          <w:tcPr>
            <w:tcW w:w="850" w:type="dxa"/>
            <w:vAlign w:val="center"/>
          </w:tcPr>
          <w:p>
            <w:pPr>
              <w:pStyle w:val="9"/>
              <w:rPr>
                <w:rFonts w:hint="default" w:eastAsia="方正书宋_GBK"/>
                <w:lang w:val="en-US" w:eastAsia="zh-CN"/>
              </w:rPr>
            </w:pPr>
            <w:r>
              <w:rPr>
                <w:rFonts w:hint="eastAsia"/>
                <w:lang w:val="en-US" w:eastAsia="zh-CN"/>
              </w:rPr>
              <w:t>0.23</w:t>
            </w:r>
          </w:p>
        </w:tc>
        <w:tc>
          <w:tcPr>
            <w:tcW w:w="964" w:type="dxa"/>
            <w:vAlign w:val="center"/>
          </w:tcPr>
          <w:p>
            <w:pPr>
              <w:pStyle w:val="9"/>
              <w:rPr>
                <w:rFonts w:hint="default" w:eastAsia="方正书宋_GBK"/>
                <w:lang w:val="en-US" w:eastAsia="zh-CN"/>
              </w:rPr>
            </w:pPr>
            <w:r>
              <w:rPr>
                <w:rFonts w:hint="eastAsia"/>
                <w:lang w:val="en-US" w:eastAsia="zh-CN"/>
              </w:rPr>
              <w:t>0.23</w:t>
            </w:r>
          </w:p>
        </w:tc>
        <w:tc>
          <w:tcPr>
            <w:tcW w:w="964" w:type="dxa"/>
            <w:vAlign w:val="center"/>
          </w:tcPr>
          <w:p>
            <w:pPr>
              <w:pStyle w:val="9"/>
              <w:rPr>
                <w:rFonts w:hint="eastAsia" w:eastAsia="方正书宋_GBK"/>
                <w:lang w:eastAsia="zh-CN"/>
              </w:rPr>
            </w:pPr>
            <w:r>
              <w:rPr>
                <w:rFonts w:hint="eastAsia"/>
                <w:lang w:val="en-US" w:eastAsia="zh-CN"/>
              </w:rPr>
              <w:t>0.23</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床</w:t>
            </w:r>
          </w:p>
        </w:tc>
        <w:tc>
          <w:tcPr>
            <w:tcW w:w="1134" w:type="dxa"/>
            <w:vAlign w:val="center"/>
          </w:tcPr>
          <w:p>
            <w:pPr>
              <w:pStyle w:val="10"/>
              <w:rPr>
                <w:rFonts w:hint="default"/>
                <w:lang w:val="en-US" w:eastAsia="zh-CN"/>
              </w:rPr>
            </w:pPr>
            <w:r>
              <w:rPr>
                <w:rFonts w:hint="eastAsia"/>
                <w:lang w:val="en-US" w:eastAsia="zh-CN"/>
              </w:rPr>
              <w:t>A05010104</w:t>
            </w:r>
          </w:p>
        </w:tc>
        <w:tc>
          <w:tcPr>
            <w:tcW w:w="709" w:type="dxa"/>
            <w:vAlign w:val="center"/>
          </w:tcPr>
          <w:p>
            <w:pPr>
              <w:pStyle w:val="11"/>
              <w:rPr>
                <w:rFonts w:hint="eastAsia"/>
                <w:lang w:eastAsia="zh-CN"/>
              </w:rPr>
            </w:pPr>
            <w:r>
              <w:rPr>
                <w:rFonts w:hint="eastAsia"/>
                <w:lang w:eastAsia="zh-CN"/>
              </w:rPr>
              <w:t>张</w:t>
            </w:r>
          </w:p>
        </w:tc>
        <w:tc>
          <w:tcPr>
            <w:tcW w:w="850" w:type="dxa"/>
            <w:vAlign w:val="center"/>
          </w:tcPr>
          <w:p>
            <w:pPr>
              <w:pStyle w:val="9"/>
              <w:rPr>
                <w:rFonts w:hint="default"/>
                <w:lang w:val="en-US" w:eastAsia="zh-CN"/>
              </w:rPr>
            </w:pPr>
            <w:r>
              <w:rPr>
                <w:rFonts w:hint="eastAsia"/>
                <w:lang w:val="en-US" w:eastAsia="zh-CN"/>
              </w:rPr>
              <w:t>1</w:t>
            </w:r>
          </w:p>
        </w:tc>
        <w:tc>
          <w:tcPr>
            <w:tcW w:w="850" w:type="dxa"/>
            <w:vAlign w:val="center"/>
          </w:tcPr>
          <w:p>
            <w:pPr>
              <w:pStyle w:val="9"/>
              <w:rPr>
                <w:rFonts w:hint="default"/>
                <w:lang w:val="en-US" w:eastAsia="zh-CN"/>
              </w:rPr>
            </w:pPr>
            <w:r>
              <w:rPr>
                <w:rFonts w:hint="eastAsia"/>
                <w:lang w:val="en-US" w:eastAsia="zh-CN"/>
              </w:rPr>
              <w:t>0.06</w:t>
            </w:r>
          </w:p>
        </w:tc>
        <w:tc>
          <w:tcPr>
            <w:tcW w:w="964" w:type="dxa"/>
            <w:vAlign w:val="center"/>
          </w:tcPr>
          <w:p>
            <w:pPr>
              <w:pStyle w:val="9"/>
              <w:rPr>
                <w:rFonts w:hint="default"/>
                <w:lang w:val="en-US" w:eastAsia="zh-CN"/>
              </w:rPr>
            </w:pPr>
            <w:r>
              <w:rPr>
                <w:rFonts w:hint="eastAsia"/>
                <w:lang w:val="en-US" w:eastAsia="zh-CN"/>
              </w:rPr>
              <w:t>0.06</w:t>
            </w:r>
          </w:p>
        </w:tc>
        <w:tc>
          <w:tcPr>
            <w:tcW w:w="964" w:type="dxa"/>
            <w:vAlign w:val="center"/>
          </w:tcPr>
          <w:p>
            <w:pPr>
              <w:pStyle w:val="9"/>
              <w:rPr>
                <w:rFonts w:hint="eastAsia" w:eastAsia="方正书宋_GBK"/>
                <w:lang w:eastAsia="zh-CN"/>
              </w:rPr>
            </w:pPr>
            <w:r>
              <w:rPr>
                <w:rFonts w:hint="eastAsia"/>
                <w:lang w:val="en-US" w:eastAsia="zh-CN"/>
              </w:rPr>
              <w:t>0.06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预备机动资金</w:t>
            </w:r>
            <w:r>
              <w:rPr>
                <w:rFonts w:hint="eastAsia"/>
                <w:lang w:val="en-US" w:eastAsia="zh-CN"/>
              </w:rPr>
              <w:t>/新联合工作经费</w:t>
            </w:r>
          </w:p>
        </w:tc>
        <w:tc>
          <w:tcPr>
            <w:tcW w:w="964" w:type="dxa"/>
            <w:vAlign w:val="center"/>
          </w:tcPr>
          <w:p>
            <w:pPr>
              <w:pStyle w:val="9"/>
              <w:rPr>
                <w:rFonts w:hint="eastAsia"/>
                <w:lang w:val="en-US" w:eastAsia="zh-CN"/>
              </w:rPr>
            </w:pPr>
            <w:r>
              <w:rPr>
                <w:rFonts w:hint="eastAsia"/>
                <w:lang w:val="en-US" w:eastAsia="zh-CN"/>
              </w:rPr>
              <w:t>4</w:t>
            </w:r>
          </w:p>
        </w:tc>
        <w:tc>
          <w:tcPr>
            <w:tcW w:w="1134" w:type="dxa"/>
            <w:vAlign w:val="center"/>
          </w:tcPr>
          <w:p>
            <w:pPr>
              <w:pStyle w:val="10"/>
              <w:rPr>
                <w:rFonts w:hint="eastAsia"/>
                <w:lang w:eastAsia="zh-CN"/>
              </w:rPr>
            </w:pPr>
            <w:r>
              <w:rPr>
                <w:rFonts w:hint="eastAsia"/>
                <w:lang w:eastAsia="zh-CN"/>
              </w:rPr>
              <w:t>会议桌</w:t>
            </w:r>
          </w:p>
        </w:tc>
        <w:tc>
          <w:tcPr>
            <w:tcW w:w="1134" w:type="dxa"/>
            <w:vAlign w:val="center"/>
          </w:tcPr>
          <w:p>
            <w:pPr>
              <w:pStyle w:val="10"/>
              <w:rPr>
                <w:rFonts w:hint="default"/>
                <w:lang w:val="en-US" w:eastAsia="zh-CN"/>
              </w:rPr>
            </w:pPr>
            <w:r>
              <w:rPr>
                <w:rFonts w:hint="eastAsia"/>
                <w:lang w:val="en-US" w:eastAsia="zh-CN"/>
              </w:rPr>
              <w:t>A05010202</w:t>
            </w:r>
          </w:p>
        </w:tc>
        <w:tc>
          <w:tcPr>
            <w:tcW w:w="709" w:type="dxa"/>
            <w:vAlign w:val="center"/>
          </w:tcPr>
          <w:p>
            <w:pPr>
              <w:pStyle w:val="11"/>
              <w:rPr>
                <w:rFonts w:hint="eastAsia"/>
                <w:lang w:eastAsia="zh-CN"/>
              </w:rPr>
            </w:pPr>
            <w:r>
              <w:rPr>
                <w:rFonts w:hint="eastAsia"/>
                <w:lang w:eastAsia="zh-CN"/>
              </w:rPr>
              <w:t>张</w:t>
            </w:r>
          </w:p>
        </w:tc>
        <w:tc>
          <w:tcPr>
            <w:tcW w:w="850" w:type="dxa"/>
            <w:vAlign w:val="center"/>
          </w:tcPr>
          <w:p>
            <w:pPr>
              <w:pStyle w:val="9"/>
              <w:rPr>
                <w:rFonts w:hint="default"/>
                <w:lang w:val="en-US" w:eastAsia="zh-CN"/>
              </w:rPr>
            </w:pPr>
            <w:r>
              <w:rPr>
                <w:rFonts w:hint="eastAsia"/>
                <w:lang w:val="en-US" w:eastAsia="zh-CN"/>
              </w:rPr>
              <w:t>1</w:t>
            </w:r>
          </w:p>
        </w:tc>
        <w:tc>
          <w:tcPr>
            <w:tcW w:w="850" w:type="dxa"/>
            <w:vAlign w:val="center"/>
          </w:tcPr>
          <w:p>
            <w:pPr>
              <w:pStyle w:val="9"/>
              <w:rPr>
                <w:rFonts w:hint="default"/>
                <w:lang w:val="en-US" w:eastAsia="zh-CN"/>
              </w:rPr>
            </w:pPr>
            <w:r>
              <w:rPr>
                <w:rFonts w:hint="eastAsia"/>
                <w:lang w:val="en-US" w:eastAsia="zh-CN"/>
              </w:rPr>
              <w:t>0.476</w:t>
            </w:r>
          </w:p>
        </w:tc>
        <w:tc>
          <w:tcPr>
            <w:tcW w:w="964" w:type="dxa"/>
            <w:vAlign w:val="center"/>
          </w:tcPr>
          <w:p>
            <w:pPr>
              <w:pStyle w:val="9"/>
              <w:rPr>
                <w:rFonts w:hint="default"/>
                <w:lang w:val="en-US" w:eastAsia="zh-CN"/>
              </w:rPr>
            </w:pPr>
            <w:r>
              <w:rPr>
                <w:rFonts w:hint="eastAsia"/>
                <w:lang w:val="en-US" w:eastAsia="zh-CN"/>
              </w:rPr>
              <w:t>0.476</w:t>
            </w:r>
          </w:p>
        </w:tc>
        <w:tc>
          <w:tcPr>
            <w:tcW w:w="964" w:type="dxa"/>
            <w:vAlign w:val="center"/>
          </w:tcPr>
          <w:p>
            <w:pPr>
              <w:pStyle w:val="9"/>
              <w:rPr>
                <w:rFonts w:hint="eastAsia" w:eastAsia="方正书宋_GBK"/>
                <w:lang w:eastAsia="zh-CN"/>
              </w:rPr>
            </w:pPr>
            <w:r>
              <w:rPr>
                <w:rFonts w:hint="eastAsia"/>
                <w:lang w:val="en-US" w:eastAsia="zh-CN"/>
              </w:rPr>
              <w:t>0.476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 w:name="_Toc_3_3_0000000016"/>
      <w:r>
        <w:rPr>
          <w:rFonts w:ascii="黑体" w:hAnsi="黑体" w:eastAsia="黑体" w:cs="黑体"/>
          <w:color w:val="000000"/>
          <w:sz w:val="32"/>
        </w:rPr>
        <w:t>七、国有资产信息</w:t>
      </w:r>
      <w:bookmarkEnd w:id="1"/>
    </w:p>
    <w:p>
      <w:pPr>
        <w:spacing w:line="500" w:lineRule="exact"/>
        <w:ind w:firstLine="560"/>
      </w:pPr>
      <w:r>
        <w:rPr>
          <w:rFonts w:eastAsia="方正仿宋_GBK"/>
          <w:color w:val="000000"/>
          <w:sz w:val="28"/>
        </w:rPr>
        <w:t>中国共产党隆尧县委员会统一战线工作部（含所属单位）上年末固定资产金额为</w:t>
      </w:r>
      <w:r>
        <w:rPr>
          <w:rFonts w:hint="eastAsia" w:eastAsia="方正仿宋_GBK"/>
          <w:color w:val="000000"/>
          <w:sz w:val="28"/>
          <w:lang w:val="en-US" w:eastAsia="zh-CN"/>
        </w:rPr>
        <w:t>7.34</w:t>
      </w:r>
      <w:r>
        <w:rPr>
          <w:rFonts w:eastAsia="方正仿宋_GBK"/>
          <w:color w:val="000000"/>
          <w:sz w:val="28"/>
        </w:rPr>
        <w:t>万元（详见下表）。本年度拟购置固定资产总额为</w:t>
      </w:r>
      <w:r>
        <w:rPr>
          <w:rFonts w:hint="eastAsia" w:eastAsia="方正仿宋_GBK"/>
          <w:color w:val="000000"/>
          <w:sz w:val="28"/>
          <w:lang w:val="en-US" w:eastAsia="zh-CN"/>
        </w:rPr>
        <w:t>2.00</w:t>
      </w:r>
      <w:bookmarkStart w:id="2" w:name="_GoBack"/>
      <w:bookmarkEnd w:id="2"/>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213中国共产党隆尧县委员会统一战线工作部</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7.34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A24DEA"/>
    <w:multiLevelType w:val="singleLevel"/>
    <w:tmpl w:val="9FA24DEA"/>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hiNGE0NTZlZjU1Mjk2NmUzY2UyNjU4ZTY4MDUxMjQifQ=="/>
  </w:docVars>
  <w:rsids>
    <w:rsidRoot w:val="00477A02"/>
    <w:rsid w:val="0009398C"/>
    <w:rsid w:val="0012609E"/>
    <w:rsid w:val="00223B38"/>
    <w:rsid w:val="002451BB"/>
    <w:rsid w:val="00477A02"/>
    <w:rsid w:val="006277ED"/>
    <w:rsid w:val="006F486A"/>
    <w:rsid w:val="00741976"/>
    <w:rsid w:val="00864F31"/>
    <w:rsid w:val="008F7077"/>
    <w:rsid w:val="00955219"/>
    <w:rsid w:val="00A84982"/>
    <w:rsid w:val="00E17E9F"/>
    <w:rsid w:val="00E41FD7"/>
    <w:rsid w:val="00FD18D8"/>
    <w:rsid w:val="0171640F"/>
    <w:rsid w:val="01E4544B"/>
    <w:rsid w:val="03FD3D68"/>
    <w:rsid w:val="0B5346BD"/>
    <w:rsid w:val="0D575636"/>
    <w:rsid w:val="0DD67934"/>
    <w:rsid w:val="10AE3518"/>
    <w:rsid w:val="113F222E"/>
    <w:rsid w:val="124245C1"/>
    <w:rsid w:val="12DB719A"/>
    <w:rsid w:val="13A97E33"/>
    <w:rsid w:val="198C1D89"/>
    <w:rsid w:val="19FE07AD"/>
    <w:rsid w:val="1A915B77"/>
    <w:rsid w:val="1ABD2416"/>
    <w:rsid w:val="1AF23E6D"/>
    <w:rsid w:val="1B414DF5"/>
    <w:rsid w:val="1BFE3B16"/>
    <w:rsid w:val="200610A0"/>
    <w:rsid w:val="202F7A05"/>
    <w:rsid w:val="21891371"/>
    <w:rsid w:val="22A53EBB"/>
    <w:rsid w:val="26485289"/>
    <w:rsid w:val="2A077209"/>
    <w:rsid w:val="2E211E80"/>
    <w:rsid w:val="2E8D7C51"/>
    <w:rsid w:val="30A54CAF"/>
    <w:rsid w:val="32015728"/>
    <w:rsid w:val="32317AF5"/>
    <w:rsid w:val="3B8A37F6"/>
    <w:rsid w:val="3BD01B51"/>
    <w:rsid w:val="3D762284"/>
    <w:rsid w:val="3E215214"/>
    <w:rsid w:val="40464190"/>
    <w:rsid w:val="41A81159"/>
    <w:rsid w:val="41E579D9"/>
    <w:rsid w:val="42FE6FA4"/>
    <w:rsid w:val="48457423"/>
    <w:rsid w:val="48AA4A10"/>
    <w:rsid w:val="495F4514"/>
    <w:rsid w:val="4CD13750"/>
    <w:rsid w:val="4CDF1BF4"/>
    <w:rsid w:val="555E1C1A"/>
    <w:rsid w:val="569A4DDE"/>
    <w:rsid w:val="587A0A23"/>
    <w:rsid w:val="5E4B40E7"/>
    <w:rsid w:val="5E505513"/>
    <w:rsid w:val="5F49114F"/>
    <w:rsid w:val="60310561"/>
    <w:rsid w:val="60787F3E"/>
    <w:rsid w:val="611F485D"/>
    <w:rsid w:val="61C251E9"/>
    <w:rsid w:val="6230137D"/>
    <w:rsid w:val="647F7C8A"/>
    <w:rsid w:val="73214465"/>
    <w:rsid w:val="7467234B"/>
    <w:rsid w:val="75C80BC8"/>
    <w:rsid w:val="7D1B1F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Normal_3bf15a4c-900f-471e-a620-e312216a0ee7"/>
    <w:qFormat/>
    <w:uiPriority w:val="0"/>
    <w:rPr>
      <w:rFonts w:ascii="Times New Roman" w:hAnsi="Times New Roman" w:eastAsia="Times New Roman" w:cs="Times New Roman"/>
      <w:sz w:val="24"/>
      <w:szCs w:val="24"/>
      <w:lang w:val="en-US" w:eastAsia="uk-UA" w:bidi="ar-SA"/>
    </w:rPr>
  </w:style>
  <w:style w:type="paragraph" w:customStyle="1" w:styleId="23">
    <w:name w:val="单元格样式1_674a6a25-1181-4134-8ce3-d0dee081aa65"/>
    <w:basedOn w:val="1"/>
    <w:qFormat/>
    <w:uiPriority w:val="0"/>
    <w:pPr>
      <w:jc w:val="center"/>
    </w:pPr>
    <w:rPr>
      <w:rFonts w:ascii="方正书宋_GBK" w:hAnsi="方正书宋_GBK" w:eastAsia="方正书宋_GBK" w:cs="方正书宋_GBK"/>
      <w:b/>
      <w:sz w:val="21"/>
    </w:rPr>
  </w:style>
  <w:style w:type="paragraph" w:customStyle="1" w:styleId="24">
    <w:name w:val="单元格样式2_8032a5b9-5811-4adc-bf2c-b13a19931a63"/>
    <w:basedOn w:val="1"/>
    <w:qFormat/>
    <w:uiPriority w:val="0"/>
    <w:rPr>
      <w:rFonts w:ascii="方正书宋_GBK" w:hAnsi="方正书宋_GBK" w:eastAsia="方正书宋_GBK" w:cs="方正书宋_GBK"/>
      <w:sz w:val="21"/>
    </w:rPr>
  </w:style>
  <w:style w:type="paragraph" w:customStyle="1" w:styleId="25">
    <w:name w:val="单元格样式3_6966d28b-6d9f-4c7d-8e9b-c7d047d9e17e"/>
    <w:basedOn w:val="1"/>
    <w:qFormat/>
    <w:uiPriority w:val="0"/>
    <w:pPr>
      <w:jc w:val="center"/>
    </w:pPr>
    <w:rPr>
      <w:rFonts w:ascii="方正书宋_GBK" w:hAnsi="方正书宋_GBK" w:eastAsia="方正书宋_GBK" w:cs="方正书宋_GBK"/>
      <w:sz w:val="21"/>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2022-02-17T10:13:45Z</dcterms:created>
  <dcterms:modified xsi:type="dcterms:W3CDTF">2022-02-17T02:13:45Z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2022-02-17T10:13:40Z</dcterms:created>
  <dcterms:modified xsi:type="dcterms:W3CDTF">2022-02-17T02:13:40Z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2022-02-17T10:13:43Z</dcterms:created>
  <dcterms:modified xsi:type="dcterms:W3CDTF">2022-02-17T02:13:43Z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2022-02-17T10:13:42Z</dcterms:created>
  <dcterms:modified xsi:type="dcterms:W3CDTF">2022-02-17T02:13:42Z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2022-02-17T10:13:38Z</dcterms:created>
  <dcterms:modified xsi:type="dcterms:W3CDTF">2022-02-17T02:13:38Z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2022-02-17T10:13:45Z</dcterms:created>
  <dcterms:modified xsi:type="dcterms:W3CDTF">2022-02-17T02:13:45Z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30B1CAF-1EE7-4B2B-A836-9F88C6381A14}">
  <ds:schemaRefs/>
</ds:datastoreItem>
</file>

<file path=customXml/itemProps11.xml><?xml version="1.0" encoding="utf-8"?>
<ds:datastoreItem xmlns:ds="http://schemas.openxmlformats.org/officeDocument/2006/customXml" ds:itemID="{04B82AB7-2244-4891-9A04-CADA9A2A8335}">
  <ds:schemaRefs/>
</ds:datastoreItem>
</file>

<file path=customXml/itemProps12.xml><?xml version="1.0" encoding="utf-8"?>
<ds:datastoreItem xmlns:ds="http://schemas.openxmlformats.org/officeDocument/2006/customXml" ds:itemID="{CFC71910-A67E-4E4C-B694-83526E738FCA}">
  <ds:schemaRefs/>
</ds:datastoreItem>
</file>

<file path=customXml/itemProps13.xml><?xml version="1.0" encoding="utf-8"?>
<ds:datastoreItem xmlns:ds="http://schemas.openxmlformats.org/officeDocument/2006/customXml" ds:itemID="{57D9BEB5-8FF6-4659-B0E3-5F57769D5285}">
  <ds:schemaRefs/>
</ds:datastoreItem>
</file>

<file path=customXml/itemProps2.xml><?xml version="1.0" encoding="utf-8"?>
<ds:datastoreItem xmlns:ds="http://schemas.openxmlformats.org/officeDocument/2006/customXml" ds:itemID="{083B7B0A-16C2-4300-874B-A2DE4DC79721}">
  <ds:schemaRefs/>
</ds:datastoreItem>
</file>

<file path=customXml/itemProps3.xml><?xml version="1.0" encoding="utf-8"?>
<ds:datastoreItem xmlns:ds="http://schemas.openxmlformats.org/officeDocument/2006/customXml" ds:itemID="{EB0F0779-FB81-474D-B5E8-974D2FC3DC50}">
  <ds:schemaRefs/>
</ds:datastoreItem>
</file>

<file path=customXml/itemProps4.xml><?xml version="1.0" encoding="utf-8"?>
<ds:datastoreItem xmlns:ds="http://schemas.openxmlformats.org/officeDocument/2006/customXml" ds:itemID="{FD21559C-03FE-409A-AA1F-5ABA8B73E0AD}">
  <ds:schemaRefs/>
</ds:datastoreItem>
</file>

<file path=customXml/itemProps5.xml><?xml version="1.0" encoding="utf-8"?>
<ds:datastoreItem xmlns:ds="http://schemas.openxmlformats.org/officeDocument/2006/customXml" ds:itemID="{D6E8CF1D-8958-45DC-BC28-039900BCBEB2}">
  <ds:schemaRefs/>
</ds:datastoreItem>
</file>

<file path=customXml/itemProps6.xml><?xml version="1.0" encoding="utf-8"?>
<ds:datastoreItem xmlns:ds="http://schemas.openxmlformats.org/officeDocument/2006/customXml" ds:itemID="{756B9EF8-1D87-4B68-A0C5-AC808E886F42}">
  <ds:schemaRefs/>
</ds:datastoreItem>
</file>

<file path=customXml/itemProps7.xml><?xml version="1.0" encoding="utf-8"?>
<ds:datastoreItem xmlns:ds="http://schemas.openxmlformats.org/officeDocument/2006/customXml" ds:itemID="{FFD84184-FED2-4BBD-A93E-43BA170C96C3}">
  <ds:schemaRefs/>
</ds:datastoreItem>
</file>

<file path=customXml/itemProps8.xml><?xml version="1.0" encoding="utf-8"?>
<ds:datastoreItem xmlns:ds="http://schemas.openxmlformats.org/officeDocument/2006/customXml" ds:itemID="{F015DC3C-ED5C-47A0-AEAD-23073F6E1653}">
  <ds:schemaRefs/>
</ds:datastoreItem>
</file>

<file path=customXml/itemProps9.xml><?xml version="1.0" encoding="utf-8"?>
<ds:datastoreItem xmlns:ds="http://schemas.openxmlformats.org/officeDocument/2006/customXml" ds:itemID="{37560F8E-5E58-4E0A-9476-4850DB43644D}">
  <ds:schemaRefs/>
</ds:datastoreItem>
</file>

<file path=docProps/app.xml><?xml version="1.0" encoding="utf-8"?>
<Properties xmlns="http://schemas.openxmlformats.org/officeDocument/2006/extended-properties" xmlns:vt="http://schemas.openxmlformats.org/officeDocument/2006/docPropsVTypes">
  <Template>Normal.dotm</Template>
  <Pages>30</Pages>
  <Words>8955</Words>
  <Characters>10425</Characters>
  <Lines>220</Lines>
  <Paragraphs>62</Paragraphs>
  <TotalTime>1</TotalTime>
  <ScaleCrop>false</ScaleCrop>
  <LinksUpToDate>false</LinksUpToDate>
  <CharactersWithSpaces>10601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2022-02-17T02:15:00Z</dcterms:created>
  <dc:creator>Administrator</dc:creator>
  <cp:lastModifiedBy>Administrator</cp:lastModifiedBy>
  <dcterms:modified xsi:type="dcterms:W3CDTF">2023-09-06T09:21:32Z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AF1D86EDAD20483C9C0224BA71B05772_12</vt:lpwstr>
  </property>
</Properties>
</file>