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outlineLvl w:val="0"/>
        <w:rPr>
          <w:rFonts w:ascii="黑体" w:hAnsi="黑体" w:eastAsia="黑体" w:cs="黑体"/>
          <w:b/>
          <w:color w:val="000000"/>
          <w:sz w:val="44"/>
          <w:lang w:eastAsia="zh-CN"/>
        </w:rPr>
      </w:pPr>
    </w:p>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4"/>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29</w:t>
      </w:r>
      <w:r>
        <w:fldChar w:fldCharType="end"/>
      </w:r>
      <w:r>
        <w:fldChar w:fldCharType="end"/>
      </w:r>
    </w:p>
    <w:p>
      <w:pPr>
        <w:pStyle w:val="3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0</w:t>
      </w:r>
    </w:p>
    <w:p>
      <w:pPr>
        <w:pStyle w:val="3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val="en-US" w:eastAsia="zh-CN"/>
        </w:rPr>
        <w:t>1</w:t>
      </w:r>
      <w:r>
        <w:fldChar w:fldCharType="end"/>
      </w:r>
      <w:r>
        <w:fldChar w:fldCharType="end"/>
      </w:r>
    </w:p>
    <w:p>
      <w:pPr>
        <w:pStyle w:val="3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rPr>
          <w:rFonts w:hint="eastAsia"/>
          <w:lang w:val="en-US" w:eastAsia="zh-CN"/>
        </w:rP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2126" w:type="dxa"/>
            <w:tcBorders>
              <w:top w:val="single" w:color="FFFFFF" w:sz="6" w:space="0"/>
              <w:left w:val="single" w:color="FFFFFF" w:sz="6" w:space="0"/>
              <w:right w:val="single" w:color="FFFFFF" w:sz="6" w:space="0"/>
            </w:tcBorders>
            <w:vAlign w:val="center"/>
          </w:tcPr>
          <w:p>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2"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6"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0"/>
            </w:pPr>
            <w:r>
              <w:t>一、一般公共预算拨款收入</w:t>
            </w:r>
          </w:p>
        </w:tc>
        <w:tc>
          <w:tcPr>
            <w:tcW w:w="2126" w:type="dxa"/>
            <w:vAlign w:val="center"/>
          </w:tcPr>
          <w:p>
            <w:pPr>
              <w:pStyle w:val="9"/>
            </w:pPr>
            <w:r>
              <w:t>1639.18</w:t>
            </w:r>
          </w:p>
        </w:tc>
        <w:tc>
          <w:tcPr>
            <w:tcW w:w="4535" w:type="dxa"/>
            <w:vAlign w:val="center"/>
          </w:tcPr>
          <w:p>
            <w:pPr>
              <w:pStyle w:val="10"/>
            </w:pPr>
            <w:r>
              <w:t>一、一般公共服务支出</w:t>
            </w:r>
          </w:p>
        </w:tc>
        <w:tc>
          <w:tcPr>
            <w:tcW w:w="2126" w:type="dxa"/>
            <w:vAlign w:val="center"/>
          </w:tcPr>
          <w:p>
            <w:pPr>
              <w:pStyle w:val="9"/>
            </w:pPr>
            <w:r>
              <w:t>190.04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r>
              <w:t>1429.00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二十六、年初预留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二十七、转移性支出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二十八、债务还本支出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二十九、债务付息支出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三十一、抗疫特别国债安排的支出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本年收入合计</w:t>
            </w:r>
          </w:p>
        </w:tc>
        <w:tc>
          <w:tcPr>
            <w:tcW w:w="2126" w:type="dxa"/>
            <w:vAlign w:val="center"/>
          </w:tcPr>
          <w:p>
            <w:pPr>
              <w:pStyle w:val="13"/>
            </w:pPr>
            <w:r>
              <w:t>1639.18</w:t>
            </w:r>
          </w:p>
        </w:tc>
        <w:tc>
          <w:tcPr>
            <w:tcW w:w="4535" w:type="dxa"/>
            <w:vAlign w:val="center"/>
          </w:tcPr>
          <w:p>
            <w:pPr>
              <w:pStyle w:val="12"/>
            </w:pPr>
            <w:r>
              <w:t>本年支出合计</w:t>
            </w:r>
          </w:p>
        </w:tc>
        <w:tc>
          <w:tcPr>
            <w:tcW w:w="2126" w:type="dxa"/>
            <w:vAlign w:val="center"/>
          </w:tcPr>
          <w:p>
            <w:pPr>
              <w:pStyle w:val="13"/>
            </w:pPr>
            <w:r>
              <w:t>1639.18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2"/>
            </w:pPr>
            <w:r>
              <w:t>收入总计</w:t>
            </w:r>
          </w:p>
        </w:tc>
        <w:tc>
          <w:tcPr>
            <w:tcW w:w="2126" w:type="dxa"/>
            <w:vAlign w:val="center"/>
          </w:tcPr>
          <w:p>
            <w:pPr>
              <w:pStyle w:val="13"/>
            </w:pPr>
            <w:r>
              <w:t>1639.18</w:t>
            </w:r>
          </w:p>
        </w:tc>
        <w:tc>
          <w:tcPr>
            <w:tcW w:w="4535" w:type="dxa"/>
            <w:vAlign w:val="center"/>
          </w:tcPr>
          <w:p>
            <w:pPr>
              <w:pStyle w:val="12"/>
            </w:pPr>
            <w:r>
              <w:t>支出总计</w:t>
            </w:r>
          </w:p>
        </w:tc>
        <w:tc>
          <w:tcPr>
            <w:tcW w:w="2126" w:type="dxa"/>
            <w:vAlign w:val="center"/>
          </w:tcPr>
          <w:p>
            <w:pPr>
              <w:pStyle w:val="13"/>
            </w:pPr>
            <w:r>
              <w:t>1639.18</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1639.18</w:t>
            </w:r>
          </w:p>
        </w:tc>
        <w:tc>
          <w:tcPr>
            <w:tcW w:w="1134" w:type="dxa"/>
            <w:vAlign w:val="center"/>
          </w:tcPr>
          <w:p>
            <w:pPr>
              <w:pStyle w:val="13"/>
            </w:pPr>
            <w:r>
              <w:t>1639.18</w:t>
            </w:r>
          </w:p>
        </w:tc>
        <w:tc>
          <w:tcPr>
            <w:tcW w:w="1134" w:type="dxa"/>
            <w:vAlign w:val="center"/>
          </w:tcPr>
          <w:p>
            <w:pPr>
              <w:pStyle w:val="13"/>
            </w:pPr>
            <w:r>
              <w:t>1639.18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20134</w:t>
            </w:r>
          </w:p>
        </w:tc>
        <w:tc>
          <w:tcPr>
            <w:tcW w:w="1559" w:type="dxa"/>
            <w:vAlign w:val="center"/>
          </w:tcPr>
          <w:p>
            <w:pPr>
              <w:pStyle w:val="10"/>
            </w:pPr>
            <w:r>
              <w:t>统战事务</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2013401</w:t>
            </w:r>
          </w:p>
        </w:tc>
        <w:tc>
          <w:tcPr>
            <w:tcW w:w="1559" w:type="dxa"/>
            <w:vAlign w:val="center"/>
          </w:tcPr>
          <w:p>
            <w:pPr>
              <w:pStyle w:val="10"/>
            </w:pPr>
            <w:r>
              <w:t>行政运行</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216</w:t>
            </w:r>
          </w:p>
        </w:tc>
        <w:tc>
          <w:tcPr>
            <w:tcW w:w="1559" w:type="dxa"/>
            <w:vAlign w:val="center"/>
          </w:tcPr>
          <w:p>
            <w:pPr>
              <w:pStyle w:val="10"/>
            </w:pPr>
            <w:r>
              <w:t>商业服务业等支出</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21602</w:t>
            </w:r>
          </w:p>
        </w:tc>
        <w:tc>
          <w:tcPr>
            <w:tcW w:w="1559" w:type="dxa"/>
            <w:vAlign w:val="center"/>
          </w:tcPr>
          <w:p>
            <w:pPr>
              <w:pStyle w:val="10"/>
            </w:pPr>
            <w:r>
              <w:t>商业流通事务</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2160219</w:t>
            </w:r>
          </w:p>
        </w:tc>
        <w:tc>
          <w:tcPr>
            <w:tcW w:w="1559" w:type="dxa"/>
            <w:vAlign w:val="center"/>
          </w:tcPr>
          <w:p>
            <w:pPr>
              <w:pStyle w:val="10"/>
            </w:pPr>
            <w:r>
              <w:t>民贸民品贷款贴息</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pPr>
            <w:r>
              <w:t>1639.18</w:t>
            </w:r>
          </w:p>
        </w:tc>
        <w:tc>
          <w:tcPr>
            <w:tcW w:w="1361" w:type="dxa"/>
            <w:vAlign w:val="center"/>
          </w:tcPr>
          <w:p>
            <w:pPr>
              <w:pStyle w:val="13"/>
            </w:pPr>
            <w:r>
              <w:t>108.04</w:t>
            </w:r>
          </w:p>
        </w:tc>
        <w:tc>
          <w:tcPr>
            <w:tcW w:w="1361" w:type="dxa"/>
            <w:vAlign w:val="center"/>
          </w:tcPr>
          <w:p>
            <w:pPr>
              <w:pStyle w:val="13"/>
            </w:pPr>
            <w:r>
              <w:t>1531.14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6" w:type="dxa"/>
            <w:vAlign w:val="center"/>
          </w:tcPr>
          <w:p>
            <w:pPr>
              <w:pStyle w:val="10"/>
            </w:pPr>
            <w:r>
              <w:t>一般公共服务支出</w:t>
            </w:r>
          </w:p>
        </w:tc>
        <w:tc>
          <w:tcPr>
            <w:tcW w:w="1361" w:type="dxa"/>
            <w:vAlign w:val="center"/>
          </w:tcPr>
          <w:p>
            <w:pPr>
              <w:pStyle w:val="9"/>
            </w:pPr>
            <w:r>
              <w:t>190.04</w:t>
            </w:r>
          </w:p>
        </w:tc>
        <w:tc>
          <w:tcPr>
            <w:tcW w:w="1361" w:type="dxa"/>
            <w:vAlign w:val="center"/>
          </w:tcPr>
          <w:p>
            <w:pPr>
              <w:pStyle w:val="9"/>
            </w:pPr>
            <w:r>
              <w:t>87.90</w:t>
            </w:r>
          </w:p>
        </w:tc>
        <w:tc>
          <w:tcPr>
            <w:tcW w:w="1361" w:type="dxa"/>
            <w:vAlign w:val="center"/>
          </w:tcPr>
          <w:p>
            <w:pPr>
              <w:pStyle w:val="9"/>
            </w:pPr>
            <w:r>
              <w:t>102.14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20134</w:t>
            </w:r>
          </w:p>
        </w:tc>
        <w:tc>
          <w:tcPr>
            <w:tcW w:w="4536" w:type="dxa"/>
            <w:vAlign w:val="center"/>
          </w:tcPr>
          <w:p>
            <w:pPr>
              <w:pStyle w:val="10"/>
            </w:pPr>
            <w:r>
              <w:t>统战事务</w:t>
            </w:r>
          </w:p>
        </w:tc>
        <w:tc>
          <w:tcPr>
            <w:tcW w:w="1361" w:type="dxa"/>
            <w:vAlign w:val="center"/>
          </w:tcPr>
          <w:p>
            <w:pPr>
              <w:pStyle w:val="9"/>
            </w:pPr>
            <w:r>
              <w:t>190.04</w:t>
            </w:r>
          </w:p>
        </w:tc>
        <w:tc>
          <w:tcPr>
            <w:tcW w:w="1361" w:type="dxa"/>
            <w:vAlign w:val="center"/>
          </w:tcPr>
          <w:p>
            <w:pPr>
              <w:pStyle w:val="9"/>
            </w:pPr>
            <w:r>
              <w:t>87.90</w:t>
            </w:r>
          </w:p>
        </w:tc>
        <w:tc>
          <w:tcPr>
            <w:tcW w:w="1361" w:type="dxa"/>
            <w:vAlign w:val="center"/>
          </w:tcPr>
          <w:p>
            <w:pPr>
              <w:pStyle w:val="9"/>
            </w:pPr>
            <w:r>
              <w:t>102.14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2013401</w:t>
            </w:r>
          </w:p>
        </w:tc>
        <w:tc>
          <w:tcPr>
            <w:tcW w:w="4536" w:type="dxa"/>
            <w:vAlign w:val="center"/>
          </w:tcPr>
          <w:p>
            <w:pPr>
              <w:pStyle w:val="10"/>
            </w:pPr>
            <w:r>
              <w:t>行政运行</w:t>
            </w:r>
          </w:p>
        </w:tc>
        <w:tc>
          <w:tcPr>
            <w:tcW w:w="1361" w:type="dxa"/>
            <w:vAlign w:val="center"/>
          </w:tcPr>
          <w:p>
            <w:pPr>
              <w:pStyle w:val="9"/>
            </w:pPr>
            <w:r>
              <w:t>190.04</w:t>
            </w:r>
          </w:p>
        </w:tc>
        <w:tc>
          <w:tcPr>
            <w:tcW w:w="1361" w:type="dxa"/>
            <w:vAlign w:val="center"/>
          </w:tcPr>
          <w:p>
            <w:pPr>
              <w:pStyle w:val="9"/>
            </w:pPr>
            <w:r>
              <w:t>87.90</w:t>
            </w:r>
          </w:p>
        </w:tc>
        <w:tc>
          <w:tcPr>
            <w:tcW w:w="1361" w:type="dxa"/>
            <w:vAlign w:val="center"/>
          </w:tcPr>
          <w:p>
            <w:pPr>
              <w:pStyle w:val="9"/>
            </w:pPr>
            <w:r>
              <w:t>102.14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6" w:type="dxa"/>
            <w:vAlign w:val="center"/>
          </w:tcPr>
          <w:p>
            <w:pPr>
              <w:pStyle w:val="10"/>
            </w:pPr>
            <w:r>
              <w:t>社会保障和就业支出</w:t>
            </w:r>
          </w:p>
        </w:tc>
        <w:tc>
          <w:tcPr>
            <w:tcW w:w="1361" w:type="dxa"/>
            <w:vAlign w:val="center"/>
          </w:tcPr>
          <w:p>
            <w:pPr>
              <w:pStyle w:val="9"/>
            </w:pPr>
            <w:r>
              <w:t>8.80</w:t>
            </w:r>
          </w:p>
        </w:tc>
        <w:tc>
          <w:tcPr>
            <w:tcW w:w="1361" w:type="dxa"/>
            <w:vAlign w:val="center"/>
          </w:tcPr>
          <w:p>
            <w:pPr>
              <w:pStyle w:val="9"/>
            </w:pPr>
            <w:r>
              <w:t>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6" w:type="dxa"/>
            <w:vAlign w:val="center"/>
          </w:tcPr>
          <w:p>
            <w:pPr>
              <w:pStyle w:val="10"/>
            </w:pPr>
            <w:r>
              <w:t>行政事业单位养老支出</w:t>
            </w:r>
          </w:p>
        </w:tc>
        <w:tc>
          <w:tcPr>
            <w:tcW w:w="1361" w:type="dxa"/>
            <w:vAlign w:val="center"/>
          </w:tcPr>
          <w:p>
            <w:pPr>
              <w:pStyle w:val="9"/>
            </w:pPr>
            <w:r>
              <w:t>8.80</w:t>
            </w:r>
          </w:p>
        </w:tc>
        <w:tc>
          <w:tcPr>
            <w:tcW w:w="1361" w:type="dxa"/>
            <w:vAlign w:val="center"/>
          </w:tcPr>
          <w:p>
            <w:pPr>
              <w:pStyle w:val="9"/>
            </w:pPr>
            <w:r>
              <w:t>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6" w:type="dxa"/>
            <w:vAlign w:val="center"/>
          </w:tcPr>
          <w:p>
            <w:pPr>
              <w:pStyle w:val="10"/>
            </w:pPr>
            <w:r>
              <w:t>机关事业单位基本养老保险缴费支出</w:t>
            </w:r>
          </w:p>
        </w:tc>
        <w:tc>
          <w:tcPr>
            <w:tcW w:w="1361" w:type="dxa"/>
            <w:vAlign w:val="center"/>
          </w:tcPr>
          <w:p>
            <w:pPr>
              <w:pStyle w:val="9"/>
            </w:pPr>
            <w:r>
              <w:t>8.80</w:t>
            </w:r>
          </w:p>
        </w:tc>
        <w:tc>
          <w:tcPr>
            <w:tcW w:w="1361" w:type="dxa"/>
            <w:vAlign w:val="center"/>
          </w:tcPr>
          <w:p>
            <w:pPr>
              <w:pStyle w:val="9"/>
            </w:pPr>
            <w:r>
              <w:t>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6" w:type="dxa"/>
            <w:vAlign w:val="center"/>
          </w:tcPr>
          <w:p>
            <w:pPr>
              <w:pStyle w:val="10"/>
            </w:pPr>
            <w:r>
              <w:t>卫生健康支出</w:t>
            </w:r>
          </w:p>
        </w:tc>
        <w:tc>
          <w:tcPr>
            <w:tcW w:w="1361" w:type="dxa"/>
            <w:vAlign w:val="center"/>
          </w:tcPr>
          <w:p>
            <w:pPr>
              <w:pStyle w:val="9"/>
            </w:pPr>
            <w:r>
              <w:t>3.93</w:t>
            </w:r>
          </w:p>
        </w:tc>
        <w:tc>
          <w:tcPr>
            <w:tcW w:w="1361" w:type="dxa"/>
            <w:vAlign w:val="center"/>
          </w:tcPr>
          <w:p>
            <w:pPr>
              <w:pStyle w:val="9"/>
            </w:pPr>
            <w:r>
              <w:t>3.93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6" w:type="dxa"/>
            <w:vAlign w:val="center"/>
          </w:tcPr>
          <w:p>
            <w:pPr>
              <w:pStyle w:val="10"/>
            </w:pPr>
            <w:r>
              <w:t>行政事业单位医疗</w:t>
            </w:r>
          </w:p>
        </w:tc>
        <w:tc>
          <w:tcPr>
            <w:tcW w:w="1361" w:type="dxa"/>
            <w:vAlign w:val="center"/>
          </w:tcPr>
          <w:p>
            <w:pPr>
              <w:pStyle w:val="9"/>
            </w:pPr>
            <w:r>
              <w:t>3.93</w:t>
            </w:r>
          </w:p>
        </w:tc>
        <w:tc>
          <w:tcPr>
            <w:tcW w:w="1361" w:type="dxa"/>
            <w:vAlign w:val="center"/>
          </w:tcPr>
          <w:p>
            <w:pPr>
              <w:pStyle w:val="9"/>
            </w:pPr>
            <w:r>
              <w:t>3.93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6" w:type="dxa"/>
            <w:vAlign w:val="center"/>
          </w:tcPr>
          <w:p>
            <w:pPr>
              <w:pStyle w:val="10"/>
            </w:pPr>
            <w:r>
              <w:t>行政单位医疗</w:t>
            </w:r>
          </w:p>
        </w:tc>
        <w:tc>
          <w:tcPr>
            <w:tcW w:w="1361" w:type="dxa"/>
            <w:vAlign w:val="center"/>
          </w:tcPr>
          <w:p>
            <w:pPr>
              <w:pStyle w:val="9"/>
            </w:pPr>
            <w:r>
              <w:t>3.93</w:t>
            </w:r>
          </w:p>
        </w:tc>
        <w:tc>
          <w:tcPr>
            <w:tcW w:w="1361" w:type="dxa"/>
            <w:vAlign w:val="center"/>
          </w:tcPr>
          <w:p>
            <w:pPr>
              <w:pStyle w:val="9"/>
            </w:pPr>
            <w:r>
              <w:t>3.93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216</w:t>
            </w:r>
          </w:p>
        </w:tc>
        <w:tc>
          <w:tcPr>
            <w:tcW w:w="4536" w:type="dxa"/>
            <w:vAlign w:val="center"/>
          </w:tcPr>
          <w:p>
            <w:pPr>
              <w:pStyle w:val="10"/>
            </w:pPr>
            <w:r>
              <w:t>商业服务业等支出</w:t>
            </w: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21602</w:t>
            </w:r>
          </w:p>
        </w:tc>
        <w:tc>
          <w:tcPr>
            <w:tcW w:w="4536" w:type="dxa"/>
            <w:vAlign w:val="center"/>
          </w:tcPr>
          <w:p>
            <w:pPr>
              <w:pStyle w:val="10"/>
            </w:pPr>
            <w:r>
              <w:t>商业流通事务</w:t>
            </w: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2160219</w:t>
            </w:r>
          </w:p>
        </w:tc>
        <w:tc>
          <w:tcPr>
            <w:tcW w:w="4536" w:type="dxa"/>
            <w:vAlign w:val="center"/>
          </w:tcPr>
          <w:p>
            <w:pPr>
              <w:pStyle w:val="10"/>
            </w:pPr>
            <w:r>
              <w:t>民贸民品贷款贴息</w:t>
            </w: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w:t>
            </w:r>
          </w:p>
        </w:tc>
        <w:tc>
          <w:tcPr>
            <w:tcW w:w="4536" w:type="dxa"/>
            <w:vAlign w:val="center"/>
          </w:tcPr>
          <w:p>
            <w:pPr>
              <w:pStyle w:val="10"/>
            </w:pPr>
            <w:r>
              <w:t>住房保障支出</w:t>
            </w:r>
          </w:p>
        </w:tc>
        <w:tc>
          <w:tcPr>
            <w:tcW w:w="1361" w:type="dxa"/>
            <w:vAlign w:val="center"/>
          </w:tcPr>
          <w:p>
            <w:pPr>
              <w:pStyle w:val="9"/>
            </w:pPr>
            <w:r>
              <w:t>7.40</w:t>
            </w:r>
          </w:p>
        </w:tc>
        <w:tc>
          <w:tcPr>
            <w:tcW w:w="1361" w:type="dxa"/>
            <w:vAlign w:val="center"/>
          </w:tcPr>
          <w:p>
            <w:pPr>
              <w:pStyle w:val="9"/>
            </w:pPr>
            <w:r>
              <w:t>7.40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w:t>
            </w:r>
          </w:p>
        </w:tc>
        <w:tc>
          <w:tcPr>
            <w:tcW w:w="4536" w:type="dxa"/>
            <w:vAlign w:val="center"/>
          </w:tcPr>
          <w:p>
            <w:pPr>
              <w:pStyle w:val="10"/>
            </w:pPr>
            <w:r>
              <w:t>住房改革支出</w:t>
            </w:r>
          </w:p>
        </w:tc>
        <w:tc>
          <w:tcPr>
            <w:tcW w:w="1361" w:type="dxa"/>
            <w:vAlign w:val="center"/>
          </w:tcPr>
          <w:p>
            <w:pPr>
              <w:pStyle w:val="9"/>
            </w:pPr>
            <w:r>
              <w:t>7.40</w:t>
            </w:r>
          </w:p>
        </w:tc>
        <w:tc>
          <w:tcPr>
            <w:tcW w:w="1361" w:type="dxa"/>
            <w:vAlign w:val="center"/>
          </w:tcPr>
          <w:p>
            <w:pPr>
              <w:pStyle w:val="9"/>
            </w:pPr>
            <w:r>
              <w:t>7.40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2210201</w:t>
            </w:r>
          </w:p>
        </w:tc>
        <w:tc>
          <w:tcPr>
            <w:tcW w:w="4536" w:type="dxa"/>
            <w:vAlign w:val="center"/>
          </w:tcPr>
          <w:p>
            <w:pPr>
              <w:pStyle w:val="10"/>
            </w:pPr>
            <w:r>
              <w:t>住房公积金</w:t>
            </w:r>
          </w:p>
        </w:tc>
        <w:tc>
          <w:tcPr>
            <w:tcW w:w="1361" w:type="dxa"/>
            <w:vAlign w:val="center"/>
          </w:tcPr>
          <w:p>
            <w:pPr>
              <w:pStyle w:val="9"/>
            </w:pPr>
            <w:r>
              <w:t>7.40</w:t>
            </w:r>
          </w:p>
        </w:tc>
        <w:tc>
          <w:tcPr>
            <w:tcW w:w="1361" w:type="dxa"/>
            <w:vAlign w:val="center"/>
          </w:tcPr>
          <w:p>
            <w:pPr>
              <w:pStyle w:val="9"/>
            </w:pPr>
            <w:r>
              <w:t>7.40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3402" w:type="dxa"/>
            <w:tcBorders>
              <w:top w:val="single" w:color="FFFFFF" w:sz="6" w:space="0"/>
              <w:left w:val="single" w:color="FFFFFF" w:sz="6" w:space="0"/>
              <w:right w:val="single" w:color="FFFFFF" w:sz="6" w:space="0"/>
            </w:tcBorders>
            <w:vAlign w:val="center"/>
          </w:tcPr>
          <w:p>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1639.18</w:t>
            </w:r>
          </w:p>
        </w:tc>
        <w:tc>
          <w:tcPr>
            <w:tcW w:w="3402" w:type="dxa"/>
            <w:vAlign w:val="center"/>
          </w:tcPr>
          <w:p>
            <w:pPr>
              <w:pStyle w:val="10"/>
            </w:pPr>
            <w:r>
              <w:t>一、一般公共服务支出</w:t>
            </w:r>
          </w:p>
        </w:tc>
        <w:tc>
          <w:tcPr>
            <w:tcW w:w="1474" w:type="dxa"/>
            <w:vAlign w:val="center"/>
          </w:tcPr>
          <w:p>
            <w:pPr>
              <w:pStyle w:val="9"/>
            </w:pPr>
            <w:r>
              <w:t>190.04</w:t>
            </w:r>
          </w:p>
        </w:tc>
        <w:tc>
          <w:tcPr>
            <w:tcW w:w="1474" w:type="dxa"/>
            <w:vAlign w:val="center"/>
          </w:tcPr>
          <w:p>
            <w:pPr>
              <w:pStyle w:val="9"/>
            </w:pPr>
            <w:r>
              <w:t>190.04</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8.80</w:t>
            </w:r>
          </w:p>
        </w:tc>
        <w:tc>
          <w:tcPr>
            <w:tcW w:w="1474" w:type="dxa"/>
            <w:vAlign w:val="center"/>
          </w:tcPr>
          <w:p>
            <w:pPr>
              <w:pStyle w:val="9"/>
            </w:pPr>
            <w:r>
              <w:t>8.80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3.93</w:t>
            </w:r>
          </w:p>
        </w:tc>
        <w:tc>
          <w:tcPr>
            <w:tcW w:w="1474" w:type="dxa"/>
            <w:vAlign w:val="center"/>
          </w:tcPr>
          <w:p>
            <w:pPr>
              <w:pStyle w:val="9"/>
            </w:pPr>
            <w:r>
              <w:t>3.93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r>
              <w:t>1429.00</w:t>
            </w:r>
          </w:p>
        </w:tc>
        <w:tc>
          <w:tcPr>
            <w:tcW w:w="1474" w:type="dxa"/>
            <w:vAlign w:val="center"/>
          </w:tcPr>
          <w:p>
            <w:pPr>
              <w:pStyle w:val="9"/>
            </w:pPr>
            <w:r>
              <w:t>1429.00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7.40</w:t>
            </w:r>
          </w:p>
        </w:tc>
        <w:tc>
          <w:tcPr>
            <w:tcW w:w="1474" w:type="dxa"/>
            <w:vAlign w:val="center"/>
          </w:tcPr>
          <w:p>
            <w:pPr>
              <w:pStyle w:val="9"/>
            </w:pPr>
            <w:r>
              <w:t>7.40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二十六、年初预留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1639.18</w:t>
            </w:r>
          </w:p>
        </w:tc>
        <w:tc>
          <w:tcPr>
            <w:tcW w:w="3402" w:type="dxa"/>
            <w:vAlign w:val="center"/>
          </w:tcPr>
          <w:p>
            <w:pPr>
              <w:pStyle w:val="12"/>
            </w:pPr>
            <w:r>
              <w:t>本年支出合计</w:t>
            </w:r>
          </w:p>
        </w:tc>
        <w:tc>
          <w:tcPr>
            <w:tcW w:w="1474" w:type="dxa"/>
            <w:vAlign w:val="center"/>
          </w:tcPr>
          <w:p>
            <w:pPr>
              <w:pStyle w:val="13"/>
            </w:pPr>
            <w:r>
              <w:t>1639.18</w:t>
            </w:r>
          </w:p>
        </w:tc>
        <w:tc>
          <w:tcPr>
            <w:tcW w:w="1474" w:type="dxa"/>
            <w:vAlign w:val="center"/>
          </w:tcPr>
          <w:p>
            <w:pPr>
              <w:pStyle w:val="13"/>
            </w:pPr>
            <w:r>
              <w:t>1639.18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1639.18</w:t>
            </w:r>
          </w:p>
        </w:tc>
        <w:tc>
          <w:tcPr>
            <w:tcW w:w="3402" w:type="dxa"/>
            <w:vAlign w:val="center"/>
          </w:tcPr>
          <w:p>
            <w:pPr>
              <w:pStyle w:val="12"/>
            </w:pPr>
            <w:r>
              <w:t>支出总计</w:t>
            </w:r>
          </w:p>
        </w:tc>
        <w:tc>
          <w:tcPr>
            <w:tcW w:w="1474" w:type="dxa"/>
            <w:vAlign w:val="center"/>
          </w:tcPr>
          <w:p>
            <w:pPr>
              <w:pStyle w:val="13"/>
            </w:pPr>
            <w:r>
              <w:t>1639.18</w:t>
            </w:r>
          </w:p>
        </w:tc>
        <w:tc>
          <w:tcPr>
            <w:tcW w:w="1474" w:type="dxa"/>
            <w:vAlign w:val="center"/>
          </w:tcPr>
          <w:p>
            <w:pPr>
              <w:pStyle w:val="13"/>
            </w:pPr>
            <w:r>
              <w:t>1639.18</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1639.18</w:t>
            </w:r>
          </w:p>
        </w:tc>
        <w:tc>
          <w:tcPr>
            <w:tcW w:w="2551" w:type="dxa"/>
            <w:vAlign w:val="center"/>
          </w:tcPr>
          <w:p>
            <w:pPr>
              <w:pStyle w:val="13"/>
            </w:pPr>
            <w:r>
              <w:t>108.04</w:t>
            </w:r>
          </w:p>
        </w:tc>
        <w:tc>
          <w:tcPr>
            <w:tcW w:w="2551" w:type="dxa"/>
            <w:vAlign w:val="center"/>
          </w:tcPr>
          <w:p>
            <w:pPr>
              <w:pStyle w:val="13"/>
            </w:pPr>
            <w:r>
              <w:t>1531.14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190.04</w:t>
            </w:r>
          </w:p>
        </w:tc>
        <w:tc>
          <w:tcPr>
            <w:tcW w:w="2551" w:type="dxa"/>
            <w:vAlign w:val="center"/>
          </w:tcPr>
          <w:p>
            <w:pPr>
              <w:pStyle w:val="9"/>
            </w:pPr>
            <w:r>
              <w:t>87.90</w:t>
            </w:r>
          </w:p>
        </w:tc>
        <w:tc>
          <w:tcPr>
            <w:tcW w:w="2551" w:type="dxa"/>
            <w:vAlign w:val="center"/>
          </w:tcPr>
          <w:p>
            <w:pPr>
              <w:pStyle w:val="9"/>
            </w:pPr>
            <w:r>
              <w:t>102.14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20134</w:t>
            </w:r>
          </w:p>
        </w:tc>
        <w:tc>
          <w:tcPr>
            <w:tcW w:w="4535" w:type="dxa"/>
            <w:vAlign w:val="center"/>
          </w:tcPr>
          <w:p>
            <w:pPr>
              <w:pStyle w:val="10"/>
            </w:pPr>
            <w:r>
              <w:t>统战事务</w:t>
            </w:r>
          </w:p>
        </w:tc>
        <w:tc>
          <w:tcPr>
            <w:tcW w:w="2551" w:type="dxa"/>
            <w:vAlign w:val="center"/>
          </w:tcPr>
          <w:p>
            <w:pPr>
              <w:pStyle w:val="9"/>
            </w:pPr>
            <w:r>
              <w:t>190.04</w:t>
            </w:r>
          </w:p>
        </w:tc>
        <w:tc>
          <w:tcPr>
            <w:tcW w:w="2551" w:type="dxa"/>
            <w:vAlign w:val="center"/>
          </w:tcPr>
          <w:p>
            <w:pPr>
              <w:pStyle w:val="9"/>
            </w:pPr>
            <w:r>
              <w:t>87.90</w:t>
            </w:r>
          </w:p>
        </w:tc>
        <w:tc>
          <w:tcPr>
            <w:tcW w:w="2551" w:type="dxa"/>
            <w:vAlign w:val="center"/>
          </w:tcPr>
          <w:p>
            <w:pPr>
              <w:pStyle w:val="9"/>
            </w:pPr>
            <w:r>
              <w:t>102.14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2013401</w:t>
            </w:r>
          </w:p>
        </w:tc>
        <w:tc>
          <w:tcPr>
            <w:tcW w:w="4535" w:type="dxa"/>
            <w:vAlign w:val="center"/>
          </w:tcPr>
          <w:p>
            <w:pPr>
              <w:pStyle w:val="10"/>
            </w:pPr>
            <w:r>
              <w:t>行政运行</w:t>
            </w:r>
          </w:p>
        </w:tc>
        <w:tc>
          <w:tcPr>
            <w:tcW w:w="2551" w:type="dxa"/>
            <w:vAlign w:val="center"/>
          </w:tcPr>
          <w:p>
            <w:pPr>
              <w:pStyle w:val="9"/>
            </w:pPr>
            <w:r>
              <w:t>190.04</w:t>
            </w:r>
          </w:p>
        </w:tc>
        <w:tc>
          <w:tcPr>
            <w:tcW w:w="2551" w:type="dxa"/>
            <w:vAlign w:val="center"/>
          </w:tcPr>
          <w:p>
            <w:pPr>
              <w:pStyle w:val="9"/>
            </w:pPr>
            <w:r>
              <w:t>87.90</w:t>
            </w:r>
          </w:p>
        </w:tc>
        <w:tc>
          <w:tcPr>
            <w:tcW w:w="2551" w:type="dxa"/>
            <w:vAlign w:val="center"/>
          </w:tcPr>
          <w:p>
            <w:pPr>
              <w:pStyle w:val="9"/>
            </w:pPr>
            <w:r>
              <w:t>102.14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8.80</w:t>
            </w:r>
          </w:p>
        </w:tc>
        <w:tc>
          <w:tcPr>
            <w:tcW w:w="2551" w:type="dxa"/>
            <w:vAlign w:val="center"/>
          </w:tcPr>
          <w:p>
            <w:pPr>
              <w:pStyle w:val="9"/>
            </w:pPr>
            <w:r>
              <w:t>8.80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8.80</w:t>
            </w:r>
          </w:p>
        </w:tc>
        <w:tc>
          <w:tcPr>
            <w:tcW w:w="2551" w:type="dxa"/>
            <w:vAlign w:val="center"/>
          </w:tcPr>
          <w:p>
            <w:pPr>
              <w:pStyle w:val="9"/>
            </w:pPr>
            <w:r>
              <w:t>8.80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8.80</w:t>
            </w:r>
          </w:p>
        </w:tc>
        <w:tc>
          <w:tcPr>
            <w:tcW w:w="2551" w:type="dxa"/>
            <w:vAlign w:val="center"/>
          </w:tcPr>
          <w:p>
            <w:pPr>
              <w:pStyle w:val="9"/>
            </w:pPr>
            <w:r>
              <w:t>8.80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3.93</w:t>
            </w:r>
          </w:p>
        </w:tc>
        <w:tc>
          <w:tcPr>
            <w:tcW w:w="2551" w:type="dxa"/>
            <w:vAlign w:val="center"/>
          </w:tcPr>
          <w:p>
            <w:pPr>
              <w:pStyle w:val="9"/>
            </w:pPr>
            <w:r>
              <w:t>3.93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3.93</w:t>
            </w:r>
          </w:p>
        </w:tc>
        <w:tc>
          <w:tcPr>
            <w:tcW w:w="2551" w:type="dxa"/>
            <w:vAlign w:val="center"/>
          </w:tcPr>
          <w:p>
            <w:pPr>
              <w:pStyle w:val="9"/>
            </w:pPr>
            <w:r>
              <w:t>3.93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3.93</w:t>
            </w:r>
          </w:p>
        </w:tc>
        <w:tc>
          <w:tcPr>
            <w:tcW w:w="2551" w:type="dxa"/>
            <w:vAlign w:val="center"/>
          </w:tcPr>
          <w:p>
            <w:pPr>
              <w:pStyle w:val="9"/>
            </w:pPr>
            <w:r>
              <w:t>3.93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216</w:t>
            </w:r>
          </w:p>
        </w:tc>
        <w:tc>
          <w:tcPr>
            <w:tcW w:w="4535" w:type="dxa"/>
            <w:vAlign w:val="center"/>
          </w:tcPr>
          <w:p>
            <w:pPr>
              <w:pStyle w:val="10"/>
            </w:pPr>
            <w:r>
              <w:t>商业服务业等支出</w:t>
            </w:r>
          </w:p>
        </w:tc>
        <w:tc>
          <w:tcPr>
            <w:tcW w:w="2551" w:type="dxa"/>
            <w:vAlign w:val="center"/>
          </w:tcPr>
          <w:p>
            <w:pPr>
              <w:pStyle w:val="9"/>
            </w:pPr>
            <w:r>
              <w:t>1429.00</w:t>
            </w:r>
          </w:p>
        </w:tc>
        <w:tc>
          <w:tcPr>
            <w:tcW w:w="2551" w:type="dxa"/>
            <w:vAlign w:val="center"/>
          </w:tcPr>
          <w:p>
            <w:pPr>
              <w:pStyle w:val="9"/>
            </w:pPr>
          </w:p>
        </w:tc>
        <w:tc>
          <w:tcPr>
            <w:tcW w:w="2551" w:type="dxa"/>
            <w:vAlign w:val="center"/>
          </w:tcPr>
          <w:p>
            <w:pPr>
              <w:pStyle w:val="9"/>
            </w:pPr>
            <w:r>
              <w:t>1429.00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21602</w:t>
            </w:r>
          </w:p>
        </w:tc>
        <w:tc>
          <w:tcPr>
            <w:tcW w:w="4535" w:type="dxa"/>
            <w:vAlign w:val="center"/>
          </w:tcPr>
          <w:p>
            <w:pPr>
              <w:pStyle w:val="10"/>
            </w:pPr>
            <w:r>
              <w:t>商业流通事务</w:t>
            </w:r>
          </w:p>
        </w:tc>
        <w:tc>
          <w:tcPr>
            <w:tcW w:w="2551" w:type="dxa"/>
            <w:vAlign w:val="center"/>
          </w:tcPr>
          <w:p>
            <w:pPr>
              <w:pStyle w:val="9"/>
            </w:pPr>
            <w:r>
              <w:t>1429.00</w:t>
            </w:r>
          </w:p>
        </w:tc>
        <w:tc>
          <w:tcPr>
            <w:tcW w:w="2551" w:type="dxa"/>
            <w:vAlign w:val="center"/>
          </w:tcPr>
          <w:p>
            <w:pPr>
              <w:pStyle w:val="9"/>
            </w:pPr>
          </w:p>
        </w:tc>
        <w:tc>
          <w:tcPr>
            <w:tcW w:w="2551" w:type="dxa"/>
            <w:vAlign w:val="center"/>
          </w:tcPr>
          <w:p>
            <w:pPr>
              <w:pStyle w:val="9"/>
            </w:pPr>
            <w:r>
              <w:t>1429.00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2160219</w:t>
            </w:r>
          </w:p>
        </w:tc>
        <w:tc>
          <w:tcPr>
            <w:tcW w:w="4535" w:type="dxa"/>
            <w:vAlign w:val="center"/>
          </w:tcPr>
          <w:p>
            <w:pPr>
              <w:pStyle w:val="10"/>
            </w:pPr>
            <w:r>
              <w:t>民贸民品贷款贴息</w:t>
            </w:r>
          </w:p>
        </w:tc>
        <w:tc>
          <w:tcPr>
            <w:tcW w:w="2551" w:type="dxa"/>
            <w:vAlign w:val="center"/>
          </w:tcPr>
          <w:p>
            <w:pPr>
              <w:pStyle w:val="9"/>
            </w:pPr>
            <w:r>
              <w:t>1429.00</w:t>
            </w:r>
          </w:p>
        </w:tc>
        <w:tc>
          <w:tcPr>
            <w:tcW w:w="2551" w:type="dxa"/>
            <w:vAlign w:val="center"/>
          </w:tcPr>
          <w:p>
            <w:pPr>
              <w:pStyle w:val="9"/>
            </w:pPr>
          </w:p>
        </w:tc>
        <w:tc>
          <w:tcPr>
            <w:tcW w:w="2551" w:type="dxa"/>
            <w:vAlign w:val="center"/>
          </w:tcPr>
          <w:p>
            <w:pPr>
              <w:pStyle w:val="9"/>
            </w:pPr>
            <w:r>
              <w:t>1429.00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7.40</w:t>
            </w:r>
          </w:p>
        </w:tc>
        <w:tc>
          <w:tcPr>
            <w:tcW w:w="2551" w:type="dxa"/>
            <w:vAlign w:val="center"/>
          </w:tcPr>
          <w:p>
            <w:pPr>
              <w:pStyle w:val="9"/>
            </w:pPr>
            <w:r>
              <w:t>7.40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7.40</w:t>
            </w:r>
          </w:p>
        </w:tc>
        <w:tc>
          <w:tcPr>
            <w:tcW w:w="2551" w:type="dxa"/>
            <w:vAlign w:val="center"/>
          </w:tcPr>
          <w:p>
            <w:pPr>
              <w:pStyle w:val="9"/>
            </w:pPr>
            <w:r>
              <w:t>7.40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7.40</w:t>
            </w:r>
          </w:p>
        </w:tc>
        <w:tc>
          <w:tcPr>
            <w:tcW w:w="2551" w:type="dxa"/>
            <w:vAlign w:val="center"/>
          </w:tcPr>
          <w:p>
            <w:pPr>
              <w:pStyle w:val="9"/>
            </w:pPr>
            <w:r>
              <w:t>7.40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2"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2"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108.04</w:t>
            </w:r>
          </w:p>
        </w:tc>
        <w:tc>
          <w:tcPr>
            <w:tcW w:w="2551" w:type="dxa"/>
            <w:vAlign w:val="center"/>
          </w:tcPr>
          <w:p>
            <w:pPr>
              <w:pStyle w:val="13"/>
            </w:pPr>
            <w:r>
              <w:t>97.29</w:t>
            </w:r>
          </w:p>
        </w:tc>
        <w:tc>
          <w:tcPr>
            <w:tcW w:w="2552" w:type="dxa"/>
            <w:vAlign w:val="center"/>
          </w:tcPr>
          <w:p>
            <w:pPr>
              <w:pStyle w:val="13"/>
            </w:pPr>
            <w:r>
              <w:t>10.75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95.71</w:t>
            </w:r>
          </w:p>
        </w:tc>
        <w:tc>
          <w:tcPr>
            <w:tcW w:w="2551" w:type="dxa"/>
            <w:vAlign w:val="center"/>
          </w:tcPr>
          <w:p>
            <w:pPr>
              <w:pStyle w:val="9"/>
            </w:pPr>
            <w:r>
              <w:t>95.71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39.12</w:t>
            </w:r>
          </w:p>
        </w:tc>
        <w:tc>
          <w:tcPr>
            <w:tcW w:w="2551" w:type="dxa"/>
            <w:vAlign w:val="center"/>
          </w:tcPr>
          <w:p>
            <w:pPr>
              <w:pStyle w:val="9"/>
            </w:pPr>
            <w:r>
              <w:t>39.12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32.32</w:t>
            </w:r>
          </w:p>
        </w:tc>
        <w:tc>
          <w:tcPr>
            <w:tcW w:w="2551" w:type="dxa"/>
            <w:vAlign w:val="center"/>
          </w:tcPr>
          <w:p>
            <w:pPr>
              <w:pStyle w:val="9"/>
            </w:pPr>
            <w:r>
              <w:t>32.32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3.26</w:t>
            </w:r>
          </w:p>
        </w:tc>
        <w:tc>
          <w:tcPr>
            <w:tcW w:w="2551" w:type="dxa"/>
            <w:vAlign w:val="center"/>
          </w:tcPr>
          <w:p>
            <w:pPr>
              <w:pStyle w:val="9"/>
            </w:pPr>
            <w:r>
              <w:t>3.26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0.11</w:t>
            </w:r>
          </w:p>
        </w:tc>
        <w:tc>
          <w:tcPr>
            <w:tcW w:w="2551" w:type="dxa"/>
            <w:vAlign w:val="center"/>
          </w:tcPr>
          <w:p>
            <w:pPr>
              <w:pStyle w:val="9"/>
            </w:pPr>
            <w:r>
              <w:t>0.11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8.80</w:t>
            </w:r>
          </w:p>
        </w:tc>
        <w:tc>
          <w:tcPr>
            <w:tcW w:w="2551" w:type="dxa"/>
            <w:vAlign w:val="center"/>
          </w:tcPr>
          <w:p>
            <w:pPr>
              <w:pStyle w:val="9"/>
            </w:pPr>
            <w:r>
              <w:t>8.80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3.93</w:t>
            </w:r>
          </w:p>
        </w:tc>
        <w:tc>
          <w:tcPr>
            <w:tcW w:w="2551" w:type="dxa"/>
            <w:vAlign w:val="center"/>
          </w:tcPr>
          <w:p>
            <w:pPr>
              <w:pStyle w:val="9"/>
            </w:pPr>
            <w:r>
              <w:t>3.93</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0.76</w:t>
            </w:r>
          </w:p>
        </w:tc>
        <w:tc>
          <w:tcPr>
            <w:tcW w:w="2551" w:type="dxa"/>
            <w:vAlign w:val="center"/>
          </w:tcPr>
          <w:p>
            <w:pPr>
              <w:pStyle w:val="9"/>
            </w:pPr>
            <w:r>
              <w:t>0.76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7.40</w:t>
            </w:r>
          </w:p>
        </w:tc>
        <w:tc>
          <w:tcPr>
            <w:tcW w:w="2551" w:type="dxa"/>
            <w:vAlign w:val="center"/>
          </w:tcPr>
          <w:p>
            <w:pPr>
              <w:pStyle w:val="9"/>
            </w:pPr>
            <w:r>
              <w:t>7.40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10.75</w:t>
            </w:r>
          </w:p>
        </w:tc>
        <w:tc>
          <w:tcPr>
            <w:tcW w:w="2551" w:type="dxa"/>
            <w:vAlign w:val="center"/>
          </w:tcPr>
          <w:p>
            <w:pPr>
              <w:pStyle w:val="9"/>
            </w:pPr>
          </w:p>
        </w:tc>
        <w:tc>
          <w:tcPr>
            <w:tcW w:w="2552" w:type="dxa"/>
            <w:vAlign w:val="center"/>
          </w:tcPr>
          <w:p>
            <w:pPr>
              <w:pStyle w:val="9"/>
            </w:pPr>
            <w:r>
              <w:t>10.75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3.43</w:t>
            </w:r>
          </w:p>
        </w:tc>
        <w:tc>
          <w:tcPr>
            <w:tcW w:w="2551" w:type="dxa"/>
            <w:vAlign w:val="center"/>
          </w:tcPr>
          <w:p>
            <w:pPr>
              <w:pStyle w:val="9"/>
            </w:pPr>
          </w:p>
        </w:tc>
        <w:tc>
          <w:tcPr>
            <w:tcW w:w="2552" w:type="dxa"/>
            <w:vAlign w:val="center"/>
          </w:tcPr>
          <w:p>
            <w:pPr>
              <w:pStyle w:val="9"/>
            </w:pPr>
            <w: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0.18</w:t>
            </w:r>
          </w:p>
        </w:tc>
        <w:tc>
          <w:tcPr>
            <w:tcW w:w="2551" w:type="dxa"/>
            <w:vAlign w:val="center"/>
          </w:tcPr>
          <w:p>
            <w:pPr>
              <w:pStyle w:val="9"/>
            </w:pPr>
          </w:p>
        </w:tc>
        <w:tc>
          <w:tcPr>
            <w:tcW w:w="2552" w:type="dxa"/>
            <w:vAlign w:val="center"/>
          </w:tcPr>
          <w:p>
            <w:pPr>
              <w:pStyle w:val="9"/>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0.18</w:t>
            </w:r>
          </w:p>
        </w:tc>
        <w:tc>
          <w:tcPr>
            <w:tcW w:w="2551" w:type="dxa"/>
            <w:vAlign w:val="center"/>
          </w:tcPr>
          <w:p>
            <w:pPr>
              <w:pStyle w:val="9"/>
            </w:pPr>
          </w:p>
        </w:tc>
        <w:tc>
          <w:tcPr>
            <w:tcW w:w="2552" w:type="dxa"/>
            <w:vAlign w:val="center"/>
          </w:tcPr>
          <w:p>
            <w:pPr>
              <w:pStyle w:val="9"/>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6.78</w:t>
            </w:r>
          </w:p>
        </w:tc>
        <w:tc>
          <w:tcPr>
            <w:tcW w:w="2551" w:type="dxa"/>
            <w:vAlign w:val="center"/>
          </w:tcPr>
          <w:p>
            <w:pPr>
              <w:pStyle w:val="9"/>
            </w:pPr>
          </w:p>
        </w:tc>
        <w:tc>
          <w:tcPr>
            <w:tcW w:w="2552" w:type="dxa"/>
            <w:vAlign w:val="center"/>
          </w:tcPr>
          <w:p>
            <w:pPr>
              <w:pStyle w:val="9"/>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0.18</w:t>
            </w:r>
          </w:p>
        </w:tc>
        <w:tc>
          <w:tcPr>
            <w:tcW w:w="2551" w:type="dxa"/>
            <w:vAlign w:val="center"/>
          </w:tcPr>
          <w:p>
            <w:pPr>
              <w:pStyle w:val="9"/>
            </w:pPr>
          </w:p>
        </w:tc>
        <w:tc>
          <w:tcPr>
            <w:tcW w:w="2552" w:type="dxa"/>
            <w:vAlign w:val="center"/>
          </w:tcPr>
          <w:p>
            <w:pPr>
              <w:pStyle w:val="9"/>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1.58</w:t>
            </w:r>
          </w:p>
        </w:tc>
        <w:tc>
          <w:tcPr>
            <w:tcW w:w="2551" w:type="dxa"/>
            <w:vAlign w:val="center"/>
          </w:tcPr>
          <w:p>
            <w:pPr>
              <w:pStyle w:val="9"/>
            </w:pPr>
            <w:r>
              <w:t>1.58</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1.58</w:t>
            </w:r>
          </w:p>
        </w:tc>
        <w:tc>
          <w:tcPr>
            <w:tcW w:w="2551" w:type="dxa"/>
            <w:vAlign w:val="center"/>
          </w:tcPr>
          <w:p>
            <w:pPr>
              <w:pStyle w:val="9"/>
            </w:pPr>
            <w:r>
              <w:t>1.58</w:t>
            </w:r>
          </w:p>
        </w:tc>
        <w:tc>
          <w:tcPr>
            <w:tcW w:w="2552"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2381" w:type="dxa"/>
            <w:tcBorders>
              <w:top w:val="single" w:color="FFFFFF" w:sz="6" w:space="0"/>
              <w:left w:val="single" w:color="FFFFFF" w:sz="6" w:space="0"/>
              <w:right w:val="single" w:color="FFFFFF" w:sz="6" w:space="0"/>
            </w:tcBorders>
            <w:vAlign w:val="center"/>
          </w:tcPr>
          <w:p>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2" w:type="dxa"/>
            <w:vAlign w:val="center"/>
          </w:tcPr>
          <w:p>
            <w:pPr>
              <w:pStyle w:val="13"/>
              <w:rPr>
                <w:rFonts w:hint="eastAsia" w:eastAsiaTheme="minorEastAsia"/>
                <w:lang w:eastAsia="zh-CN"/>
              </w:rPr>
            </w:pPr>
          </w:p>
        </w:tc>
        <w:tc>
          <w:tcPr>
            <w:tcW w:w="2381" w:type="dxa"/>
            <w:vAlign w:val="center"/>
          </w:tcPr>
          <w:p>
            <w:pPr>
              <w:pStyle w:val="13"/>
              <w:rPr>
                <w:rFonts w:hint="eastAsia" w:eastAsiaTheme="minorEastAsia"/>
                <w:lang w:eastAsia="zh-CN"/>
              </w:rPr>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0"/>
            </w:pPr>
            <w:r>
              <w:t>四、会议费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0"/>
            </w:pPr>
            <w:r>
              <w:t>五、培训费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中国共产党隆尧县委员会统一战线工作部2022年部门预算信息公开情况说明</w:t>
      </w:r>
    </w:p>
    <w:p>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中国共产党隆尧县委员会统一战线工作部</w:t>
      </w:r>
    </w:p>
    <w:p>
      <w:pPr>
        <w:jc w:val="center"/>
      </w:pPr>
      <w:r>
        <w:rPr>
          <w:rFonts w:ascii="方正小标宋_GBK" w:hAnsi="方正小标宋_GBK" w:eastAsia="方正小标宋_GBK" w:cs="方正小标宋_GBK"/>
          <w:color w:val="000000"/>
          <w:sz w:val="44"/>
        </w:rPr>
        <w:t>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按照《预算法》、《地方预决算公开操作规程》和《关于进一步推进预算公开工作的实施意见》规定，现将中国共产党隆尧县委员会统一战线工作部2022年部门预算公开如下：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落实中央和县、市、县委关于统一战线工作重大决策部署，巩固壮大最广泛的统一战线。</w:t>
      </w:r>
    </w:p>
    <w:p>
      <w:pPr>
        <w:pStyle w:val="15"/>
      </w:pPr>
      <w:r>
        <w:t>（二）开展统一战线理论研究，研究拟订统一战线工作的政策措施并推动落实，深入调查研究，及时向县委报告统一战线工作情况并提出建议。</w:t>
      </w:r>
    </w:p>
    <w:p>
      <w:pPr>
        <w:pStyle w:val="15"/>
      </w:pPr>
      <w:r>
        <w:t>（三）负责发现、培养党外代表人士，负责党外人士的政治安排，会同有关部门做好安排党外人士担任政府和司法机关等领导职务的工作，协助有关民主党派、县工商联做好干部管理工作，反映和协调解决党外代表人士工作生活中的实际困难。</w:t>
      </w:r>
    </w:p>
    <w:p>
      <w:pPr>
        <w:pStyle w:val="15"/>
      </w:pPr>
      <w:r>
        <w:t>（四）贯彻落实党的宣传工作方针，统筹推进全县统一战线宣传工作，拟订全县统一战线宣传工作规划并组织实施，研判涉及统一战线的舆情并协调有关部门应对处置。</w:t>
      </w:r>
    </w:p>
    <w:p>
      <w:pPr>
        <w:pStyle w:val="15"/>
      </w:pPr>
      <w:r>
        <w:t>（五）负责联系党外代表人士，通报情况、反映意见。贯彻落实中国共产党领导的多党合作和政治协商制度以及对民主党派的方针政策，支持、帮助民主党派加强自身建设，做好支持民主党派履行职责、发挥作用的工作。</w:t>
      </w:r>
    </w:p>
    <w:p>
      <w:pPr>
        <w:pStyle w:val="15"/>
      </w:pPr>
      <w:r>
        <w:t>（六）负责民族宗教工作。贯彻落实党中央和县市县委关于民族宗教的方针政策和决策部署。依法对宗教事务进行管理，承担相关行政审批事项和行政处罚事项。协调落实民族宗教工作政策和重大措施，协调处理民族宗教工作中的重大问题，依法管理民族事务，全面促进民族事业发展。研究拟订宗教工作的政策措施并督促落实，引导各宗教坚持中国化方向，巩固和发展同宗教界的爱国统一战线。</w:t>
      </w:r>
    </w:p>
    <w:p>
      <w:pPr>
        <w:pStyle w:val="15"/>
      </w:pPr>
      <w:r>
        <w:t>（七）负责联系、培养无党派人士，支持、帮助无党派人士加强自身建设，发挥作用。调查研究党外知识分子和新的社会阶层人士情况并提出政策建议，联系、培养党外知识分子、新的社会阶层代表人士和出国、归国留学人员代表人士。</w:t>
      </w:r>
    </w:p>
    <w:p>
      <w:pPr>
        <w:pStyle w:val="15"/>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pStyle w:val="15"/>
      </w:pPr>
      <w:r>
        <w:t>（九）统一领导全县海外统战工作，牵头开展港澳统战工作。贯彻落实党的海外统战工作政策措施并组织协调、督促检查落实，会同有关部门对香港、澳门地区统一战线工作进行调查研究并提出政策建议，联系香港、澳门、台湾有关党派、团体及代表人士，联系海外有关社团及代表人士，做好台胞、台属有关工作。</w:t>
      </w:r>
    </w:p>
    <w:p>
      <w:pPr>
        <w:pStyle w:val="15"/>
      </w:pPr>
      <w:r>
        <w:t>（十）统一领导全县对台工作。贯彻执行党中央对台工作的方针政策。对全县涉台工作实施统一归口管理，组织、指导、管理、协调县委、县政府各部门的对台工作。调查研究台湾形势和我县与台湾经贸之间交流往来动向，提出对策建议。会同有关部门统筹协调和指导对台经贸工作。组织重要台商的投资活动，参与县政府对台大型招商活动。协调、指导全县涉台金融、文化、学术、教育、科技、体育、卫生等领域的交流与合作及我县与台湾人员往来工作。负责全县对台宣传和涉台教育工作。指导全县宣传媒体涉台新闻报道工作;协调、处理县内涉台重大事件。负责县委对台工作领导小组的日常工作。</w:t>
      </w:r>
    </w:p>
    <w:p>
      <w:pPr>
        <w:pStyle w:val="15"/>
      </w:pPr>
      <w:r>
        <w:t>（十一）统一领导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合法权利和利益。</w:t>
      </w:r>
    </w:p>
    <w:p>
      <w:pPr>
        <w:pStyle w:val="15"/>
      </w:pPr>
      <w:r>
        <w:t>（十二）完成县委交办的其他任务。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中国共产党隆尧县委员会统一战线工作部本级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方正仿宋_GBK"/>
          <w:color w:val="000000"/>
          <w:sz w:val="28"/>
        </w:rPr>
      </w:pPr>
      <w:r>
        <w:rPr>
          <w:rFonts w:eastAsia="方正仿宋_GBK"/>
          <w:color w:val="000000"/>
          <w:sz w:val="28"/>
        </w:rPr>
        <w:t>按照预算管理有关规定，目前我县部门预算的编制实行综合预算管理，即全部收入和支出都反映在预算中。中国共产党隆尧县委员会统一战线工作部机关及所属事业单位的收支包含在部门预算中。</w:t>
      </w:r>
    </w:p>
    <w:p>
      <w:pPr>
        <w:pStyle w:val="16"/>
      </w:pPr>
      <w:r>
        <w:t>1、收入说明</w:t>
      </w:r>
    </w:p>
    <w:p>
      <w:pPr>
        <w:pStyle w:val="16"/>
      </w:pPr>
      <w:r>
        <w:t>反映本部门当年全部收入。202</w:t>
      </w:r>
      <w:r>
        <w:rPr>
          <w:rFonts w:hint="eastAsia"/>
          <w:lang w:val="en-US" w:eastAsia="zh-CN"/>
        </w:rPr>
        <w:t>2</w:t>
      </w:r>
      <w:r>
        <w:t>年预算收入</w:t>
      </w:r>
      <w:r>
        <w:rPr>
          <w:rFonts w:hint="eastAsia"/>
          <w:lang w:val="en-US" w:eastAsia="zh-CN"/>
        </w:rPr>
        <w:t>1639.18</w:t>
      </w:r>
      <w:r>
        <w:t>万元，其中：一般公共预算收入</w:t>
      </w:r>
      <w:r>
        <w:rPr>
          <w:rFonts w:hint="eastAsia"/>
          <w:lang w:val="en-US" w:eastAsia="zh-CN"/>
        </w:rPr>
        <w:t>1639.18</w:t>
      </w:r>
      <w:r>
        <w:t>万元，基金预算收入0万元，财政专户核拨收入0万元，其他来源收入0万元。</w:t>
      </w:r>
    </w:p>
    <w:p>
      <w:pPr>
        <w:pStyle w:val="16"/>
        <w:numPr>
          <w:ilvl w:val="0"/>
          <w:numId w:val="1"/>
        </w:numPr>
        <w:rPr>
          <w:rFonts w:hint="eastAsia"/>
          <w:lang w:val="en-US" w:eastAsia="zh-CN"/>
        </w:rPr>
      </w:pPr>
      <w:r>
        <w:rPr>
          <w:rFonts w:hint="eastAsia"/>
          <w:lang w:val="en-US" w:eastAsia="zh-CN"/>
        </w:rPr>
        <w:t>支出说明</w:t>
      </w:r>
    </w:p>
    <w:p>
      <w:pPr>
        <w:pStyle w:val="16"/>
        <w:numPr>
          <w:ilvl w:val="0"/>
          <w:numId w:val="0"/>
        </w:numPr>
        <w:ind w:firstLine="560" w:firstLineChars="200"/>
      </w:pPr>
      <w:r>
        <w:t>收支预算总表支出栏、基本支出表、项目支出表按经济分类和支出功能分类科目编制，反映中共隆尧县委统战部年度部门预算中支出预算的总体情况。2022年部门支出预算为1639.1764万元，其中基本支出108.0364万元，包括人员经费97.2864万元和日常公用经费10.75万元；项目支出1531.14万元，主要为统战(宗教)经费19万元，工商联经费支出1万元，归侨职工生活补贴0.24万元，民贸民品贷款贴息奖励1000万元,提前下达的县级2020年普惠金融发展专项资金429万元，民贸民品贴息补贴审计专项经费3万元，基层治理工作队经费18万元，劳务派遣人员工资9.9万元，民营企业培训经费26万元，宗教场所可视化平台25万元。</w:t>
      </w:r>
    </w:p>
    <w:p>
      <w:pPr>
        <w:pStyle w:val="16"/>
      </w:pPr>
      <w:r>
        <w:t>3、比上年增减情况</w:t>
      </w:r>
    </w:p>
    <w:p>
      <w:pPr>
        <w:pStyle w:val="16"/>
        <w:rPr>
          <w:highlight w:val="none"/>
        </w:rPr>
      </w:pPr>
      <w:r>
        <w:rPr>
          <w:highlight w:val="none"/>
        </w:rPr>
        <w:t>202</w:t>
      </w:r>
      <w:r>
        <w:rPr>
          <w:rFonts w:hint="eastAsia"/>
          <w:highlight w:val="none"/>
          <w:lang w:val="en-US" w:eastAsia="zh-CN"/>
        </w:rPr>
        <w:t>2</w:t>
      </w:r>
      <w:r>
        <w:rPr>
          <w:highlight w:val="none"/>
        </w:rPr>
        <w:t>年部门预算收支安排1639.1764万元，较202</w:t>
      </w:r>
      <w:r>
        <w:rPr>
          <w:rFonts w:hint="eastAsia"/>
          <w:highlight w:val="none"/>
          <w:lang w:val="en-US" w:eastAsia="zh-CN"/>
        </w:rPr>
        <w:t>1</w:t>
      </w:r>
      <w:r>
        <w:rPr>
          <w:highlight w:val="none"/>
        </w:rPr>
        <w:t>年</w:t>
      </w:r>
      <w:r>
        <w:rPr>
          <w:rFonts w:hint="eastAsia"/>
          <w:highlight w:val="none"/>
          <w:lang w:val="en-US" w:eastAsia="zh-CN"/>
        </w:rPr>
        <w:t>增加740.6357</w:t>
      </w:r>
      <w:r>
        <w:rPr>
          <w:highlight w:val="none"/>
        </w:rPr>
        <w:t>万元，其中：</w:t>
      </w:r>
      <w:r>
        <w:rPr>
          <w:rFonts w:hint="eastAsia"/>
          <w:highlight w:val="none"/>
          <w:lang w:val="en-US" w:eastAsia="zh-CN"/>
        </w:rPr>
        <w:t>基本支出增加28.74万元，</w:t>
      </w:r>
      <w:r>
        <w:rPr>
          <w:highlight w:val="none"/>
        </w:rPr>
        <w:t>主要是</w:t>
      </w:r>
      <w:r>
        <w:rPr>
          <w:rFonts w:hint="eastAsia"/>
          <w:highlight w:val="none"/>
          <w:lang w:val="en-US" w:eastAsia="zh-CN"/>
        </w:rPr>
        <w:t>增加</w:t>
      </w:r>
      <w:r>
        <w:rPr>
          <w:highlight w:val="none"/>
        </w:rPr>
        <w:t>人员工资和日常公用经费；项目支出</w:t>
      </w:r>
      <w:r>
        <w:rPr>
          <w:rFonts w:hint="eastAsia"/>
          <w:highlight w:val="none"/>
          <w:lang w:val="en-US" w:eastAsia="zh-CN"/>
        </w:rPr>
        <w:t>增加711.9</w:t>
      </w:r>
      <w:r>
        <w:rPr>
          <w:highlight w:val="none"/>
        </w:rPr>
        <w:t>万元，</w:t>
      </w:r>
      <w:r>
        <w:rPr>
          <w:rFonts w:hint="eastAsia"/>
          <w:highlight w:val="none"/>
          <w:lang w:eastAsia="zh-CN"/>
        </w:rPr>
        <w:t>原因</w:t>
      </w:r>
      <w:r>
        <w:rPr>
          <w:highlight w:val="none"/>
        </w:rPr>
        <w:t>为民贸民品贷款贴息资金项目</w:t>
      </w:r>
      <w:r>
        <w:rPr>
          <w:rFonts w:hint="eastAsia"/>
          <w:highlight w:val="none"/>
          <w:lang w:val="en-US" w:eastAsia="zh-CN"/>
        </w:rPr>
        <w:t>增加</w:t>
      </w:r>
      <w:r>
        <w:rPr>
          <w:highlight w:val="none"/>
        </w:rP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rPr>
          <w:rFonts w:hint="eastAsia" w:ascii="Times New Roman" w:hAnsi="Times New Roman" w:eastAsia="方正仿宋_GBK" w:cs="Times New Roman"/>
          <w:sz w:val="28"/>
          <w:szCs w:val="24"/>
          <w:lang w:val="en-US" w:eastAsia="uk-UA" w:bidi="ar-SA"/>
        </w:rPr>
        <w:t>202</w:t>
      </w:r>
      <w:r>
        <w:rPr>
          <w:rFonts w:hint="eastAsia"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年我部门</w:t>
      </w:r>
      <w:r>
        <w:t>机关运行经费共计安排10.75万元，主要用于保证机关正常运转的办公费、邮电费、福利费、工会经费、交通费用等支出。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2022年我部门财政拨款“三公”经费预算安排0万元，其中：因公出国（境）费0万元；公务用车购置及运维费0万元（其中：公务用车购置费0万元，公务用车运行维护费0万元)；公务接待费0万元。与</w:t>
      </w:r>
      <w:r>
        <w:rPr>
          <w:rFonts w:hint="eastAsia"/>
          <w:lang w:val="en-US" w:eastAsia="zh-CN"/>
        </w:rPr>
        <w:t>2021</w:t>
      </w:r>
      <w:r>
        <w:t>年比无增减。</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19"/>
      </w:pPr>
      <w:r>
        <w:t>总体绩效目标：紧密围绕县委、县政府中心工作，充分发挥统一战线职能优势，突出亮点，发挥特色，在党外干部、民族宗教、海外联谊、非公有制经济人士等各项工作中均取得明显成效，收到良好效果，为我县经济社会发展做出积极的贡献。</w:t>
      </w:r>
    </w:p>
    <w:p>
      <w:pPr>
        <w:spacing w:line="500" w:lineRule="exact"/>
        <w:ind w:firstLine="560"/>
      </w:pPr>
      <w:r>
        <w:rPr>
          <w:rFonts w:eastAsia="方正仿宋_GBK"/>
          <w:color w:val="000000"/>
          <w:sz w:val="28"/>
        </w:rPr>
        <w:t>（二）分项绩效目标</w:t>
      </w:r>
    </w:p>
    <w:p>
      <w:pPr>
        <w:pStyle w:val="20"/>
      </w:pPr>
      <w:r>
        <w:t>（一）调查研究统一战线的理论、政策和法律法规，向党委全面反映统一战线情况，提出开展统一战线工作的意见和建议，组织协调统一战线政策和法律法规的贯彻落实，检查执行情况，协调统一战线各方面的关系。</w:t>
      </w:r>
    </w:p>
    <w:p>
      <w:pPr>
        <w:pStyle w:val="20"/>
      </w:pPr>
      <w:r>
        <w:t>（二）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牵头有关部门做好宗教维稳、抵御境外渗透工作。</w:t>
      </w:r>
    </w:p>
    <w:p>
      <w:pPr>
        <w:pStyle w:val="20"/>
      </w:pPr>
      <w:r>
        <w:t>（三）开展海外统一战线工作，联系香港、澳门、台湾和海外有关党派、团体及代表人士，会同有关部门对香港、澳门地区统一战线工作方针政策和法律法规进行调查研究，做好台胞、台属工作，负责党委交办的其他港澳、对台工作。</w:t>
      </w:r>
    </w:p>
    <w:p>
      <w:pPr>
        <w:pStyle w:val="20"/>
      </w:pPr>
      <w:r>
        <w:t>（四）调查研究国内外侨情和侨务工作情况，组织开展侨务政策、理论和侨务工作重大问题的调查研究，负责向涉侨部门通报侨务工作情况，推动涉侨宣传、文化交流和华文教育工作等。</w:t>
      </w:r>
    </w:p>
    <w:p>
      <w:pPr>
        <w:pStyle w:val="20"/>
      </w:pPr>
      <w:r>
        <w:t>（五）调查研究非公有制经济人士的情况，协调关系，提出政策建议，团结、服务、引导、教育非公有制经济人士，开展思想政治工作。</w:t>
      </w:r>
    </w:p>
    <w:p>
      <w:pPr>
        <w:pStyle w:val="20"/>
      </w:pPr>
      <w:r>
        <w:t>（六）负责党外代表人士在人大、政协安排的有关工作，会同有关部门做好安排党外代表人士担任政府和司法机关等领导职务的工作，做好党外代表人士和后备干部队伍建设工作，反映和解决党外代表人士工作生活中的实际困难。</w:t>
      </w:r>
    </w:p>
    <w:p>
      <w:pPr>
        <w:spacing w:line="500" w:lineRule="exact"/>
        <w:ind w:firstLine="560"/>
      </w:pPr>
      <w:r>
        <w:rPr>
          <w:rFonts w:eastAsia="方正仿宋_GBK"/>
          <w:color w:val="000000"/>
          <w:sz w:val="28"/>
        </w:rPr>
        <w:t>（三）工作保障措施</w:t>
      </w:r>
    </w:p>
    <w:p>
      <w:pPr>
        <w:pStyle w:val="21"/>
      </w:pPr>
      <w:r>
        <w:t>1、加强制度建设。建立健全机关预算绩效管理制度，为全年预算绩效目标的实现奠定制度基础。</w:t>
      </w:r>
    </w:p>
    <w:p>
      <w:pPr>
        <w:pStyle w:val="21"/>
      </w:pPr>
      <w:r>
        <w:t>2、规范财务管理。进一步完善财务管理制度，通过科学编制预算、优化支出结构、加快政府采购、加快项目建设、及时拨付资金，确保经费支出进度达到规定标准。</w:t>
      </w:r>
    </w:p>
    <w:p>
      <w:pPr>
        <w:pStyle w:val="21"/>
      </w:pPr>
      <w:r>
        <w:t>3、加强内部监督。加强内部监督制度建设，对绩效运行、重大支出事项、资产处置及其他重要经济业务事项决策和执行进行监督，定期开展财务内部审计，确保财政资金使用安全合规。</w:t>
      </w:r>
    </w:p>
    <w:p>
      <w:pPr>
        <w:pStyle w:val="21"/>
      </w:pPr>
      <w:r>
        <w:t>4、加强绩效监控。积极开展绩效运行监控，发现问题及时采取措施，确保绩效目标如期保质实现。</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r>
        <w:rPr>
          <w:rFonts w:hint="eastAsia" w:eastAsia="方正仿宋_GBK" w:cs="Times New Roman"/>
          <w:sz w:val="28"/>
          <w:szCs w:val="24"/>
          <w:lang w:val="en-US" w:eastAsia="zh-CN" w:bidi="ar-SA"/>
        </w:rPr>
        <w:t>。</w:t>
      </w:r>
    </w:p>
    <w:p>
      <w:pPr>
        <w:pStyle w:val="22"/>
        <w:ind w:firstLine="640"/>
      </w:pPr>
      <w:r>
        <w:rPr>
          <w:rFonts w:ascii="方正楷体_GBK" w:hAnsi="方正楷体_GBK" w:eastAsia="方正楷体_GBK" w:cs="方正楷体_GBK"/>
          <w:b/>
          <w:color w:val="000000"/>
          <w:sz w:val="32"/>
        </w:rPr>
        <w:t>第三部分  预算项目绩效目标</w:t>
      </w:r>
    </w:p>
    <w:p>
      <w:pPr>
        <w:pStyle w:val="22"/>
        <w:ind w:firstLine="560"/>
      </w:pPr>
      <w:r>
        <w:rPr>
          <w:rFonts w:ascii="方正仿宋_GBK" w:hAnsi="方正仿宋_GBK" w:eastAsia="方正仿宋_GBK" w:cs="方正仿宋_GBK"/>
          <w:b/>
          <w:color w:val="000000"/>
          <w:sz w:val="28"/>
        </w:rPr>
        <w:t>1、2022年民贸民品贷款贴息补贴绩效目标表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贴息企业数量</w:t>
            </w:r>
          </w:p>
        </w:tc>
        <w:tc>
          <w:tcPr>
            <w:tcW w:w="2835" w:type="dxa"/>
            <w:vAlign w:val="center"/>
          </w:tcPr>
          <w:p>
            <w:pPr>
              <w:pStyle w:val="24"/>
            </w:pPr>
            <w:r>
              <w:t>贴息企业数量</w:t>
            </w:r>
          </w:p>
        </w:tc>
        <w:tc>
          <w:tcPr>
            <w:tcW w:w="2551" w:type="dxa"/>
            <w:vAlign w:val="center"/>
          </w:tcPr>
          <w:p>
            <w:pPr>
              <w:pStyle w:val="24"/>
            </w:pPr>
            <w:r>
              <w:t>≥100个数</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贴息资金使用质量</w:t>
            </w:r>
          </w:p>
        </w:tc>
        <w:tc>
          <w:tcPr>
            <w:tcW w:w="2835" w:type="dxa"/>
            <w:vAlign w:val="center"/>
          </w:tcPr>
          <w:p>
            <w:pPr>
              <w:pStyle w:val="24"/>
            </w:pPr>
            <w:r>
              <w:t>贴息资金使用质量</w:t>
            </w:r>
          </w:p>
        </w:tc>
        <w:tc>
          <w:tcPr>
            <w:tcW w:w="2551" w:type="dxa"/>
            <w:vAlign w:val="center"/>
          </w:tcPr>
          <w:p>
            <w:pPr>
              <w:pStyle w:val="24"/>
            </w:pPr>
            <w:r>
              <w:t>≥100质量</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认定时间</w:t>
            </w:r>
          </w:p>
        </w:tc>
        <w:tc>
          <w:tcPr>
            <w:tcW w:w="2835" w:type="dxa"/>
            <w:vAlign w:val="center"/>
          </w:tcPr>
          <w:p>
            <w:pPr>
              <w:pStyle w:val="24"/>
            </w:pPr>
            <w:r>
              <w:t>认定时间</w:t>
            </w:r>
          </w:p>
        </w:tc>
        <w:tc>
          <w:tcPr>
            <w:tcW w:w="2551" w:type="dxa"/>
            <w:vAlign w:val="center"/>
          </w:tcPr>
          <w:p>
            <w:pPr>
              <w:pStyle w:val="24"/>
            </w:pPr>
            <w:r>
              <w:t>≥100时效</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贴息资金拨付成本</w:t>
            </w:r>
          </w:p>
        </w:tc>
        <w:tc>
          <w:tcPr>
            <w:tcW w:w="2835" w:type="dxa"/>
            <w:vAlign w:val="center"/>
          </w:tcPr>
          <w:p>
            <w:pPr>
              <w:pStyle w:val="24"/>
            </w:pPr>
            <w:r>
              <w:t>贴息资金拨付成本</w:t>
            </w:r>
          </w:p>
        </w:tc>
        <w:tc>
          <w:tcPr>
            <w:tcW w:w="2551" w:type="dxa"/>
            <w:vAlign w:val="center"/>
          </w:tcPr>
          <w:p>
            <w:pPr>
              <w:pStyle w:val="24"/>
            </w:pPr>
            <w:r>
              <w:t>≥100成本</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pPr>
            <w:r>
              <w:t>贴息资金给企业带来的经济效益</w:t>
            </w:r>
          </w:p>
        </w:tc>
        <w:tc>
          <w:tcPr>
            <w:tcW w:w="2835" w:type="dxa"/>
            <w:vAlign w:val="center"/>
          </w:tcPr>
          <w:p>
            <w:pPr>
              <w:pStyle w:val="24"/>
            </w:pPr>
            <w:r>
              <w:t>贴息资金给企业带来的经济效益</w:t>
            </w:r>
          </w:p>
        </w:tc>
        <w:tc>
          <w:tcPr>
            <w:tcW w:w="2551" w:type="dxa"/>
            <w:vAlign w:val="center"/>
          </w:tcPr>
          <w:p>
            <w:pPr>
              <w:pStyle w:val="24"/>
            </w:pPr>
            <w:r>
              <w:t>≥100经济效益</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贴息企业的满意度</w:t>
            </w:r>
          </w:p>
        </w:tc>
        <w:tc>
          <w:tcPr>
            <w:tcW w:w="2835" w:type="dxa"/>
            <w:vAlign w:val="center"/>
          </w:tcPr>
          <w:p>
            <w:pPr>
              <w:pStyle w:val="24"/>
            </w:pPr>
            <w:r>
              <w:t>贴息企业的满意度</w:t>
            </w:r>
          </w:p>
        </w:tc>
        <w:tc>
          <w:tcPr>
            <w:tcW w:w="2551" w:type="dxa"/>
            <w:vAlign w:val="center"/>
          </w:tcPr>
          <w:p>
            <w:pPr>
              <w:pStyle w:val="24"/>
            </w:pPr>
            <w:r>
              <w:t>≥100满意度</w:t>
            </w:r>
          </w:p>
        </w:tc>
        <w:tc>
          <w:tcPr>
            <w:tcW w:w="2268" w:type="dxa"/>
            <w:vAlign w:val="center"/>
          </w:tcPr>
          <w:p>
            <w:pPr>
              <w:pStyle w:val="24"/>
            </w:pPr>
            <w:r>
              <w:t>有关文件</w:t>
            </w:r>
          </w:p>
        </w:tc>
      </w:tr>
    </w:tbl>
    <w:p>
      <w:pPr>
        <w:pStyle w:val="22"/>
      </w:pPr>
    </w:p>
    <w:p>
      <w:pPr>
        <w:pStyle w:val="22"/>
        <w:ind w:firstLine="560"/>
      </w:pPr>
      <w:r>
        <w:rPr>
          <w:rFonts w:ascii="方正仿宋_GBK" w:hAnsi="方正仿宋_GBK" w:eastAsia="方正仿宋_GBK" w:cs="方正仿宋_GBK"/>
          <w:b/>
          <w:color w:val="000000"/>
          <w:sz w:val="28"/>
        </w:rPr>
        <w:t>2、工商联经费绩效目标表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本年度开展活动次数</w:t>
            </w:r>
          </w:p>
        </w:tc>
        <w:tc>
          <w:tcPr>
            <w:tcW w:w="2835" w:type="dxa"/>
            <w:vAlign w:val="center"/>
          </w:tcPr>
          <w:p>
            <w:pPr>
              <w:pStyle w:val="24"/>
            </w:pPr>
            <w:r>
              <w:t>本年度开展活动次数</w:t>
            </w:r>
          </w:p>
        </w:tc>
        <w:tc>
          <w:tcPr>
            <w:tcW w:w="2551" w:type="dxa"/>
            <w:vAlign w:val="center"/>
          </w:tcPr>
          <w:p>
            <w:pPr>
              <w:pStyle w:val="24"/>
            </w:pPr>
            <w:r>
              <w:t>≥10数量</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开展工作的质量</w:t>
            </w:r>
          </w:p>
        </w:tc>
        <w:tc>
          <w:tcPr>
            <w:tcW w:w="2835" w:type="dxa"/>
            <w:vAlign w:val="center"/>
          </w:tcPr>
          <w:p>
            <w:pPr>
              <w:pStyle w:val="24"/>
            </w:pPr>
            <w:r>
              <w:t>开展工作的质量率</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工作活动开展的时间要求</w:t>
            </w:r>
          </w:p>
        </w:tc>
        <w:tc>
          <w:tcPr>
            <w:tcW w:w="2835" w:type="dxa"/>
            <w:vAlign w:val="center"/>
          </w:tcPr>
          <w:p>
            <w:pPr>
              <w:pStyle w:val="24"/>
            </w:pPr>
            <w:r>
              <w:t>工作活动开展的时间要求</w:t>
            </w:r>
          </w:p>
        </w:tc>
        <w:tc>
          <w:tcPr>
            <w:tcW w:w="2551" w:type="dxa"/>
            <w:vAlign w:val="center"/>
          </w:tcPr>
          <w:p>
            <w:pPr>
              <w:pStyle w:val="24"/>
            </w:pPr>
            <w:r>
              <w:t>≥1本年度内完成</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开展活动的资金成本</w:t>
            </w:r>
          </w:p>
        </w:tc>
        <w:tc>
          <w:tcPr>
            <w:tcW w:w="2835" w:type="dxa"/>
            <w:vAlign w:val="center"/>
          </w:tcPr>
          <w:p>
            <w:pPr>
              <w:pStyle w:val="24"/>
            </w:pPr>
            <w:r>
              <w:t>开展活动的资金成本</w:t>
            </w:r>
          </w:p>
        </w:tc>
        <w:tc>
          <w:tcPr>
            <w:tcW w:w="2551" w:type="dxa"/>
            <w:vAlign w:val="center"/>
          </w:tcPr>
          <w:p>
            <w:pPr>
              <w:pStyle w:val="24"/>
            </w:pPr>
            <w:r>
              <w:t>≥1经费控制在1万元内</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带来的社会效果</w:t>
            </w:r>
          </w:p>
        </w:tc>
        <w:tc>
          <w:tcPr>
            <w:tcW w:w="2835" w:type="dxa"/>
            <w:vAlign w:val="center"/>
          </w:tcPr>
          <w:p>
            <w:pPr>
              <w:pStyle w:val="24"/>
            </w:pPr>
            <w:r>
              <w:t>带来的社会效果</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民营企业满意度</w:t>
            </w:r>
          </w:p>
        </w:tc>
        <w:tc>
          <w:tcPr>
            <w:tcW w:w="2835" w:type="dxa"/>
            <w:vAlign w:val="center"/>
          </w:tcPr>
          <w:p>
            <w:pPr>
              <w:pStyle w:val="24"/>
            </w:pPr>
            <w:r>
              <w:t>民营企业满意度</w:t>
            </w:r>
          </w:p>
        </w:tc>
        <w:tc>
          <w:tcPr>
            <w:tcW w:w="2551" w:type="dxa"/>
            <w:vAlign w:val="center"/>
          </w:tcPr>
          <w:p>
            <w:pPr>
              <w:pStyle w:val="24"/>
            </w:pPr>
            <w:r>
              <w:t>≥100百分比</w:t>
            </w:r>
          </w:p>
        </w:tc>
        <w:tc>
          <w:tcPr>
            <w:tcW w:w="2268" w:type="dxa"/>
            <w:vAlign w:val="center"/>
          </w:tcPr>
          <w:p>
            <w:pPr>
              <w:pStyle w:val="24"/>
            </w:pPr>
            <w:r>
              <w:t>年初工作计划</w:t>
            </w:r>
          </w:p>
        </w:tc>
      </w:tr>
    </w:tbl>
    <w:p>
      <w:pPr>
        <w:pStyle w:val="22"/>
      </w:pPr>
    </w:p>
    <w:p>
      <w:pPr>
        <w:pStyle w:val="22"/>
        <w:ind w:firstLine="560"/>
      </w:pPr>
      <w:r>
        <w:rPr>
          <w:rFonts w:ascii="方正仿宋_GBK" w:hAnsi="方正仿宋_GBK" w:eastAsia="方正仿宋_GBK" w:cs="方正仿宋_GBK"/>
          <w:b/>
          <w:color w:val="000000"/>
          <w:sz w:val="28"/>
        </w:rPr>
        <w:t>3、归侨职工生活补贴绩效目标表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生活困难归侨个数</w:t>
            </w:r>
          </w:p>
        </w:tc>
        <w:tc>
          <w:tcPr>
            <w:tcW w:w="2835" w:type="dxa"/>
            <w:vAlign w:val="center"/>
          </w:tcPr>
          <w:p>
            <w:pPr>
              <w:pStyle w:val="24"/>
            </w:pPr>
            <w:r>
              <w:t>生活苦难归侨数量</w:t>
            </w:r>
          </w:p>
        </w:tc>
        <w:tc>
          <w:tcPr>
            <w:tcW w:w="2551" w:type="dxa"/>
            <w:vAlign w:val="center"/>
          </w:tcPr>
          <w:p>
            <w:pPr>
              <w:pStyle w:val="24"/>
            </w:pPr>
            <w:r>
              <w:t>≥100个</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补助资金使用质量</w:t>
            </w:r>
          </w:p>
        </w:tc>
        <w:tc>
          <w:tcPr>
            <w:tcW w:w="2835" w:type="dxa"/>
            <w:vAlign w:val="center"/>
          </w:tcPr>
          <w:p>
            <w:pPr>
              <w:pStyle w:val="24"/>
            </w:pPr>
            <w:r>
              <w:t>补助资金使用质量</w:t>
            </w:r>
          </w:p>
        </w:tc>
        <w:tc>
          <w:tcPr>
            <w:tcW w:w="2551" w:type="dxa"/>
            <w:vAlign w:val="center"/>
          </w:tcPr>
          <w:p>
            <w:pPr>
              <w:pStyle w:val="24"/>
            </w:pPr>
            <w:r>
              <w:t>≥100质量</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补助资金发放时间</w:t>
            </w:r>
          </w:p>
        </w:tc>
        <w:tc>
          <w:tcPr>
            <w:tcW w:w="2835" w:type="dxa"/>
            <w:vAlign w:val="center"/>
          </w:tcPr>
          <w:p>
            <w:pPr>
              <w:pStyle w:val="24"/>
            </w:pPr>
            <w:r>
              <w:t>补助资金发放时间</w:t>
            </w:r>
          </w:p>
        </w:tc>
        <w:tc>
          <w:tcPr>
            <w:tcW w:w="2551" w:type="dxa"/>
            <w:vAlign w:val="center"/>
          </w:tcPr>
          <w:p>
            <w:pPr>
              <w:pStyle w:val="24"/>
            </w:pPr>
            <w:r>
              <w:t>≥100时间</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补助资金发放成本</w:t>
            </w:r>
          </w:p>
        </w:tc>
        <w:tc>
          <w:tcPr>
            <w:tcW w:w="2835" w:type="dxa"/>
            <w:vAlign w:val="center"/>
          </w:tcPr>
          <w:p>
            <w:pPr>
              <w:pStyle w:val="24"/>
            </w:pPr>
            <w:r>
              <w:t>补助资金发放成本</w:t>
            </w:r>
          </w:p>
        </w:tc>
        <w:tc>
          <w:tcPr>
            <w:tcW w:w="2551" w:type="dxa"/>
            <w:vAlign w:val="center"/>
          </w:tcPr>
          <w:p>
            <w:pPr>
              <w:pStyle w:val="24"/>
            </w:pPr>
            <w:r>
              <w:t>≥100成本</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带来的社会效益</w:t>
            </w:r>
          </w:p>
        </w:tc>
        <w:tc>
          <w:tcPr>
            <w:tcW w:w="2835" w:type="dxa"/>
            <w:vAlign w:val="center"/>
          </w:tcPr>
          <w:p>
            <w:pPr>
              <w:pStyle w:val="24"/>
            </w:pPr>
            <w:r>
              <w:t>带来的社会效益</w:t>
            </w:r>
          </w:p>
        </w:tc>
        <w:tc>
          <w:tcPr>
            <w:tcW w:w="2551" w:type="dxa"/>
            <w:vAlign w:val="center"/>
          </w:tcPr>
          <w:p>
            <w:pPr>
              <w:pStyle w:val="24"/>
            </w:pPr>
            <w:r>
              <w:t>≥100社会效益</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生活困难归侨满意度</w:t>
            </w:r>
          </w:p>
        </w:tc>
        <w:tc>
          <w:tcPr>
            <w:tcW w:w="2835" w:type="dxa"/>
            <w:vAlign w:val="center"/>
          </w:tcPr>
          <w:p>
            <w:pPr>
              <w:pStyle w:val="24"/>
            </w:pPr>
            <w:r>
              <w:t>生活困难归侨满意度</w:t>
            </w:r>
          </w:p>
        </w:tc>
        <w:tc>
          <w:tcPr>
            <w:tcW w:w="2551" w:type="dxa"/>
            <w:vAlign w:val="center"/>
          </w:tcPr>
          <w:p>
            <w:pPr>
              <w:pStyle w:val="24"/>
            </w:pPr>
            <w:r>
              <w:t>≥100满意度</w:t>
            </w:r>
          </w:p>
        </w:tc>
        <w:tc>
          <w:tcPr>
            <w:tcW w:w="2268" w:type="dxa"/>
            <w:vAlign w:val="center"/>
          </w:tcPr>
          <w:p>
            <w:pPr>
              <w:pStyle w:val="24"/>
            </w:pPr>
            <w:r>
              <w:t>有关文件</w:t>
            </w:r>
          </w:p>
        </w:tc>
      </w:tr>
    </w:tbl>
    <w:p>
      <w:pPr>
        <w:pStyle w:val="22"/>
      </w:pPr>
    </w:p>
    <w:p>
      <w:pPr>
        <w:pStyle w:val="22"/>
        <w:ind w:firstLine="560"/>
      </w:pPr>
      <w:r>
        <w:rPr>
          <w:rFonts w:ascii="方正仿宋_GBK" w:hAnsi="方正仿宋_GBK" w:eastAsia="方正仿宋_GBK" w:cs="方正仿宋_GBK"/>
          <w:b/>
          <w:color w:val="000000"/>
          <w:sz w:val="28"/>
        </w:rPr>
        <w:t>4、基层治理工作队经费绩效目标表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工作队人员数量</w:t>
            </w:r>
          </w:p>
        </w:tc>
        <w:tc>
          <w:tcPr>
            <w:tcW w:w="2835" w:type="dxa"/>
            <w:vAlign w:val="center"/>
          </w:tcPr>
          <w:p>
            <w:pPr>
              <w:pStyle w:val="24"/>
            </w:pPr>
            <w:r>
              <w:t>工作队人员数量</w:t>
            </w:r>
          </w:p>
        </w:tc>
        <w:tc>
          <w:tcPr>
            <w:tcW w:w="2551" w:type="dxa"/>
            <w:vAlign w:val="center"/>
          </w:tcPr>
          <w:p>
            <w:pPr>
              <w:pStyle w:val="24"/>
            </w:pPr>
            <w:r>
              <w:t>≥21数量</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工作完成质量率</w:t>
            </w:r>
          </w:p>
        </w:tc>
        <w:tc>
          <w:tcPr>
            <w:tcW w:w="2835" w:type="dxa"/>
            <w:vAlign w:val="center"/>
          </w:tcPr>
          <w:p>
            <w:pPr>
              <w:pStyle w:val="24"/>
            </w:pPr>
            <w:r>
              <w:t>工作完成质量率</w:t>
            </w:r>
          </w:p>
        </w:tc>
        <w:tc>
          <w:tcPr>
            <w:tcW w:w="2551" w:type="dxa"/>
            <w:vAlign w:val="center"/>
          </w:tcPr>
          <w:p>
            <w:pPr>
              <w:pStyle w:val="24"/>
            </w:pPr>
            <w:r>
              <w:t>≥90百分比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工作完成时间</w:t>
            </w:r>
          </w:p>
        </w:tc>
        <w:tc>
          <w:tcPr>
            <w:tcW w:w="2835" w:type="dxa"/>
            <w:vAlign w:val="center"/>
          </w:tcPr>
          <w:p>
            <w:pPr>
              <w:pStyle w:val="24"/>
            </w:pPr>
            <w:r>
              <w:t>工作完成时间率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完成工作需要的成本</w:t>
            </w:r>
          </w:p>
        </w:tc>
        <w:tc>
          <w:tcPr>
            <w:tcW w:w="2835" w:type="dxa"/>
            <w:vAlign w:val="center"/>
          </w:tcPr>
          <w:p>
            <w:pPr>
              <w:pStyle w:val="24"/>
            </w:pPr>
            <w:r>
              <w:t>完成各项工作需要的成本率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可带来的社会效益</w:t>
            </w:r>
          </w:p>
        </w:tc>
        <w:tc>
          <w:tcPr>
            <w:tcW w:w="2835" w:type="dxa"/>
            <w:vAlign w:val="center"/>
          </w:tcPr>
          <w:p>
            <w:pPr>
              <w:pStyle w:val="24"/>
            </w:pPr>
            <w:r>
              <w:t>可带来的社会效益率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工作队所在村群众满意度</w:t>
            </w:r>
          </w:p>
        </w:tc>
        <w:tc>
          <w:tcPr>
            <w:tcW w:w="2835" w:type="dxa"/>
            <w:vAlign w:val="center"/>
          </w:tcPr>
          <w:p>
            <w:pPr>
              <w:pStyle w:val="24"/>
            </w:pPr>
            <w:r>
              <w:t>工作队所在村群众满意度</w:t>
            </w:r>
          </w:p>
        </w:tc>
        <w:tc>
          <w:tcPr>
            <w:tcW w:w="2551" w:type="dxa"/>
            <w:vAlign w:val="center"/>
          </w:tcPr>
          <w:p>
            <w:pPr>
              <w:pStyle w:val="24"/>
            </w:pPr>
            <w:r>
              <w:t>≥100满意度</w:t>
            </w:r>
          </w:p>
        </w:tc>
        <w:tc>
          <w:tcPr>
            <w:tcW w:w="2268" w:type="dxa"/>
            <w:vAlign w:val="center"/>
          </w:tcPr>
          <w:p>
            <w:pPr>
              <w:pStyle w:val="24"/>
            </w:pPr>
            <w:r>
              <w:t>有关文件</w:t>
            </w:r>
          </w:p>
        </w:tc>
      </w:tr>
    </w:tbl>
    <w:p>
      <w:pPr>
        <w:pStyle w:val="22"/>
      </w:pPr>
    </w:p>
    <w:p>
      <w:pPr>
        <w:pStyle w:val="22"/>
        <w:ind w:firstLine="560"/>
      </w:pPr>
      <w:r>
        <w:rPr>
          <w:rFonts w:ascii="方正仿宋_GBK" w:hAnsi="方正仿宋_GBK" w:eastAsia="方正仿宋_GBK" w:cs="方正仿宋_GBK"/>
          <w:b/>
          <w:color w:val="000000"/>
          <w:sz w:val="28"/>
        </w:rPr>
        <w:t>5、冀财金[2021]57号/县级/2022年县级普惠金融发展专项资金（民贸民品企业贷款贴息）绩效目标表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1.确定拨付企业数量</w:t>
            </w:r>
          </w:p>
          <w:p>
            <w:pPr>
              <w:pStyle w:val="24"/>
            </w:pPr>
            <w:r>
              <w:t>2.对所拨付企业金额进行审核</w:t>
            </w:r>
          </w:p>
          <w:p>
            <w:pPr>
              <w:pStyle w:val="24"/>
            </w:pPr>
            <w:r>
              <w:t>3.按照要求，及时拨付</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民贸民品企业数量</w:t>
            </w:r>
          </w:p>
        </w:tc>
        <w:tc>
          <w:tcPr>
            <w:tcW w:w="2835" w:type="dxa"/>
            <w:vAlign w:val="center"/>
          </w:tcPr>
          <w:p>
            <w:pPr>
              <w:pStyle w:val="24"/>
            </w:pPr>
            <w:r>
              <w:t>民贸民品企业数量</w:t>
            </w:r>
          </w:p>
        </w:tc>
        <w:tc>
          <w:tcPr>
            <w:tcW w:w="2551" w:type="dxa"/>
            <w:vAlign w:val="center"/>
          </w:tcPr>
          <w:p>
            <w:pPr>
              <w:pStyle w:val="24"/>
            </w:pPr>
            <w:r>
              <w:t>≥100数量</w:t>
            </w:r>
          </w:p>
        </w:tc>
        <w:tc>
          <w:tcPr>
            <w:tcW w:w="2268" w:type="dxa"/>
            <w:vAlign w:val="center"/>
          </w:tcPr>
          <w:p>
            <w:pPr>
              <w:pStyle w:val="24"/>
            </w:pPr>
            <w:r>
              <w:t>冀财规【2019】12号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贴息资金使用质量</w:t>
            </w:r>
          </w:p>
        </w:tc>
        <w:tc>
          <w:tcPr>
            <w:tcW w:w="2835" w:type="dxa"/>
            <w:vAlign w:val="center"/>
          </w:tcPr>
          <w:p>
            <w:pPr>
              <w:pStyle w:val="24"/>
            </w:pPr>
            <w:r>
              <w:t>贴息资金使用质量</w:t>
            </w:r>
          </w:p>
        </w:tc>
        <w:tc>
          <w:tcPr>
            <w:tcW w:w="2551" w:type="dxa"/>
            <w:vAlign w:val="center"/>
          </w:tcPr>
          <w:p>
            <w:pPr>
              <w:pStyle w:val="24"/>
            </w:pPr>
            <w:r>
              <w:t>≥100质量</w:t>
            </w:r>
          </w:p>
        </w:tc>
        <w:tc>
          <w:tcPr>
            <w:tcW w:w="2268" w:type="dxa"/>
            <w:vAlign w:val="center"/>
          </w:tcPr>
          <w:p>
            <w:pPr>
              <w:pStyle w:val="24"/>
            </w:pPr>
            <w:r>
              <w:t>冀财规【2019】12号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贴息资金拨付时间</w:t>
            </w:r>
          </w:p>
        </w:tc>
        <w:tc>
          <w:tcPr>
            <w:tcW w:w="2835" w:type="dxa"/>
            <w:vAlign w:val="center"/>
          </w:tcPr>
          <w:p>
            <w:pPr>
              <w:pStyle w:val="24"/>
            </w:pPr>
            <w:r>
              <w:t>贴息资金拨付时间</w:t>
            </w:r>
          </w:p>
        </w:tc>
        <w:tc>
          <w:tcPr>
            <w:tcW w:w="2551" w:type="dxa"/>
            <w:vAlign w:val="center"/>
          </w:tcPr>
          <w:p>
            <w:pPr>
              <w:pStyle w:val="24"/>
            </w:pPr>
            <w:r>
              <w:t>≥100时间</w:t>
            </w:r>
          </w:p>
        </w:tc>
        <w:tc>
          <w:tcPr>
            <w:tcW w:w="2268" w:type="dxa"/>
            <w:vAlign w:val="center"/>
          </w:tcPr>
          <w:p>
            <w:pPr>
              <w:pStyle w:val="24"/>
            </w:pPr>
            <w:r>
              <w:t>冀财规【2019】12号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拨付贴息资金成本</w:t>
            </w:r>
          </w:p>
        </w:tc>
        <w:tc>
          <w:tcPr>
            <w:tcW w:w="2835" w:type="dxa"/>
            <w:vAlign w:val="center"/>
          </w:tcPr>
          <w:p>
            <w:pPr>
              <w:pStyle w:val="24"/>
            </w:pPr>
            <w:r>
              <w:t>拨付贴息资金成本</w:t>
            </w:r>
          </w:p>
        </w:tc>
        <w:tc>
          <w:tcPr>
            <w:tcW w:w="2551" w:type="dxa"/>
            <w:vAlign w:val="center"/>
          </w:tcPr>
          <w:p>
            <w:pPr>
              <w:pStyle w:val="24"/>
            </w:pPr>
            <w:r>
              <w:t>≥100成本</w:t>
            </w:r>
          </w:p>
        </w:tc>
        <w:tc>
          <w:tcPr>
            <w:tcW w:w="2268" w:type="dxa"/>
            <w:vAlign w:val="center"/>
          </w:tcPr>
          <w:p>
            <w:pPr>
              <w:pStyle w:val="24"/>
            </w:pPr>
            <w:r>
              <w:t>冀财规【2019】12号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民贸民品企业满意度</w:t>
            </w:r>
          </w:p>
        </w:tc>
        <w:tc>
          <w:tcPr>
            <w:tcW w:w="2835" w:type="dxa"/>
            <w:vAlign w:val="center"/>
          </w:tcPr>
          <w:p>
            <w:pPr>
              <w:pStyle w:val="24"/>
            </w:pPr>
            <w:r>
              <w:t>民贸民品企业满意度</w:t>
            </w:r>
          </w:p>
        </w:tc>
        <w:tc>
          <w:tcPr>
            <w:tcW w:w="2551" w:type="dxa"/>
            <w:vAlign w:val="center"/>
          </w:tcPr>
          <w:p>
            <w:pPr>
              <w:pStyle w:val="24"/>
            </w:pPr>
            <w:r>
              <w:t>≥100满意度</w:t>
            </w:r>
          </w:p>
        </w:tc>
        <w:tc>
          <w:tcPr>
            <w:tcW w:w="2268" w:type="dxa"/>
            <w:vAlign w:val="center"/>
          </w:tcPr>
          <w:p>
            <w:pPr>
              <w:pStyle w:val="24"/>
            </w:pPr>
            <w:r>
              <w:t>冀财规【2019】12号</w:t>
            </w:r>
          </w:p>
        </w:tc>
      </w:tr>
    </w:tbl>
    <w:p>
      <w:pPr>
        <w:pStyle w:val="22"/>
      </w:pPr>
    </w:p>
    <w:p>
      <w:pPr>
        <w:pStyle w:val="22"/>
        <w:ind w:firstLine="560"/>
      </w:pPr>
      <w:r>
        <w:rPr>
          <w:rFonts w:ascii="方正仿宋_GBK" w:hAnsi="方正仿宋_GBK" w:eastAsia="方正仿宋_GBK" w:cs="方正仿宋_GBK"/>
          <w:b/>
          <w:color w:val="000000"/>
          <w:sz w:val="28"/>
        </w:rPr>
        <w:t>6、劳务派遣人员工资绩效目标表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劳务派遣人员数量</w:t>
            </w:r>
          </w:p>
        </w:tc>
        <w:tc>
          <w:tcPr>
            <w:tcW w:w="2835" w:type="dxa"/>
            <w:vAlign w:val="center"/>
          </w:tcPr>
          <w:p>
            <w:pPr>
              <w:pStyle w:val="24"/>
            </w:pPr>
            <w:r>
              <w:t>人员数量</w:t>
            </w:r>
          </w:p>
        </w:tc>
        <w:tc>
          <w:tcPr>
            <w:tcW w:w="2551" w:type="dxa"/>
            <w:vAlign w:val="center"/>
          </w:tcPr>
          <w:p>
            <w:pPr>
              <w:pStyle w:val="24"/>
            </w:pPr>
            <w:r>
              <w:t>2人员数量</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工资发放质量</w:t>
            </w:r>
          </w:p>
        </w:tc>
        <w:tc>
          <w:tcPr>
            <w:tcW w:w="2835" w:type="dxa"/>
            <w:vAlign w:val="center"/>
          </w:tcPr>
          <w:p>
            <w:pPr>
              <w:pStyle w:val="24"/>
            </w:pPr>
            <w:r>
              <w:t>工资发放质量</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劳务派遣人员工资发放率</w:t>
            </w:r>
          </w:p>
        </w:tc>
        <w:tc>
          <w:tcPr>
            <w:tcW w:w="2835" w:type="dxa"/>
            <w:vAlign w:val="center"/>
          </w:tcPr>
          <w:p>
            <w:pPr>
              <w:pStyle w:val="24"/>
            </w:pPr>
            <w:r>
              <w:t>劳务派遣人员工资发放时间</w:t>
            </w:r>
          </w:p>
        </w:tc>
        <w:tc>
          <w:tcPr>
            <w:tcW w:w="2551" w:type="dxa"/>
            <w:vAlign w:val="center"/>
          </w:tcPr>
          <w:p>
            <w:pPr>
              <w:pStyle w:val="24"/>
            </w:pPr>
            <w:r>
              <w:t>≥12本年度内按月发放</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工资发放成本率</w:t>
            </w:r>
          </w:p>
        </w:tc>
        <w:tc>
          <w:tcPr>
            <w:tcW w:w="2835" w:type="dxa"/>
            <w:vAlign w:val="center"/>
          </w:tcPr>
          <w:p>
            <w:pPr>
              <w:pStyle w:val="24"/>
            </w:pPr>
            <w:r>
              <w:t>工资发放成本率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劳务派遣人员社会效益率指标</w:t>
            </w:r>
          </w:p>
        </w:tc>
        <w:tc>
          <w:tcPr>
            <w:tcW w:w="2835" w:type="dxa"/>
            <w:vAlign w:val="center"/>
          </w:tcPr>
          <w:p>
            <w:pPr>
              <w:pStyle w:val="24"/>
            </w:pPr>
            <w:r>
              <w:t>劳务派遣人员社会效益率指标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发放人员的满意度</w:t>
            </w:r>
          </w:p>
        </w:tc>
        <w:tc>
          <w:tcPr>
            <w:tcW w:w="2835" w:type="dxa"/>
            <w:vAlign w:val="center"/>
          </w:tcPr>
          <w:p>
            <w:pPr>
              <w:pStyle w:val="24"/>
            </w:pPr>
            <w:r>
              <w:t>发放人员的满意度</w:t>
            </w:r>
          </w:p>
        </w:tc>
        <w:tc>
          <w:tcPr>
            <w:tcW w:w="2551" w:type="dxa"/>
            <w:vAlign w:val="center"/>
          </w:tcPr>
          <w:p>
            <w:pPr>
              <w:pStyle w:val="24"/>
            </w:pPr>
            <w:r>
              <w:t>≥100百分比</w:t>
            </w:r>
          </w:p>
        </w:tc>
        <w:tc>
          <w:tcPr>
            <w:tcW w:w="2268" w:type="dxa"/>
            <w:vAlign w:val="center"/>
          </w:tcPr>
          <w:p>
            <w:pPr>
              <w:pStyle w:val="24"/>
            </w:pPr>
            <w:r>
              <w:t>有关文件</w:t>
            </w:r>
          </w:p>
        </w:tc>
      </w:tr>
    </w:tbl>
    <w:p>
      <w:pPr>
        <w:pStyle w:val="22"/>
      </w:pPr>
    </w:p>
    <w:p>
      <w:pPr>
        <w:pStyle w:val="22"/>
        <w:ind w:firstLine="560"/>
      </w:pPr>
      <w:r>
        <w:rPr>
          <w:rFonts w:ascii="方正仿宋_GBK" w:hAnsi="方正仿宋_GBK" w:eastAsia="方正仿宋_GBK" w:cs="方正仿宋_GBK"/>
          <w:b/>
          <w:color w:val="000000"/>
          <w:sz w:val="28"/>
        </w:rPr>
        <w:t>7、民贸民品贷款审计经费绩效目标表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补贴资金的审计次数</w:t>
            </w:r>
          </w:p>
        </w:tc>
        <w:tc>
          <w:tcPr>
            <w:tcW w:w="2835" w:type="dxa"/>
            <w:vAlign w:val="center"/>
          </w:tcPr>
          <w:p>
            <w:pPr>
              <w:pStyle w:val="24"/>
            </w:pPr>
            <w:r>
              <w:t>补贴资金的审计次数</w:t>
            </w:r>
          </w:p>
        </w:tc>
        <w:tc>
          <w:tcPr>
            <w:tcW w:w="2551" w:type="dxa"/>
            <w:vAlign w:val="center"/>
          </w:tcPr>
          <w:p>
            <w:pPr>
              <w:pStyle w:val="24"/>
            </w:pPr>
            <w:r>
              <w:t>≥1次</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民贸民品贴息资金审计质量</w:t>
            </w:r>
          </w:p>
        </w:tc>
        <w:tc>
          <w:tcPr>
            <w:tcW w:w="2835" w:type="dxa"/>
            <w:vAlign w:val="center"/>
          </w:tcPr>
          <w:p>
            <w:pPr>
              <w:pStyle w:val="24"/>
            </w:pPr>
            <w:r>
              <w:t>民贸民品贴息资金审计质量率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贴息资金的审计时间</w:t>
            </w:r>
          </w:p>
        </w:tc>
        <w:tc>
          <w:tcPr>
            <w:tcW w:w="2835" w:type="dxa"/>
            <w:vAlign w:val="center"/>
          </w:tcPr>
          <w:p>
            <w:pPr>
              <w:pStyle w:val="24"/>
            </w:pPr>
            <w:r>
              <w:t>贴息资金的审计时间</w:t>
            </w:r>
          </w:p>
        </w:tc>
        <w:tc>
          <w:tcPr>
            <w:tcW w:w="2551" w:type="dxa"/>
            <w:vAlign w:val="center"/>
          </w:tcPr>
          <w:p>
            <w:pPr>
              <w:pStyle w:val="24"/>
            </w:pPr>
            <w:r>
              <w:t>≥66月份之前完成</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贴息资金的审计成本</w:t>
            </w:r>
          </w:p>
        </w:tc>
        <w:tc>
          <w:tcPr>
            <w:tcW w:w="2835" w:type="dxa"/>
            <w:vAlign w:val="center"/>
          </w:tcPr>
          <w:p>
            <w:pPr>
              <w:pStyle w:val="24"/>
            </w:pPr>
            <w:r>
              <w:t>贴息资金的审计成本</w:t>
            </w:r>
          </w:p>
        </w:tc>
        <w:tc>
          <w:tcPr>
            <w:tcW w:w="2551" w:type="dxa"/>
            <w:vAlign w:val="center"/>
          </w:tcPr>
          <w:p>
            <w:pPr>
              <w:pStyle w:val="24"/>
            </w:pPr>
            <w:r>
              <w:t>≥3控制在3万元以内</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审计资金使用的社会效益</w:t>
            </w:r>
          </w:p>
        </w:tc>
        <w:tc>
          <w:tcPr>
            <w:tcW w:w="2835" w:type="dxa"/>
            <w:vAlign w:val="center"/>
          </w:tcPr>
          <w:p>
            <w:pPr>
              <w:pStyle w:val="24"/>
            </w:pPr>
            <w:r>
              <w:t>审计资金使用的社会效益</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被审计企业的满意度</w:t>
            </w:r>
          </w:p>
        </w:tc>
        <w:tc>
          <w:tcPr>
            <w:tcW w:w="2835" w:type="dxa"/>
            <w:vAlign w:val="center"/>
          </w:tcPr>
          <w:p>
            <w:pPr>
              <w:pStyle w:val="24"/>
            </w:pPr>
            <w:r>
              <w:t>被审计企业的满意度</w:t>
            </w:r>
          </w:p>
        </w:tc>
        <w:tc>
          <w:tcPr>
            <w:tcW w:w="2551" w:type="dxa"/>
            <w:vAlign w:val="center"/>
          </w:tcPr>
          <w:p>
            <w:pPr>
              <w:pStyle w:val="24"/>
            </w:pPr>
            <w:r>
              <w:t>≥100百分比</w:t>
            </w:r>
          </w:p>
        </w:tc>
        <w:tc>
          <w:tcPr>
            <w:tcW w:w="2268" w:type="dxa"/>
            <w:vAlign w:val="center"/>
          </w:tcPr>
          <w:p>
            <w:pPr>
              <w:pStyle w:val="24"/>
            </w:pPr>
            <w:r>
              <w:t>有关文件</w:t>
            </w:r>
          </w:p>
        </w:tc>
      </w:tr>
    </w:tbl>
    <w:p>
      <w:pPr>
        <w:pStyle w:val="22"/>
      </w:pPr>
    </w:p>
    <w:p>
      <w:pPr>
        <w:pStyle w:val="22"/>
        <w:ind w:firstLine="560"/>
      </w:pPr>
      <w:r>
        <w:rPr>
          <w:rFonts w:ascii="方正仿宋_GBK" w:hAnsi="方正仿宋_GBK" w:eastAsia="方正仿宋_GBK" w:cs="方正仿宋_GBK"/>
          <w:b/>
          <w:color w:val="000000"/>
          <w:sz w:val="28"/>
        </w:rPr>
        <w:t>8、民营企业培训经费绩效目标表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民营企业培训次数</w:t>
            </w:r>
          </w:p>
        </w:tc>
        <w:tc>
          <w:tcPr>
            <w:tcW w:w="2835" w:type="dxa"/>
            <w:vAlign w:val="center"/>
          </w:tcPr>
          <w:p>
            <w:pPr>
              <w:pStyle w:val="24"/>
            </w:pPr>
            <w:r>
              <w:t>民营企业培训次数</w:t>
            </w:r>
          </w:p>
        </w:tc>
        <w:tc>
          <w:tcPr>
            <w:tcW w:w="2551" w:type="dxa"/>
            <w:vAlign w:val="center"/>
          </w:tcPr>
          <w:p>
            <w:pPr>
              <w:pStyle w:val="24"/>
            </w:pPr>
            <w:r>
              <w:t>≥20开展培训次数</w:t>
            </w:r>
          </w:p>
        </w:tc>
        <w:tc>
          <w:tcPr>
            <w:tcW w:w="2268" w:type="dxa"/>
            <w:vAlign w:val="center"/>
          </w:tcPr>
          <w:p>
            <w:pPr>
              <w:pStyle w:val="24"/>
            </w:pPr>
            <w: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民营企业培训质量</w:t>
            </w:r>
          </w:p>
        </w:tc>
        <w:tc>
          <w:tcPr>
            <w:tcW w:w="2835" w:type="dxa"/>
            <w:vAlign w:val="center"/>
          </w:tcPr>
          <w:p>
            <w:pPr>
              <w:pStyle w:val="24"/>
            </w:pPr>
            <w:r>
              <w:t>民营企业培训质量率</w:t>
            </w:r>
          </w:p>
        </w:tc>
        <w:tc>
          <w:tcPr>
            <w:tcW w:w="2551" w:type="dxa"/>
            <w:vAlign w:val="center"/>
          </w:tcPr>
          <w:p>
            <w:pPr>
              <w:pStyle w:val="24"/>
            </w:pPr>
            <w:r>
              <w:t>≥100百分比</w:t>
            </w:r>
          </w:p>
        </w:tc>
        <w:tc>
          <w:tcPr>
            <w:tcW w:w="2268" w:type="dxa"/>
            <w:vAlign w:val="center"/>
          </w:tcPr>
          <w:p>
            <w:pPr>
              <w:pStyle w:val="24"/>
            </w:pPr>
            <w: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培训的时间要求</w:t>
            </w:r>
          </w:p>
        </w:tc>
        <w:tc>
          <w:tcPr>
            <w:tcW w:w="2835" w:type="dxa"/>
            <w:vAlign w:val="center"/>
          </w:tcPr>
          <w:p>
            <w:pPr>
              <w:pStyle w:val="24"/>
            </w:pPr>
            <w:r>
              <w:t>培训的时间率</w:t>
            </w:r>
          </w:p>
        </w:tc>
        <w:tc>
          <w:tcPr>
            <w:tcW w:w="2551" w:type="dxa"/>
            <w:vAlign w:val="center"/>
          </w:tcPr>
          <w:p>
            <w:pPr>
              <w:pStyle w:val="24"/>
            </w:pPr>
            <w:r>
              <w:t>≥100百分比</w:t>
            </w:r>
          </w:p>
        </w:tc>
        <w:tc>
          <w:tcPr>
            <w:tcW w:w="2268" w:type="dxa"/>
            <w:vAlign w:val="center"/>
          </w:tcPr>
          <w:p>
            <w:pPr>
              <w:pStyle w:val="24"/>
            </w:pPr>
            <w: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培训费用成本</w:t>
            </w:r>
          </w:p>
        </w:tc>
        <w:tc>
          <w:tcPr>
            <w:tcW w:w="2835" w:type="dxa"/>
            <w:vAlign w:val="center"/>
          </w:tcPr>
          <w:p>
            <w:pPr>
              <w:pStyle w:val="24"/>
            </w:pPr>
            <w:r>
              <w:t>培训费用成本</w:t>
            </w:r>
          </w:p>
        </w:tc>
        <w:tc>
          <w:tcPr>
            <w:tcW w:w="2551" w:type="dxa"/>
            <w:vAlign w:val="center"/>
          </w:tcPr>
          <w:p>
            <w:pPr>
              <w:pStyle w:val="24"/>
            </w:pPr>
            <w:r>
              <w:t>≥26控制在26万元内</w:t>
            </w:r>
          </w:p>
        </w:tc>
        <w:tc>
          <w:tcPr>
            <w:tcW w:w="2268" w:type="dxa"/>
            <w:vAlign w:val="center"/>
          </w:tcPr>
          <w:p>
            <w:pPr>
              <w:pStyle w:val="24"/>
            </w:pPr>
            <w: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带来的社会效果</w:t>
            </w:r>
          </w:p>
        </w:tc>
        <w:tc>
          <w:tcPr>
            <w:tcW w:w="2835" w:type="dxa"/>
            <w:vAlign w:val="center"/>
          </w:tcPr>
          <w:p>
            <w:pPr>
              <w:pStyle w:val="24"/>
            </w:pPr>
            <w:r>
              <w:t>带来的社会效果率</w:t>
            </w:r>
          </w:p>
        </w:tc>
        <w:tc>
          <w:tcPr>
            <w:tcW w:w="2551" w:type="dxa"/>
            <w:vAlign w:val="center"/>
          </w:tcPr>
          <w:p>
            <w:pPr>
              <w:pStyle w:val="24"/>
            </w:pPr>
            <w:r>
              <w:t>≥100百分比</w:t>
            </w:r>
          </w:p>
        </w:tc>
        <w:tc>
          <w:tcPr>
            <w:tcW w:w="2268" w:type="dxa"/>
            <w:vAlign w:val="center"/>
          </w:tcPr>
          <w:p>
            <w:pPr>
              <w:pStyle w:val="24"/>
            </w:pPr>
            <w: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民营企业满意度</w:t>
            </w:r>
          </w:p>
        </w:tc>
        <w:tc>
          <w:tcPr>
            <w:tcW w:w="2835" w:type="dxa"/>
            <w:vAlign w:val="center"/>
          </w:tcPr>
          <w:p>
            <w:pPr>
              <w:pStyle w:val="24"/>
            </w:pPr>
            <w:r>
              <w:t>民营企业满意度</w:t>
            </w:r>
          </w:p>
        </w:tc>
        <w:tc>
          <w:tcPr>
            <w:tcW w:w="2551" w:type="dxa"/>
            <w:vAlign w:val="center"/>
          </w:tcPr>
          <w:p>
            <w:pPr>
              <w:pStyle w:val="24"/>
            </w:pPr>
            <w:r>
              <w:t>≥100百分比</w:t>
            </w:r>
          </w:p>
        </w:tc>
        <w:tc>
          <w:tcPr>
            <w:tcW w:w="2268" w:type="dxa"/>
            <w:vAlign w:val="center"/>
          </w:tcPr>
          <w:p>
            <w:pPr>
              <w:pStyle w:val="24"/>
            </w:pPr>
            <w:r>
              <w:t>培训计划</w:t>
            </w:r>
          </w:p>
        </w:tc>
      </w:tr>
    </w:tbl>
    <w:p>
      <w:pPr>
        <w:pStyle w:val="22"/>
      </w:pPr>
    </w:p>
    <w:p>
      <w:pPr>
        <w:pStyle w:val="22"/>
        <w:ind w:firstLine="560"/>
      </w:pPr>
      <w:r>
        <w:rPr>
          <w:rFonts w:ascii="方正仿宋_GBK" w:hAnsi="方正仿宋_GBK" w:eastAsia="方正仿宋_GBK" w:cs="方正仿宋_GBK"/>
          <w:b/>
          <w:color w:val="000000"/>
          <w:sz w:val="28"/>
        </w:rPr>
        <w:t>9、统战（宗教）经费绩效目标表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开展活动次数</w:t>
            </w:r>
          </w:p>
        </w:tc>
        <w:tc>
          <w:tcPr>
            <w:tcW w:w="2835" w:type="dxa"/>
            <w:vAlign w:val="center"/>
          </w:tcPr>
          <w:p>
            <w:pPr>
              <w:pStyle w:val="24"/>
            </w:pPr>
            <w:r>
              <w:t>开展活动次数</w:t>
            </w:r>
          </w:p>
        </w:tc>
        <w:tc>
          <w:tcPr>
            <w:tcW w:w="2551" w:type="dxa"/>
            <w:vAlign w:val="center"/>
          </w:tcPr>
          <w:p>
            <w:pPr>
              <w:pStyle w:val="24"/>
            </w:pPr>
            <w:r>
              <w:t>≥8次数</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工作开展质量</w:t>
            </w:r>
          </w:p>
        </w:tc>
        <w:tc>
          <w:tcPr>
            <w:tcW w:w="2835" w:type="dxa"/>
            <w:vAlign w:val="center"/>
          </w:tcPr>
          <w:p>
            <w:pPr>
              <w:pStyle w:val="24"/>
            </w:pPr>
            <w:r>
              <w:t>工作开展质量率</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各项工作完成时限率</w:t>
            </w:r>
          </w:p>
        </w:tc>
        <w:tc>
          <w:tcPr>
            <w:tcW w:w="2835" w:type="dxa"/>
            <w:vAlign w:val="center"/>
          </w:tcPr>
          <w:p>
            <w:pPr>
              <w:pStyle w:val="24"/>
            </w:pPr>
            <w:r>
              <w:t>各项工作完成事件率</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开展工作的成本</w:t>
            </w:r>
          </w:p>
        </w:tc>
        <w:tc>
          <w:tcPr>
            <w:tcW w:w="2835" w:type="dxa"/>
            <w:vAlign w:val="center"/>
          </w:tcPr>
          <w:p>
            <w:pPr>
              <w:pStyle w:val="24"/>
            </w:pPr>
            <w:r>
              <w:t>开展工作的成本率</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工作开展的社会效果</w:t>
            </w:r>
          </w:p>
        </w:tc>
        <w:tc>
          <w:tcPr>
            <w:tcW w:w="2835" w:type="dxa"/>
            <w:vAlign w:val="center"/>
          </w:tcPr>
          <w:p>
            <w:pPr>
              <w:pStyle w:val="24"/>
            </w:pPr>
            <w:r>
              <w:t>工作开展的社会效果率</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服务群众满意度</w:t>
            </w:r>
          </w:p>
        </w:tc>
        <w:tc>
          <w:tcPr>
            <w:tcW w:w="2835" w:type="dxa"/>
            <w:vAlign w:val="center"/>
          </w:tcPr>
          <w:p>
            <w:pPr>
              <w:pStyle w:val="24"/>
            </w:pPr>
            <w:r>
              <w:t>服务群众满意度</w:t>
            </w:r>
          </w:p>
        </w:tc>
        <w:tc>
          <w:tcPr>
            <w:tcW w:w="2551" w:type="dxa"/>
            <w:vAlign w:val="center"/>
          </w:tcPr>
          <w:p>
            <w:pPr>
              <w:pStyle w:val="24"/>
            </w:pPr>
            <w:r>
              <w:t>≥100百分比</w:t>
            </w:r>
          </w:p>
        </w:tc>
        <w:tc>
          <w:tcPr>
            <w:tcW w:w="2268" w:type="dxa"/>
            <w:vAlign w:val="center"/>
          </w:tcPr>
          <w:p>
            <w:pPr>
              <w:pStyle w:val="24"/>
            </w:pPr>
            <w:r>
              <w:t>年初工作计划</w:t>
            </w:r>
          </w:p>
        </w:tc>
      </w:tr>
    </w:tbl>
    <w:p>
      <w:pPr>
        <w:pStyle w:val="22"/>
      </w:pPr>
    </w:p>
    <w:p>
      <w:pPr>
        <w:pStyle w:val="22"/>
        <w:ind w:firstLine="560"/>
      </w:pPr>
      <w:r>
        <w:rPr>
          <w:rFonts w:ascii="方正仿宋_GBK" w:hAnsi="方正仿宋_GBK" w:eastAsia="方正仿宋_GBK" w:cs="方正仿宋_GBK"/>
          <w:b/>
          <w:color w:val="000000"/>
          <w:sz w:val="28"/>
        </w:rPr>
        <w:t>10、宗教场所可视化平台绩效目标表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宗教场所数量</w:t>
            </w:r>
          </w:p>
        </w:tc>
        <w:tc>
          <w:tcPr>
            <w:tcW w:w="2835" w:type="dxa"/>
            <w:vAlign w:val="center"/>
          </w:tcPr>
          <w:p>
            <w:pPr>
              <w:pStyle w:val="24"/>
            </w:pPr>
            <w:r>
              <w:t>宗教场所数量</w:t>
            </w:r>
          </w:p>
        </w:tc>
        <w:tc>
          <w:tcPr>
            <w:tcW w:w="2551" w:type="dxa"/>
            <w:vAlign w:val="center"/>
          </w:tcPr>
          <w:p>
            <w:pPr>
              <w:pStyle w:val="24"/>
            </w:pPr>
            <w:r>
              <w:t>≥57数量</w:t>
            </w:r>
          </w:p>
        </w:tc>
        <w:tc>
          <w:tcPr>
            <w:tcW w:w="2268" w:type="dxa"/>
            <w:vAlign w:val="center"/>
          </w:tcPr>
          <w:p>
            <w:pPr>
              <w:pStyle w:val="24"/>
            </w:pPr>
            <w:r>
              <w:t>我县宗教场所数量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安装质量标准</w:t>
            </w:r>
          </w:p>
        </w:tc>
        <w:tc>
          <w:tcPr>
            <w:tcW w:w="2835" w:type="dxa"/>
            <w:vAlign w:val="center"/>
          </w:tcPr>
          <w:p>
            <w:pPr>
              <w:pStyle w:val="24"/>
            </w:pPr>
            <w:r>
              <w:t>安装质量标准</w:t>
            </w:r>
          </w:p>
        </w:tc>
        <w:tc>
          <w:tcPr>
            <w:tcW w:w="2551" w:type="dxa"/>
            <w:vAlign w:val="center"/>
          </w:tcPr>
          <w:p>
            <w:pPr>
              <w:pStyle w:val="24"/>
            </w:pPr>
            <w:r>
              <w:t>≥100百分比</w:t>
            </w:r>
          </w:p>
        </w:tc>
        <w:tc>
          <w:tcPr>
            <w:tcW w:w="2268" w:type="dxa"/>
            <w:vAlign w:val="center"/>
          </w:tcPr>
          <w:p>
            <w:pPr>
              <w:pStyle w:val="24"/>
            </w:pPr>
            <w:r>
              <w:t>安装质量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安装时间要求</w:t>
            </w:r>
          </w:p>
        </w:tc>
        <w:tc>
          <w:tcPr>
            <w:tcW w:w="2835" w:type="dxa"/>
            <w:vAlign w:val="center"/>
          </w:tcPr>
          <w:p>
            <w:pPr>
              <w:pStyle w:val="24"/>
            </w:pPr>
            <w:r>
              <w:t>安装时间要求</w:t>
            </w:r>
          </w:p>
        </w:tc>
        <w:tc>
          <w:tcPr>
            <w:tcW w:w="2551" w:type="dxa"/>
            <w:vAlign w:val="center"/>
          </w:tcPr>
          <w:p>
            <w:pPr>
              <w:pStyle w:val="24"/>
            </w:pPr>
            <w:r>
              <w:t>≥33个月内完成</w:t>
            </w:r>
          </w:p>
        </w:tc>
        <w:tc>
          <w:tcPr>
            <w:tcW w:w="2268" w:type="dxa"/>
            <w:vAlign w:val="center"/>
          </w:tcPr>
          <w:p>
            <w:pPr>
              <w:pStyle w:val="24"/>
            </w:pPr>
            <w:r>
              <w:t>是否达到安装时间要求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可视化平台成本</w:t>
            </w:r>
          </w:p>
        </w:tc>
        <w:tc>
          <w:tcPr>
            <w:tcW w:w="2835" w:type="dxa"/>
            <w:vAlign w:val="center"/>
          </w:tcPr>
          <w:p>
            <w:pPr>
              <w:pStyle w:val="24"/>
            </w:pPr>
            <w:r>
              <w:t>可视化平台成本</w:t>
            </w:r>
          </w:p>
        </w:tc>
        <w:tc>
          <w:tcPr>
            <w:tcW w:w="2551" w:type="dxa"/>
            <w:vAlign w:val="center"/>
          </w:tcPr>
          <w:p>
            <w:pPr>
              <w:pStyle w:val="24"/>
            </w:pPr>
            <w:r>
              <w:t>≥25控制在25万以内</w:t>
            </w:r>
          </w:p>
        </w:tc>
        <w:tc>
          <w:tcPr>
            <w:tcW w:w="2268" w:type="dxa"/>
            <w:vAlign w:val="center"/>
          </w:tcPr>
          <w:p>
            <w:pPr>
              <w:pStyle w:val="24"/>
            </w:pPr>
            <w:r>
              <w:t>成本测算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带来的社会影响率</w:t>
            </w:r>
          </w:p>
        </w:tc>
        <w:tc>
          <w:tcPr>
            <w:tcW w:w="2835" w:type="dxa"/>
            <w:vAlign w:val="center"/>
          </w:tcPr>
          <w:p>
            <w:pPr>
              <w:pStyle w:val="24"/>
            </w:pPr>
            <w:r>
              <w:t>带来的社会影响率</w:t>
            </w:r>
          </w:p>
        </w:tc>
        <w:tc>
          <w:tcPr>
            <w:tcW w:w="2551" w:type="dxa"/>
            <w:vAlign w:val="center"/>
          </w:tcPr>
          <w:p>
            <w:pPr>
              <w:pStyle w:val="24"/>
            </w:pPr>
            <w:r>
              <w:t>≥80百分比</w:t>
            </w:r>
          </w:p>
        </w:tc>
        <w:tc>
          <w:tcPr>
            <w:tcW w:w="2268" w:type="dxa"/>
            <w:vAlign w:val="center"/>
          </w:tcPr>
          <w:p>
            <w:pPr>
              <w:pStyle w:val="24"/>
            </w:pPr>
            <w:r>
              <w:t>社会效果程度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信教群众的满意度</w:t>
            </w:r>
          </w:p>
        </w:tc>
        <w:tc>
          <w:tcPr>
            <w:tcW w:w="2835" w:type="dxa"/>
            <w:vAlign w:val="center"/>
          </w:tcPr>
          <w:p>
            <w:pPr>
              <w:pStyle w:val="24"/>
            </w:pPr>
            <w:r>
              <w:t>信教群众的满意度</w:t>
            </w:r>
          </w:p>
        </w:tc>
        <w:tc>
          <w:tcPr>
            <w:tcW w:w="2551" w:type="dxa"/>
            <w:vAlign w:val="center"/>
          </w:tcPr>
          <w:p>
            <w:pPr>
              <w:pStyle w:val="24"/>
            </w:pPr>
            <w:r>
              <w:t>≥100满意度</w:t>
            </w:r>
          </w:p>
        </w:tc>
        <w:tc>
          <w:tcPr>
            <w:tcW w:w="2268" w:type="dxa"/>
            <w:vAlign w:val="center"/>
          </w:tcPr>
          <w:p>
            <w:pPr>
              <w:pStyle w:val="24"/>
            </w:pPr>
            <w:r>
              <w:t>上级要求</w:t>
            </w:r>
          </w:p>
        </w:tc>
      </w:tr>
    </w:tbl>
    <w:p>
      <w:pPr>
        <w:pStyle w:val="22"/>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2022年，中国共产党隆尧县委员会统一战线工作部安排政府采购预算</w:t>
      </w:r>
      <w:r>
        <w:rPr>
          <w:rFonts w:hint="eastAsia" w:eastAsia="方正仿宋_GBK"/>
          <w:color w:val="000000"/>
          <w:sz w:val="28"/>
          <w:lang w:val="en-US" w:eastAsia="zh-CN"/>
        </w:rPr>
        <w:t>3.9</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部门政府采购预算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rPr>
                <w:rFonts w:hint="eastAsia" w:eastAsia="方正书宋_GBK"/>
                <w:lang w:eastAsia="zh-CN"/>
              </w:rPr>
            </w:pPr>
            <w:r>
              <w:rPr>
                <w:rFonts w:hint="eastAsia"/>
                <w:lang w:eastAsia="zh-CN"/>
              </w:rPr>
              <w:t>合计</w:t>
            </w:r>
          </w:p>
        </w:tc>
        <w:tc>
          <w:tcPr>
            <w:tcW w:w="964" w:type="dxa"/>
            <w:vAlign w:val="center"/>
          </w:tcPr>
          <w:p>
            <w:pPr>
              <w:pStyle w:val="8"/>
            </w:pPr>
          </w:p>
        </w:tc>
        <w:tc>
          <w:tcPr>
            <w:tcW w:w="1134" w:type="dxa"/>
          </w:tcPr>
          <w:p/>
        </w:tc>
        <w:tc>
          <w:tcPr>
            <w:tcW w:w="1134" w:type="dxa"/>
          </w:tcPr>
          <w:p/>
        </w:tc>
        <w:tc>
          <w:tcPr>
            <w:tcW w:w="709" w:type="dxa"/>
          </w:tcPr>
          <w:p/>
        </w:tc>
        <w:tc>
          <w:tcPr>
            <w:tcW w:w="850" w:type="dxa"/>
          </w:tcPr>
          <w:p/>
        </w:tc>
        <w:tc>
          <w:tcPr>
            <w:tcW w:w="850" w:type="dxa"/>
          </w:tcPr>
          <w:p/>
        </w:tc>
        <w:tc>
          <w:tcPr>
            <w:tcW w:w="964" w:type="dxa"/>
            <w:vAlign w:val="center"/>
          </w:tcPr>
          <w:p>
            <w:pPr>
              <w:pStyle w:val="8"/>
              <w:rPr>
                <w:rFonts w:hint="default" w:eastAsia="方正书宋_GBK"/>
                <w:lang w:val="en-US" w:eastAsia="zh-CN"/>
              </w:rPr>
            </w:pPr>
            <w:r>
              <w:rPr>
                <w:rFonts w:hint="eastAsia"/>
                <w:lang w:val="en-US" w:eastAsia="zh-CN"/>
              </w:rPr>
              <w:t>3.9</w:t>
            </w:r>
          </w:p>
        </w:tc>
        <w:tc>
          <w:tcPr>
            <w:tcW w:w="964" w:type="dxa"/>
            <w:vAlign w:val="center"/>
          </w:tcPr>
          <w:p>
            <w:pPr>
              <w:pStyle w:val="8"/>
              <w:rPr>
                <w:rFonts w:hint="default" w:eastAsia="方正书宋_GBK"/>
                <w:lang w:val="en-US" w:eastAsia="zh-CN"/>
              </w:rPr>
            </w:pPr>
            <w:r>
              <w:rPr>
                <w:rFonts w:hint="eastAsia"/>
                <w:lang w:val="en-US" w:eastAsia="zh-CN"/>
              </w:rPr>
              <w:t>3.9</w:t>
            </w: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default" w:eastAsia="方正书宋_GBK"/>
                <w:lang w:val="en-US" w:eastAsia="zh-CN"/>
              </w:rPr>
            </w:pPr>
            <w:r>
              <w:rPr>
                <w:rFonts w:hint="eastAsia"/>
                <w:lang w:val="en-US" w:eastAsia="zh-CN"/>
              </w:rPr>
              <w:t>预备机动资金/宗教场所“双创四进”工作经费</w:t>
            </w:r>
          </w:p>
        </w:tc>
        <w:tc>
          <w:tcPr>
            <w:tcW w:w="964" w:type="dxa"/>
            <w:vAlign w:val="center"/>
          </w:tcPr>
          <w:p>
            <w:pPr>
              <w:pStyle w:val="9"/>
              <w:rPr>
                <w:rFonts w:hint="default" w:eastAsia="方正书宋_GBK"/>
                <w:lang w:val="en-US" w:eastAsia="zh-CN"/>
              </w:rPr>
            </w:pPr>
            <w:r>
              <w:rPr>
                <w:rFonts w:hint="eastAsia"/>
                <w:lang w:val="en-US" w:eastAsia="zh-CN"/>
              </w:rPr>
              <w:t>10</w:t>
            </w:r>
          </w:p>
        </w:tc>
        <w:tc>
          <w:tcPr>
            <w:tcW w:w="1134" w:type="dxa"/>
            <w:vAlign w:val="center"/>
          </w:tcPr>
          <w:p>
            <w:pPr>
              <w:pStyle w:val="10"/>
              <w:rPr>
                <w:rFonts w:hint="eastAsia" w:eastAsia="方正书宋_GBK"/>
                <w:lang w:eastAsia="zh-CN"/>
              </w:rPr>
            </w:pPr>
            <w:r>
              <w:rPr>
                <w:rFonts w:hint="eastAsia"/>
                <w:lang w:eastAsia="zh-CN"/>
              </w:rPr>
              <w:t>打印机</w:t>
            </w:r>
          </w:p>
        </w:tc>
        <w:tc>
          <w:tcPr>
            <w:tcW w:w="1134" w:type="dxa"/>
            <w:vAlign w:val="center"/>
          </w:tcPr>
          <w:p>
            <w:pPr>
              <w:pStyle w:val="10"/>
              <w:rPr>
                <w:rFonts w:hint="default" w:eastAsia="方正书宋_GBK"/>
                <w:lang w:val="en-US" w:eastAsia="zh-CN"/>
              </w:rPr>
            </w:pPr>
            <w:r>
              <w:rPr>
                <w:rFonts w:hint="eastAsia"/>
                <w:lang w:val="en-US" w:eastAsia="zh-CN"/>
              </w:rPr>
              <w:t>A02020400</w:t>
            </w:r>
          </w:p>
        </w:tc>
        <w:tc>
          <w:tcPr>
            <w:tcW w:w="709" w:type="dxa"/>
            <w:vAlign w:val="center"/>
          </w:tcPr>
          <w:p>
            <w:pPr>
              <w:pStyle w:val="11"/>
              <w:rPr>
                <w:rFonts w:hint="eastAsia" w:eastAsia="方正书宋_GBK"/>
                <w:lang w:eastAsia="zh-CN"/>
              </w:rPr>
            </w:pPr>
            <w:r>
              <w:rPr>
                <w:rFonts w:hint="eastAsia"/>
                <w:lang w:eastAsia="zh-CN"/>
              </w:rPr>
              <w:t>台</w:t>
            </w:r>
          </w:p>
        </w:tc>
        <w:tc>
          <w:tcPr>
            <w:tcW w:w="850" w:type="dxa"/>
            <w:vAlign w:val="center"/>
          </w:tcPr>
          <w:p>
            <w:pPr>
              <w:pStyle w:val="9"/>
              <w:rPr>
                <w:rFonts w:hint="default" w:eastAsia="方正书宋_GBK"/>
                <w:lang w:val="en-US" w:eastAsia="zh-CN"/>
              </w:rPr>
            </w:pPr>
            <w:r>
              <w:rPr>
                <w:rFonts w:hint="eastAsia"/>
                <w:lang w:val="en-US" w:eastAsia="zh-CN"/>
              </w:rPr>
              <w:t>2</w:t>
            </w:r>
          </w:p>
        </w:tc>
        <w:tc>
          <w:tcPr>
            <w:tcW w:w="850" w:type="dxa"/>
            <w:vAlign w:val="center"/>
          </w:tcPr>
          <w:p>
            <w:pPr>
              <w:pStyle w:val="9"/>
              <w:rPr>
                <w:rFonts w:hint="default" w:eastAsia="方正书宋_GBK"/>
                <w:lang w:val="en-US" w:eastAsia="zh-CN"/>
              </w:rPr>
            </w:pPr>
            <w:r>
              <w:rPr>
                <w:rFonts w:hint="eastAsia"/>
                <w:lang w:val="en-US" w:eastAsia="zh-CN"/>
              </w:rPr>
              <w:t>0.2</w:t>
            </w:r>
          </w:p>
        </w:tc>
        <w:tc>
          <w:tcPr>
            <w:tcW w:w="964" w:type="dxa"/>
            <w:vAlign w:val="center"/>
          </w:tcPr>
          <w:p>
            <w:pPr>
              <w:pStyle w:val="9"/>
              <w:rPr>
                <w:rFonts w:hint="default" w:eastAsia="方正书宋_GBK"/>
                <w:lang w:val="en-US" w:eastAsia="zh-CN"/>
              </w:rPr>
            </w:pPr>
            <w:r>
              <w:rPr>
                <w:rFonts w:hint="eastAsia"/>
                <w:lang w:val="en-US" w:eastAsia="zh-CN"/>
              </w:rPr>
              <w:t>0.4</w:t>
            </w:r>
          </w:p>
        </w:tc>
        <w:tc>
          <w:tcPr>
            <w:tcW w:w="964" w:type="dxa"/>
            <w:vAlign w:val="center"/>
          </w:tcPr>
          <w:p>
            <w:pPr>
              <w:pStyle w:val="9"/>
              <w:rPr>
                <w:rFonts w:hint="eastAsia" w:eastAsia="方正书宋_GBK"/>
                <w:lang w:eastAsia="zh-CN"/>
              </w:rPr>
            </w:pPr>
            <w:r>
              <w:rPr>
                <w:rFonts w:hint="eastAsia"/>
                <w:lang w:val="en-US" w:eastAsia="zh-CN"/>
              </w:rPr>
              <w:t>0.4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val="en-US" w:eastAsia="zh-CN"/>
              </w:rPr>
            </w:pPr>
            <w:r>
              <w:rPr>
                <w:rFonts w:hint="eastAsia"/>
                <w:lang w:val="en-US" w:eastAsia="zh-CN"/>
              </w:rPr>
              <w:t>预备机动资金/宗教场所“双创四进”工作经费</w:t>
            </w:r>
          </w:p>
        </w:tc>
        <w:tc>
          <w:tcPr>
            <w:tcW w:w="964" w:type="dxa"/>
            <w:vAlign w:val="center"/>
          </w:tcPr>
          <w:p>
            <w:pPr>
              <w:pStyle w:val="9"/>
              <w:rPr>
                <w:rFonts w:hint="eastAsia"/>
                <w:lang w:val="en-US" w:eastAsia="zh-CN"/>
              </w:rPr>
            </w:pPr>
            <w:r>
              <w:rPr>
                <w:rFonts w:hint="eastAsia"/>
                <w:lang w:val="en-US" w:eastAsia="zh-CN"/>
              </w:rPr>
              <w:t>10</w:t>
            </w:r>
          </w:p>
        </w:tc>
        <w:tc>
          <w:tcPr>
            <w:tcW w:w="1134" w:type="dxa"/>
            <w:vAlign w:val="center"/>
          </w:tcPr>
          <w:p>
            <w:pPr>
              <w:pStyle w:val="10"/>
              <w:rPr>
                <w:rFonts w:hint="eastAsia" w:eastAsia="方正书宋_GBK"/>
                <w:lang w:eastAsia="zh-CN"/>
              </w:rPr>
            </w:pPr>
            <w:r>
              <w:t>台式计算机</w:t>
            </w:r>
          </w:p>
        </w:tc>
        <w:tc>
          <w:tcPr>
            <w:tcW w:w="1134" w:type="dxa"/>
            <w:vAlign w:val="center"/>
          </w:tcPr>
          <w:p>
            <w:pPr>
              <w:pStyle w:val="10"/>
              <w:rPr>
                <w:rFonts w:hint="default" w:eastAsia="方正书宋_GBK"/>
                <w:lang w:val="en-US" w:eastAsia="zh-CN"/>
              </w:rPr>
            </w:pPr>
            <w:r>
              <w:t>A02010105</w:t>
            </w:r>
          </w:p>
        </w:tc>
        <w:tc>
          <w:tcPr>
            <w:tcW w:w="709" w:type="dxa"/>
            <w:vAlign w:val="center"/>
          </w:tcPr>
          <w:p>
            <w:pPr>
              <w:pStyle w:val="11"/>
              <w:rPr>
                <w:rFonts w:hint="eastAsia" w:eastAsia="方正书宋_GBK"/>
                <w:lang w:eastAsia="zh-CN"/>
              </w:rPr>
            </w:pPr>
            <w:r>
              <w:rPr>
                <w:rFonts w:hint="eastAsia"/>
                <w:lang w:eastAsia="zh-CN"/>
              </w:rPr>
              <w:t>台</w:t>
            </w:r>
          </w:p>
        </w:tc>
        <w:tc>
          <w:tcPr>
            <w:tcW w:w="850" w:type="dxa"/>
            <w:vAlign w:val="center"/>
          </w:tcPr>
          <w:p>
            <w:pPr>
              <w:pStyle w:val="9"/>
              <w:rPr>
                <w:rFonts w:hint="default" w:eastAsia="方正书宋_GBK"/>
                <w:lang w:val="en-US" w:eastAsia="zh-CN"/>
              </w:rPr>
            </w:pPr>
            <w:r>
              <w:rPr>
                <w:rFonts w:hint="eastAsia"/>
                <w:lang w:val="en-US" w:eastAsia="zh-CN"/>
              </w:rPr>
              <w:t>2</w:t>
            </w:r>
          </w:p>
        </w:tc>
        <w:tc>
          <w:tcPr>
            <w:tcW w:w="850" w:type="dxa"/>
            <w:vAlign w:val="center"/>
          </w:tcPr>
          <w:p>
            <w:pPr>
              <w:pStyle w:val="9"/>
              <w:rPr>
                <w:rFonts w:hint="default" w:eastAsia="方正书宋_GBK"/>
                <w:lang w:val="en-US" w:eastAsia="zh-CN"/>
              </w:rPr>
            </w:pPr>
            <w:r>
              <w:rPr>
                <w:rFonts w:hint="eastAsia"/>
                <w:lang w:val="en-US" w:eastAsia="zh-CN"/>
              </w:rPr>
              <w:t>0.5</w:t>
            </w:r>
          </w:p>
        </w:tc>
        <w:tc>
          <w:tcPr>
            <w:tcW w:w="964" w:type="dxa"/>
            <w:vAlign w:val="center"/>
          </w:tcPr>
          <w:p>
            <w:pPr>
              <w:pStyle w:val="9"/>
              <w:rPr>
                <w:rFonts w:hint="default" w:eastAsia="方正书宋_GBK"/>
                <w:lang w:val="en-US" w:eastAsia="zh-CN"/>
              </w:rPr>
            </w:pPr>
            <w:r>
              <w:rPr>
                <w:rFonts w:hint="eastAsia"/>
                <w:lang w:val="en-US" w:eastAsia="zh-CN"/>
              </w:rPr>
              <w:t>1</w:t>
            </w:r>
          </w:p>
        </w:tc>
        <w:tc>
          <w:tcPr>
            <w:tcW w:w="964" w:type="dxa"/>
            <w:vAlign w:val="center"/>
          </w:tcPr>
          <w:p>
            <w:pPr>
              <w:pStyle w:val="9"/>
              <w:rPr>
                <w:rFonts w:hint="eastAsia" w:eastAsia="方正书宋_GBK"/>
                <w:lang w:eastAsia="zh-CN"/>
              </w:rPr>
            </w:pPr>
            <w:r>
              <w:rPr>
                <w:rFonts w:hint="eastAsia"/>
                <w:lang w:val="en-US" w:eastAsia="zh-CN"/>
              </w:rPr>
              <w:t>1</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default"/>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笔记本电脑</w:t>
            </w:r>
          </w:p>
        </w:tc>
        <w:tc>
          <w:tcPr>
            <w:tcW w:w="1134" w:type="dxa"/>
            <w:vAlign w:val="center"/>
          </w:tcPr>
          <w:p>
            <w:pPr>
              <w:pStyle w:val="10"/>
              <w:rPr>
                <w:rFonts w:hint="default"/>
                <w:lang w:val="en-US" w:eastAsia="zh-CN"/>
              </w:rPr>
            </w:pPr>
            <w:r>
              <w:rPr>
                <w:rFonts w:hint="eastAsia"/>
                <w:lang w:val="en-US" w:eastAsia="zh-CN"/>
              </w:rPr>
              <w:t>A02010108</w:t>
            </w:r>
          </w:p>
        </w:tc>
        <w:tc>
          <w:tcPr>
            <w:tcW w:w="709" w:type="dxa"/>
            <w:vAlign w:val="center"/>
          </w:tcPr>
          <w:p>
            <w:pPr>
              <w:pStyle w:val="11"/>
              <w:rPr>
                <w:rFonts w:hint="eastAsia"/>
                <w:lang w:eastAsia="zh-CN"/>
              </w:rPr>
            </w:pPr>
            <w:r>
              <w:rPr>
                <w:rFonts w:hint="eastAsia"/>
                <w:lang w:eastAsia="zh-CN"/>
              </w:rPr>
              <w:t>台</w:t>
            </w:r>
          </w:p>
        </w:tc>
        <w:tc>
          <w:tcPr>
            <w:tcW w:w="850" w:type="dxa"/>
            <w:vAlign w:val="center"/>
          </w:tcPr>
          <w:p>
            <w:pPr>
              <w:pStyle w:val="9"/>
              <w:rPr>
                <w:rFonts w:hint="default"/>
                <w:lang w:val="en-US" w:eastAsia="zh-CN"/>
              </w:rPr>
            </w:pPr>
            <w:r>
              <w:rPr>
                <w:rFonts w:hint="eastAsia"/>
                <w:lang w:val="en-US" w:eastAsia="zh-CN"/>
              </w:rPr>
              <w:t>2</w:t>
            </w:r>
          </w:p>
        </w:tc>
        <w:tc>
          <w:tcPr>
            <w:tcW w:w="850" w:type="dxa"/>
            <w:vAlign w:val="center"/>
          </w:tcPr>
          <w:p>
            <w:pPr>
              <w:pStyle w:val="9"/>
              <w:rPr>
                <w:rFonts w:hint="default"/>
                <w:lang w:val="en-US" w:eastAsia="zh-CN"/>
              </w:rPr>
            </w:pPr>
            <w:r>
              <w:rPr>
                <w:rFonts w:hint="eastAsia"/>
                <w:lang w:val="en-US" w:eastAsia="zh-CN"/>
              </w:rPr>
              <w:t>0.6</w:t>
            </w:r>
          </w:p>
        </w:tc>
        <w:tc>
          <w:tcPr>
            <w:tcW w:w="964" w:type="dxa"/>
            <w:vAlign w:val="center"/>
          </w:tcPr>
          <w:p>
            <w:pPr>
              <w:pStyle w:val="9"/>
              <w:rPr>
                <w:rFonts w:hint="default" w:eastAsia="方正书宋_GBK"/>
                <w:lang w:val="en-US" w:eastAsia="zh-CN"/>
              </w:rPr>
            </w:pPr>
            <w:r>
              <w:rPr>
                <w:rFonts w:hint="eastAsia"/>
                <w:lang w:val="en-US" w:eastAsia="zh-CN"/>
              </w:rPr>
              <w:t>1.2</w:t>
            </w:r>
          </w:p>
        </w:tc>
        <w:tc>
          <w:tcPr>
            <w:tcW w:w="964" w:type="dxa"/>
            <w:vAlign w:val="center"/>
          </w:tcPr>
          <w:p>
            <w:pPr>
              <w:pStyle w:val="9"/>
              <w:rPr>
                <w:rFonts w:hint="default" w:eastAsia="方正书宋_GBK"/>
                <w:lang w:val="en-US" w:eastAsia="zh-CN"/>
              </w:rPr>
            </w:pPr>
            <w:r>
              <w:rPr>
                <w:rFonts w:hint="eastAsia"/>
                <w:lang w:val="en-US" w:eastAsia="zh-CN"/>
              </w:rPr>
              <w:t>1.2</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90" w:hRule="atLeas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办公桌</w:t>
            </w:r>
          </w:p>
        </w:tc>
        <w:tc>
          <w:tcPr>
            <w:tcW w:w="1134" w:type="dxa"/>
            <w:vAlign w:val="center"/>
          </w:tcPr>
          <w:p>
            <w:pPr>
              <w:pStyle w:val="10"/>
              <w:rPr>
                <w:rFonts w:hint="default" w:eastAsia="方正书宋_GBK"/>
                <w:lang w:val="en-US" w:eastAsia="zh-CN"/>
              </w:rPr>
            </w:pPr>
            <w:r>
              <w:rPr>
                <w:rFonts w:hint="eastAsia"/>
                <w:lang w:val="en-US" w:eastAsia="zh-CN"/>
              </w:rPr>
              <w:t>A05010201</w:t>
            </w:r>
          </w:p>
        </w:tc>
        <w:tc>
          <w:tcPr>
            <w:tcW w:w="709" w:type="dxa"/>
            <w:vAlign w:val="center"/>
          </w:tcPr>
          <w:p>
            <w:pPr>
              <w:pStyle w:val="11"/>
              <w:rPr>
                <w:rFonts w:hint="eastAsia" w:eastAsia="方正书宋_GBK"/>
                <w:lang w:eastAsia="zh-CN"/>
              </w:rPr>
            </w:pPr>
            <w:r>
              <w:rPr>
                <w:rFonts w:hint="eastAsia"/>
                <w:lang w:eastAsia="zh-CN"/>
              </w:rPr>
              <w:t>张</w:t>
            </w:r>
          </w:p>
        </w:tc>
        <w:tc>
          <w:tcPr>
            <w:tcW w:w="850" w:type="dxa"/>
            <w:vAlign w:val="center"/>
          </w:tcPr>
          <w:p>
            <w:pPr>
              <w:pStyle w:val="9"/>
              <w:rPr>
                <w:rFonts w:hint="default" w:eastAsia="方正书宋_GBK"/>
                <w:lang w:val="en-US" w:eastAsia="zh-CN"/>
              </w:rPr>
            </w:pPr>
            <w:r>
              <w:rPr>
                <w:rFonts w:hint="eastAsia"/>
                <w:lang w:val="en-US" w:eastAsia="zh-CN"/>
              </w:rPr>
              <w:t>1</w:t>
            </w:r>
          </w:p>
        </w:tc>
        <w:tc>
          <w:tcPr>
            <w:tcW w:w="850" w:type="dxa"/>
            <w:vAlign w:val="center"/>
          </w:tcPr>
          <w:p>
            <w:pPr>
              <w:pStyle w:val="9"/>
              <w:rPr>
                <w:rFonts w:hint="default" w:eastAsia="方正书宋_GBK"/>
                <w:lang w:val="en-US" w:eastAsia="zh-CN"/>
              </w:rPr>
            </w:pPr>
            <w:r>
              <w:rPr>
                <w:rFonts w:hint="eastAsia"/>
                <w:lang w:val="en-US" w:eastAsia="zh-CN"/>
              </w:rPr>
              <w:t>0.21</w:t>
            </w:r>
          </w:p>
        </w:tc>
        <w:tc>
          <w:tcPr>
            <w:tcW w:w="964" w:type="dxa"/>
            <w:vAlign w:val="center"/>
          </w:tcPr>
          <w:p>
            <w:pPr>
              <w:pStyle w:val="9"/>
              <w:rPr>
                <w:rFonts w:hint="default" w:eastAsia="方正书宋_GBK"/>
                <w:lang w:val="en-US" w:eastAsia="zh-CN"/>
              </w:rPr>
            </w:pPr>
            <w:r>
              <w:rPr>
                <w:rFonts w:hint="eastAsia"/>
                <w:lang w:val="en-US" w:eastAsia="zh-CN"/>
              </w:rPr>
              <w:t>0.21</w:t>
            </w:r>
          </w:p>
        </w:tc>
        <w:tc>
          <w:tcPr>
            <w:tcW w:w="964" w:type="dxa"/>
            <w:vAlign w:val="center"/>
          </w:tcPr>
          <w:p>
            <w:pPr>
              <w:pStyle w:val="9"/>
              <w:rPr>
                <w:rFonts w:hint="eastAsia" w:eastAsia="方正书宋_GBK"/>
                <w:lang w:eastAsia="zh-CN"/>
              </w:rPr>
            </w:pPr>
            <w:r>
              <w:rPr>
                <w:rFonts w:hint="eastAsia"/>
                <w:lang w:val="en-US" w:eastAsia="zh-CN"/>
              </w:rPr>
              <w:t>0.21</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会议椅</w:t>
            </w:r>
          </w:p>
        </w:tc>
        <w:tc>
          <w:tcPr>
            <w:tcW w:w="1134" w:type="dxa"/>
            <w:vAlign w:val="center"/>
          </w:tcPr>
          <w:p>
            <w:pPr>
              <w:pStyle w:val="10"/>
              <w:rPr>
                <w:rFonts w:hint="default"/>
                <w:lang w:val="en-US" w:eastAsia="zh-CN"/>
              </w:rPr>
            </w:pPr>
            <w:r>
              <w:rPr>
                <w:rFonts w:hint="eastAsia"/>
                <w:lang w:val="en-US" w:eastAsia="zh-CN"/>
              </w:rPr>
              <w:t>A05010303</w:t>
            </w:r>
          </w:p>
        </w:tc>
        <w:tc>
          <w:tcPr>
            <w:tcW w:w="709" w:type="dxa"/>
            <w:vAlign w:val="center"/>
          </w:tcPr>
          <w:p>
            <w:pPr>
              <w:pStyle w:val="11"/>
              <w:rPr>
                <w:rFonts w:hint="eastAsia"/>
                <w:lang w:eastAsia="zh-CN"/>
              </w:rPr>
            </w:pPr>
            <w:r>
              <w:rPr>
                <w:rFonts w:hint="eastAsia"/>
                <w:lang w:eastAsia="zh-CN"/>
              </w:rPr>
              <w:t>把</w:t>
            </w:r>
          </w:p>
        </w:tc>
        <w:tc>
          <w:tcPr>
            <w:tcW w:w="850" w:type="dxa"/>
            <w:vAlign w:val="center"/>
          </w:tcPr>
          <w:p>
            <w:pPr>
              <w:pStyle w:val="9"/>
              <w:rPr>
                <w:rFonts w:hint="default"/>
                <w:lang w:val="en-US" w:eastAsia="zh-CN"/>
              </w:rPr>
            </w:pPr>
            <w:r>
              <w:rPr>
                <w:rFonts w:hint="eastAsia"/>
                <w:lang w:val="en-US" w:eastAsia="zh-CN"/>
              </w:rPr>
              <w:t>12</w:t>
            </w:r>
          </w:p>
        </w:tc>
        <w:tc>
          <w:tcPr>
            <w:tcW w:w="850" w:type="dxa"/>
            <w:vAlign w:val="center"/>
          </w:tcPr>
          <w:p>
            <w:pPr>
              <w:pStyle w:val="9"/>
              <w:rPr>
                <w:rFonts w:hint="default"/>
                <w:lang w:val="en-US" w:eastAsia="zh-CN"/>
              </w:rPr>
            </w:pPr>
            <w:r>
              <w:rPr>
                <w:rFonts w:hint="eastAsia"/>
                <w:lang w:val="en-US" w:eastAsia="zh-CN"/>
              </w:rPr>
              <w:t>0.018</w:t>
            </w:r>
          </w:p>
        </w:tc>
        <w:tc>
          <w:tcPr>
            <w:tcW w:w="964" w:type="dxa"/>
            <w:vAlign w:val="center"/>
          </w:tcPr>
          <w:p>
            <w:pPr>
              <w:pStyle w:val="9"/>
              <w:rPr>
                <w:rFonts w:hint="default" w:eastAsia="方正书宋_GBK"/>
                <w:lang w:val="en-US" w:eastAsia="zh-CN"/>
              </w:rPr>
            </w:pPr>
            <w:r>
              <w:rPr>
                <w:rFonts w:hint="eastAsia"/>
                <w:lang w:val="en-US" w:eastAsia="zh-CN"/>
              </w:rPr>
              <w:t>0.216</w:t>
            </w:r>
          </w:p>
        </w:tc>
        <w:tc>
          <w:tcPr>
            <w:tcW w:w="964" w:type="dxa"/>
            <w:vAlign w:val="center"/>
          </w:tcPr>
          <w:p>
            <w:pPr>
              <w:pStyle w:val="9"/>
              <w:rPr>
                <w:rFonts w:hint="eastAsia" w:eastAsia="方正书宋_GBK"/>
                <w:lang w:eastAsia="zh-CN"/>
              </w:rPr>
            </w:pPr>
            <w:r>
              <w:rPr>
                <w:rFonts w:hint="eastAsia"/>
                <w:lang w:val="en-US" w:eastAsia="zh-CN"/>
              </w:rPr>
              <w:t>0.216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办公椅</w:t>
            </w:r>
          </w:p>
        </w:tc>
        <w:tc>
          <w:tcPr>
            <w:tcW w:w="1134" w:type="dxa"/>
            <w:vAlign w:val="center"/>
          </w:tcPr>
          <w:p>
            <w:pPr>
              <w:pStyle w:val="10"/>
              <w:rPr>
                <w:rFonts w:hint="default"/>
                <w:lang w:val="en-US" w:eastAsia="zh-CN"/>
              </w:rPr>
            </w:pPr>
            <w:r>
              <w:rPr>
                <w:rFonts w:hint="eastAsia"/>
                <w:lang w:val="en-US" w:eastAsia="zh-CN"/>
              </w:rPr>
              <w:t>A05010301</w:t>
            </w:r>
          </w:p>
        </w:tc>
        <w:tc>
          <w:tcPr>
            <w:tcW w:w="709" w:type="dxa"/>
            <w:vAlign w:val="center"/>
          </w:tcPr>
          <w:p>
            <w:pPr>
              <w:pStyle w:val="11"/>
              <w:rPr>
                <w:rFonts w:hint="default"/>
                <w:lang w:val="en-US" w:eastAsia="zh-CN"/>
              </w:rPr>
            </w:pPr>
            <w:r>
              <w:rPr>
                <w:rFonts w:hint="eastAsia"/>
                <w:lang w:val="en-US" w:eastAsia="zh-CN"/>
              </w:rPr>
              <w:t>把</w:t>
            </w:r>
          </w:p>
        </w:tc>
        <w:tc>
          <w:tcPr>
            <w:tcW w:w="850" w:type="dxa"/>
            <w:vAlign w:val="center"/>
          </w:tcPr>
          <w:p>
            <w:pPr>
              <w:pStyle w:val="9"/>
              <w:rPr>
                <w:rFonts w:hint="default"/>
                <w:lang w:val="en-US" w:eastAsia="zh-CN"/>
              </w:rPr>
            </w:pPr>
            <w:r>
              <w:rPr>
                <w:rFonts w:hint="eastAsia"/>
                <w:lang w:val="en-US" w:eastAsia="zh-CN"/>
              </w:rPr>
              <w:t>3</w:t>
            </w:r>
          </w:p>
        </w:tc>
        <w:tc>
          <w:tcPr>
            <w:tcW w:w="850" w:type="dxa"/>
            <w:vAlign w:val="center"/>
          </w:tcPr>
          <w:p>
            <w:pPr>
              <w:pStyle w:val="9"/>
              <w:rPr>
                <w:rFonts w:hint="default"/>
                <w:lang w:val="en-US" w:eastAsia="zh-CN"/>
              </w:rPr>
            </w:pPr>
            <w:r>
              <w:rPr>
                <w:rFonts w:hint="eastAsia"/>
                <w:lang w:val="en-US" w:eastAsia="zh-CN"/>
              </w:rPr>
              <w:t>0.036</w:t>
            </w:r>
          </w:p>
        </w:tc>
        <w:tc>
          <w:tcPr>
            <w:tcW w:w="964" w:type="dxa"/>
            <w:vAlign w:val="center"/>
          </w:tcPr>
          <w:p>
            <w:pPr>
              <w:pStyle w:val="9"/>
              <w:rPr>
                <w:rFonts w:hint="default" w:eastAsia="方正书宋_GBK"/>
                <w:lang w:val="en-US" w:eastAsia="zh-CN"/>
              </w:rPr>
            </w:pPr>
            <w:r>
              <w:rPr>
                <w:rFonts w:hint="eastAsia"/>
                <w:lang w:val="en-US" w:eastAsia="zh-CN"/>
              </w:rPr>
              <w:t>0.108</w:t>
            </w:r>
          </w:p>
        </w:tc>
        <w:tc>
          <w:tcPr>
            <w:tcW w:w="964" w:type="dxa"/>
            <w:vAlign w:val="center"/>
          </w:tcPr>
          <w:p>
            <w:pPr>
              <w:pStyle w:val="9"/>
              <w:rPr>
                <w:rFonts w:hint="eastAsia" w:eastAsia="方正书宋_GBK"/>
                <w:lang w:eastAsia="zh-CN"/>
              </w:rPr>
            </w:pPr>
            <w:r>
              <w:rPr>
                <w:rFonts w:hint="eastAsia"/>
                <w:lang w:val="en-US" w:eastAsia="zh-CN"/>
              </w:rPr>
              <w:t>0.108</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书柜</w:t>
            </w:r>
          </w:p>
        </w:tc>
        <w:tc>
          <w:tcPr>
            <w:tcW w:w="1134" w:type="dxa"/>
            <w:vAlign w:val="center"/>
          </w:tcPr>
          <w:p>
            <w:pPr>
              <w:pStyle w:val="10"/>
              <w:rPr>
                <w:rFonts w:hint="default" w:eastAsia="方正书宋_GBK"/>
                <w:lang w:val="en-US" w:eastAsia="zh-CN"/>
              </w:rPr>
            </w:pPr>
            <w:r>
              <w:rPr>
                <w:rFonts w:hint="eastAsia"/>
                <w:lang w:val="en-US" w:eastAsia="zh-CN"/>
              </w:rPr>
              <w:t>A05010501</w:t>
            </w:r>
          </w:p>
        </w:tc>
        <w:tc>
          <w:tcPr>
            <w:tcW w:w="709" w:type="dxa"/>
            <w:vAlign w:val="center"/>
          </w:tcPr>
          <w:p>
            <w:pPr>
              <w:pStyle w:val="11"/>
              <w:rPr>
                <w:rFonts w:hint="eastAsia" w:eastAsia="方正书宋_GBK"/>
                <w:lang w:eastAsia="zh-CN"/>
              </w:rPr>
            </w:pPr>
            <w:r>
              <w:rPr>
                <w:rFonts w:hint="eastAsia"/>
                <w:lang w:eastAsia="zh-CN"/>
              </w:rPr>
              <w:t>张</w:t>
            </w:r>
          </w:p>
        </w:tc>
        <w:tc>
          <w:tcPr>
            <w:tcW w:w="850" w:type="dxa"/>
            <w:vAlign w:val="center"/>
          </w:tcPr>
          <w:p>
            <w:pPr>
              <w:pStyle w:val="9"/>
              <w:rPr>
                <w:rFonts w:hint="default" w:eastAsia="方正书宋_GBK"/>
                <w:lang w:val="en-US" w:eastAsia="zh-CN"/>
              </w:rPr>
            </w:pPr>
            <w:r>
              <w:rPr>
                <w:rFonts w:hint="eastAsia"/>
                <w:lang w:val="en-US" w:eastAsia="zh-CN"/>
              </w:rPr>
              <w:t>1</w:t>
            </w:r>
          </w:p>
        </w:tc>
        <w:tc>
          <w:tcPr>
            <w:tcW w:w="850" w:type="dxa"/>
            <w:vAlign w:val="center"/>
          </w:tcPr>
          <w:p>
            <w:pPr>
              <w:pStyle w:val="9"/>
              <w:rPr>
                <w:rFonts w:hint="default" w:eastAsia="方正书宋_GBK"/>
                <w:lang w:val="en-US" w:eastAsia="zh-CN"/>
              </w:rPr>
            </w:pPr>
            <w:r>
              <w:rPr>
                <w:rFonts w:hint="eastAsia"/>
                <w:lang w:val="en-US" w:eastAsia="zh-CN"/>
              </w:rPr>
              <w:t>0.23</w:t>
            </w:r>
          </w:p>
        </w:tc>
        <w:tc>
          <w:tcPr>
            <w:tcW w:w="964" w:type="dxa"/>
            <w:vAlign w:val="center"/>
          </w:tcPr>
          <w:p>
            <w:pPr>
              <w:pStyle w:val="9"/>
              <w:rPr>
                <w:rFonts w:hint="default" w:eastAsia="方正书宋_GBK"/>
                <w:lang w:val="en-US" w:eastAsia="zh-CN"/>
              </w:rPr>
            </w:pPr>
            <w:r>
              <w:rPr>
                <w:rFonts w:hint="eastAsia"/>
                <w:lang w:val="en-US" w:eastAsia="zh-CN"/>
              </w:rPr>
              <w:t>0.23</w:t>
            </w:r>
          </w:p>
        </w:tc>
        <w:tc>
          <w:tcPr>
            <w:tcW w:w="964" w:type="dxa"/>
            <w:vAlign w:val="center"/>
          </w:tcPr>
          <w:p>
            <w:pPr>
              <w:pStyle w:val="9"/>
              <w:rPr>
                <w:rFonts w:hint="eastAsia" w:eastAsia="方正书宋_GBK"/>
                <w:lang w:eastAsia="zh-CN"/>
              </w:rPr>
            </w:pPr>
            <w:r>
              <w:rPr>
                <w:rFonts w:hint="eastAsia"/>
                <w:lang w:val="en-US" w:eastAsia="zh-CN"/>
              </w:rPr>
              <w:t>0.23</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床</w:t>
            </w:r>
          </w:p>
        </w:tc>
        <w:tc>
          <w:tcPr>
            <w:tcW w:w="1134" w:type="dxa"/>
            <w:vAlign w:val="center"/>
          </w:tcPr>
          <w:p>
            <w:pPr>
              <w:pStyle w:val="10"/>
              <w:rPr>
                <w:rFonts w:hint="default"/>
                <w:lang w:val="en-US" w:eastAsia="zh-CN"/>
              </w:rPr>
            </w:pPr>
            <w:r>
              <w:rPr>
                <w:rFonts w:hint="eastAsia"/>
                <w:lang w:val="en-US" w:eastAsia="zh-CN"/>
              </w:rPr>
              <w:t>A05010104</w:t>
            </w:r>
          </w:p>
        </w:tc>
        <w:tc>
          <w:tcPr>
            <w:tcW w:w="709" w:type="dxa"/>
            <w:vAlign w:val="center"/>
          </w:tcPr>
          <w:p>
            <w:pPr>
              <w:pStyle w:val="11"/>
              <w:rPr>
                <w:rFonts w:hint="eastAsia"/>
                <w:lang w:eastAsia="zh-CN"/>
              </w:rPr>
            </w:pPr>
            <w:r>
              <w:rPr>
                <w:rFonts w:hint="eastAsia"/>
                <w:lang w:eastAsia="zh-CN"/>
              </w:rPr>
              <w:t>张</w:t>
            </w:r>
          </w:p>
        </w:tc>
        <w:tc>
          <w:tcPr>
            <w:tcW w:w="850" w:type="dxa"/>
            <w:vAlign w:val="center"/>
          </w:tcPr>
          <w:p>
            <w:pPr>
              <w:pStyle w:val="9"/>
              <w:rPr>
                <w:rFonts w:hint="default"/>
                <w:lang w:val="en-US" w:eastAsia="zh-CN"/>
              </w:rPr>
            </w:pPr>
            <w:r>
              <w:rPr>
                <w:rFonts w:hint="eastAsia"/>
                <w:lang w:val="en-US" w:eastAsia="zh-CN"/>
              </w:rPr>
              <w:t>1</w:t>
            </w:r>
          </w:p>
        </w:tc>
        <w:tc>
          <w:tcPr>
            <w:tcW w:w="850" w:type="dxa"/>
            <w:vAlign w:val="center"/>
          </w:tcPr>
          <w:p>
            <w:pPr>
              <w:pStyle w:val="9"/>
              <w:rPr>
                <w:rFonts w:hint="default"/>
                <w:lang w:val="en-US" w:eastAsia="zh-CN"/>
              </w:rPr>
            </w:pPr>
            <w:r>
              <w:rPr>
                <w:rFonts w:hint="eastAsia"/>
                <w:lang w:val="en-US" w:eastAsia="zh-CN"/>
              </w:rPr>
              <w:t>0.06</w:t>
            </w:r>
          </w:p>
        </w:tc>
        <w:tc>
          <w:tcPr>
            <w:tcW w:w="964" w:type="dxa"/>
            <w:vAlign w:val="center"/>
          </w:tcPr>
          <w:p>
            <w:pPr>
              <w:pStyle w:val="9"/>
              <w:rPr>
                <w:rFonts w:hint="default"/>
                <w:lang w:val="en-US" w:eastAsia="zh-CN"/>
              </w:rPr>
            </w:pPr>
            <w:r>
              <w:rPr>
                <w:rFonts w:hint="eastAsia"/>
                <w:lang w:val="en-US" w:eastAsia="zh-CN"/>
              </w:rPr>
              <w:t>0.06</w:t>
            </w:r>
          </w:p>
        </w:tc>
        <w:tc>
          <w:tcPr>
            <w:tcW w:w="964" w:type="dxa"/>
            <w:vAlign w:val="center"/>
          </w:tcPr>
          <w:p>
            <w:pPr>
              <w:pStyle w:val="9"/>
              <w:rPr>
                <w:rFonts w:hint="eastAsia" w:eastAsia="方正书宋_GBK"/>
                <w:lang w:eastAsia="zh-CN"/>
              </w:rPr>
            </w:pPr>
            <w:r>
              <w:rPr>
                <w:rFonts w:hint="eastAsia"/>
                <w:lang w:val="en-US" w:eastAsia="zh-CN"/>
              </w:rPr>
              <w:t>0.06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会议桌</w:t>
            </w:r>
          </w:p>
        </w:tc>
        <w:tc>
          <w:tcPr>
            <w:tcW w:w="1134" w:type="dxa"/>
            <w:vAlign w:val="center"/>
          </w:tcPr>
          <w:p>
            <w:pPr>
              <w:pStyle w:val="10"/>
              <w:rPr>
                <w:rFonts w:hint="default"/>
                <w:lang w:val="en-US" w:eastAsia="zh-CN"/>
              </w:rPr>
            </w:pPr>
            <w:r>
              <w:rPr>
                <w:rFonts w:hint="eastAsia"/>
                <w:lang w:val="en-US" w:eastAsia="zh-CN"/>
              </w:rPr>
              <w:t>A05010202</w:t>
            </w:r>
          </w:p>
        </w:tc>
        <w:tc>
          <w:tcPr>
            <w:tcW w:w="709" w:type="dxa"/>
            <w:vAlign w:val="center"/>
          </w:tcPr>
          <w:p>
            <w:pPr>
              <w:pStyle w:val="11"/>
              <w:rPr>
                <w:rFonts w:hint="eastAsia"/>
                <w:lang w:eastAsia="zh-CN"/>
              </w:rPr>
            </w:pPr>
            <w:r>
              <w:rPr>
                <w:rFonts w:hint="eastAsia"/>
                <w:lang w:eastAsia="zh-CN"/>
              </w:rPr>
              <w:t>张</w:t>
            </w:r>
          </w:p>
        </w:tc>
        <w:tc>
          <w:tcPr>
            <w:tcW w:w="850" w:type="dxa"/>
            <w:vAlign w:val="center"/>
          </w:tcPr>
          <w:p>
            <w:pPr>
              <w:pStyle w:val="9"/>
              <w:rPr>
                <w:rFonts w:hint="default"/>
                <w:lang w:val="en-US" w:eastAsia="zh-CN"/>
              </w:rPr>
            </w:pPr>
            <w:r>
              <w:rPr>
                <w:rFonts w:hint="eastAsia"/>
                <w:lang w:val="en-US" w:eastAsia="zh-CN"/>
              </w:rPr>
              <w:t>1</w:t>
            </w:r>
          </w:p>
        </w:tc>
        <w:tc>
          <w:tcPr>
            <w:tcW w:w="850" w:type="dxa"/>
            <w:vAlign w:val="center"/>
          </w:tcPr>
          <w:p>
            <w:pPr>
              <w:pStyle w:val="9"/>
              <w:rPr>
                <w:rFonts w:hint="default"/>
                <w:lang w:val="en-US" w:eastAsia="zh-CN"/>
              </w:rPr>
            </w:pPr>
            <w:r>
              <w:rPr>
                <w:rFonts w:hint="eastAsia"/>
                <w:lang w:val="en-US" w:eastAsia="zh-CN"/>
              </w:rPr>
              <w:t>0.476</w:t>
            </w:r>
          </w:p>
        </w:tc>
        <w:tc>
          <w:tcPr>
            <w:tcW w:w="964" w:type="dxa"/>
            <w:vAlign w:val="center"/>
          </w:tcPr>
          <w:p>
            <w:pPr>
              <w:pStyle w:val="9"/>
              <w:rPr>
                <w:rFonts w:hint="default"/>
                <w:lang w:val="en-US" w:eastAsia="zh-CN"/>
              </w:rPr>
            </w:pPr>
            <w:r>
              <w:rPr>
                <w:rFonts w:hint="eastAsia"/>
                <w:lang w:val="en-US" w:eastAsia="zh-CN"/>
              </w:rPr>
              <w:t>0.476</w:t>
            </w:r>
          </w:p>
        </w:tc>
        <w:tc>
          <w:tcPr>
            <w:tcW w:w="964" w:type="dxa"/>
            <w:vAlign w:val="center"/>
          </w:tcPr>
          <w:p>
            <w:pPr>
              <w:pStyle w:val="9"/>
              <w:rPr>
                <w:rFonts w:hint="eastAsia" w:eastAsia="方正书宋_GBK"/>
                <w:lang w:eastAsia="zh-CN"/>
              </w:rPr>
            </w:pPr>
            <w:r>
              <w:rPr>
                <w:rFonts w:hint="eastAsia"/>
                <w:lang w:val="en-US" w:eastAsia="zh-CN"/>
              </w:rPr>
              <w:t>0.476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中国共产党隆尧县委员会统一战线工作部（含所属单位）上年末固定资产金额为</w:t>
      </w:r>
      <w:r>
        <w:rPr>
          <w:rFonts w:hint="eastAsia" w:eastAsia="方正仿宋_GBK"/>
          <w:color w:val="000000"/>
          <w:sz w:val="28"/>
          <w:lang w:val="en-US" w:eastAsia="zh-CN"/>
        </w:rPr>
        <w:t>7.34</w:t>
      </w:r>
      <w:r>
        <w:rPr>
          <w:rFonts w:eastAsia="方正仿宋_GBK"/>
          <w:color w:val="000000"/>
          <w:sz w:val="28"/>
        </w:rPr>
        <w:t>万元（详见下表）。本年度拟购置固定资产总额为</w:t>
      </w:r>
      <w:r>
        <w:rPr>
          <w:rFonts w:hint="eastAsia" w:eastAsia="方正仿宋_GBK"/>
          <w:color w:val="000000"/>
          <w:sz w:val="28"/>
          <w:lang w:val="en-US" w:eastAsia="zh-CN"/>
        </w:rPr>
        <w:t>2.00</w:t>
      </w:r>
      <w:bookmarkStart w:id="18" w:name="_GoBack"/>
      <w:bookmarkEnd w:id="18"/>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7.34</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FA24DEA"/>
    <w:multiLevelType w:val="singleLevel"/>
    <w:tmpl w:val="9FA24DEA"/>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hiNGE0NTZlZjU1Mjk2NmUzY2UyNjU4ZTY4MDUxMjQifQ=="/>
  </w:docVars>
  <w:rsids>
    <w:rsidRoot w:val="00477A02"/>
    <w:rsid w:val="0009398C"/>
    <w:rsid w:val="0012609E"/>
    <w:rsid w:val="00223B38"/>
    <w:rsid w:val="002451BB"/>
    <w:rsid w:val="00477A02"/>
    <w:rsid w:val="006277ED"/>
    <w:rsid w:val="006F486A"/>
    <w:rsid w:val="00741976"/>
    <w:rsid w:val="00864F31"/>
    <w:rsid w:val="008F7077"/>
    <w:rsid w:val="00955219"/>
    <w:rsid w:val="00A84982"/>
    <w:rsid w:val="00E17E9F"/>
    <w:rsid w:val="00E41FD7"/>
    <w:rsid w:val="00FD18D8"/>
    <w:rsid w:val="04062884"/>
    <w:rsid w:val="04D52F46"/>
    <w:rsid w:val="079C59D8"/>
    <w:rsid w:val="098C2FC9"/>
    <w:rsid w:val="0A310FDA"/>
    <w:rsid w:val="0B1F52D6"/>
    <w:rsid w:val="0B577D54"/>
    <w:rsid w:val="0CB82D0B"/>
    <w:rsid w:val="10627D99"/>
    <w:rsid w:val="112371A2"/>
    <w:rsid w:val="13C609E5"/>
    <w:rsid w:val="13CC06B8"/>
    <w:rsid w:val="156E6800"/>
    <w:rsid w:val="167209B0"/>
    <w:rsid w:val="169D3553"/>
    <w:rsid w:val="18C474BD"/>
    <w:rsid w:val="1ADF05DE"/>
    <w:rsid w:val="1C3E33AD"/>
    <w:rsid w:val="1C777F44"/>
    <w:rsid w:val="1D083E1C"/>
    <w:rsid w:val="1E053ECC"/>
    <w:rsid w:val="21F4702F"/>
    <w:rsid w:val="238E1DF6"/>
    <w:rsid w:val="24286B52"/>
    <w:rsid w:val="24B064D2"/>
    <w:rsid w:val="277D5407"/>
    <w:rsid w:val="27DF7436"/>
    <w:rsid w:val="2AB26F50"/>
    <w:rsid w:val="2EA94D33"/>
    <w:rsid w:val="2F047B02"/>
    <w:rsid w:val="30F439AC"/>
    <w:rsid w:val="349C5EF7"/>
    <w:rsid w:val="369B317C"/>
    <w:rsid w:val="3793032E"/>
    <w:rsid w:val="385201EA"/>
    <w:rsid w:val="3BEA790D"/>
    <w:rsid w:val="3C5C33E5"/>
    <w:rsid w:val="3E974BA8"/>
    <w:rsid w:val="404643FD"/>
    <w:rsid w:val="408E79DD"/>
    <w:rsid w:val="43E34109"/>
    <w:rsid w:val="449C6A74"/>
    <w:rsid w:val="451D6D08"/>
    <w:rsid w:val="46373524"/>
    <w:rsid w:val="470D43F0"/>
    <w:rsid w:val="4D13189E"/>
    <w:rsid w:val="4D1E1D9E"/>
    <w:rsid w:val="4DD920E8"/>
    <w:rsid w:val="507A1C34"/>
    <w:rsid w:val="52D47D21"/>
    <w:rsid w:val="52F43F1F"/>
    <w:rsid w:val="54ED687A"/>
    <w:rsid w:val="558E78BA"/>
    <w:rsid w:val="56F20ED1"/>
    <w:rsid w:val="575A7C4E"/>
    <w:rsid w:val="57DD41CF"/>
    <w:rsid w:val="584F6CD2"/>
    <w:rsid w:val="59657925"/>
    <w:rsid w:val="5B7B51DE"/>
    <w:rsid w:val="5BFE196B"/>
    <w:rsid w:val="5ED67CC0"/>
    <w:rsid w:val="5FA26D8F"/>
    <w:rsid w:val="5FF766DA"/>
    <w:rsid w:val="5FFC4413"/>
    <w:rsid w:val="600B28A8"/>
    <w:rsid w:val="64E032E3"/>
    <w:rsid w:val="665F717C"/>
    <w:rsid w:val="68555008"/>
    <w:rsid w:val="6A2E5B11"/>
    <w:rsid w:val="6A7F011B"/>
    <w:rsid w:val="6A8A4544"/>
    <w:rsid w:val="6A9D2790"/>
    <w:rsid w:val="6AE421F3"/>
    <w:rsid w:val="6DA265FA"/>
    <w:rsid w:val="6E7A22C7"/>
    <w:rsid w:val="6FF173C5"/>
    <w:rsid w:val="713A0F0D"/>
    <w:rsid w:val="72246FBD"/>
    <w:rsid w:val="723567EA"/>
    <w:rsid w:val="732B25B2"/>
    <w:rsid w:val="7893576F"/>
    <w:rsid w:val="79A8143C"/>
    <w:rsid w:val="7A093FF2"/>
    <w:rsid w:val="7BF00E78"/>
    <w:rsid w:val="7C084414"/>
    <w:rsid w:val="7E77762F"/>
    <w:rsid w:val="7F1D6329"/>
    <w:rsid w:val="7FB361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Normal_3bf15a4c-900f-471e-a620-e312216a0ee7"/>
    <w:qFormat/>
    <w:uiPriority w:val="0"/>
    <w:rPr>
      <w:rFonts w:ascii="Times New Roman" w:hAnsi="Times New Roman" w:eastAsia="Times New Roman" w:cs="Times New Roman"/>
      <w:sz w:val="24"/>
      <w:szCs w:val="24"/>
      <w:lang w:val="en-US" w:eastAsia="uk-UA" w:bidi="ar-SA"/>
    </w:rPr>
  </w:style>
  <w:style w:type="paragraph" w:customStyle="1" w:styleId="23">
    <w:name w:val="单元格样式1_674a6a25-1181-4134-8ce3-d0dee081aa65"/>
    <w:basedOn w:val="1"/>
    <w:qFormat/>
    <w:uiPriority w:val="0"/>
    <w:pPr>
      <w:jc w:val="center"/>
    </w:pPr>
    <w:rPr>
      <w:rFonts w:ascii="方正书宋_GBK" w:hAnsi="方正书宋_GBK" w:eastAsia="方正书宋_GBK" w:cs="方正书宋_GBK"/>
      <w:b/>
      <w:sz w:val="21"/>
    </w:rPr>
  </w:style>
  <w:style w:type="paragraph" w:customStyle="1" w:styleId="24">
    <w:name w:val="单元格样式2_8032a5b9-5811-4adc-bf2c-b13a19931a63"/>
    <w:basedOn w:val="1"/>
    <w:qFormat/>
    <w:uiPriority w:val="0"/>
    <w:rPr>
      <w:rFonts w:ascii="方正书宋_GBK" w:hAnsi="方正书宋_GBK" w:eastAsia="方正书宋_GBK" w:cs="方正书宋_GBK"/>
      <w:sz w:val="21"/>
    </w:rPr>
  </w:style>
  <w:style w:type="paragraph" w:customStyle="1" w:styleId="25">
    <w:name w:val="单元格样式3_6966d28b-6d9f-4c7d-8e9b-c7d047d9e17e"/>
    <w:basedOn w:val="1"/>
    <w:qFormat/>
    <w:uiPriority w:val="0"/>
    <w:pPr>
      <w:jc w:val="center"/>
    </w:pPr>
    <w:rPr>
      <w:rFonts w:ascii="方正书宋_GBK" w:hAnsi="方正书宋_GBK" w:eastAsia="方正书宋_GBK" w:cs="方正书宋_GBK"/>
      <w:sz w:val="21"/>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2022-02-17T10:13:45Z</dcterms:created>
  <dcterms:modified xsi:type="dcterms:W3CDTF">2022-02-17T02:13:45Z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2022-02-17T10:13:40Z</dcterms:created>
  <dcterms:modified xsi:type="dcterms:W3CDTF">2022-02-17T02:13:40Z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2022-02-17T10:13:43Z</dcterms:created>
  <dcterms:modified xsi:type="dcterms:W3CDTF">2022-02-17T02:13:43Z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2022-02-17T10:13:42Z</dcterms:created>
  <dcterms:modified xsi:type="dcterms:W3CDTF">2022-02-17T02:13:42Z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2022-02-17T10:13:38Z</dcterms:created>
  <dcterms:modified xsi:type="dcterms:W3CDTF">2022-02-17T02:13:38Z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2022-02-17T10:13:45Z</dcterms:created>
  <dcterms:modified xsi:type="dcterms:W3CDTF">2022-02-17T02:13:45Z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30B1CAF-1EE7-4B2B-A836-9F88C6381A14}">
  <ds:schemaRefs/>
</ds:datastoreItem>
</file>

<file path=customXml/itemProps11.xml><?xml version="1.0" encoding="utf-8"?>
<ds:datastoreItem xmlns:ds="http://schemas.openxmlformats.org/officeDocument/2006/customXml" ds:itemID="{04B82AB7-2244-4891-9A04-CADA9A2A8335}">
  <ds:schemaRefs/>
</ds:datastoreItem>
</file>

<file path=customXml/itemProps12.xml><?xml version="1.0" encoding="utf-8"?>
<ds:datastoreItem xmlns:ds="http://schemas.openxmlformats.org/officeDocument/2006/customXml" ds:itemID="{CFC71910-A67E-4E4C-B694-83526E738FCA}">
  <ds:schemaRefs/>
</ds:datastoreItem>
</file>

<file path=customXml/itemProps13.xml><?xml version="1.0" encoding="utf-8"?>
<ds:datastoreItem xmlns:ds="http://schemas.openxmlformats.org/officeDocument/2006/customXml" ds:itemID="{57D9BEB5-8FF6-4659-B0E3-5F57769D5285}">
  <ds:schemaRefs/>
</ds:datastoreItem>
</file>

<file path=customXml/itemProps2.xml><?xml version="1.0" encoding="utf-8"?>
<ds:datastoreItem xmlns:ds="http://schemas.openxmlformats.org/officeDocument/2006/customXml" ds:itemID="{083B7B0A-16C2-4300-874B-A2DE4DC79721}">
  <ds:schemaRefs/>
</ds:datastoreItem>
</file>

<file path=customXml/itemProps3.xml><?xml version="1.0" encoding="utf-8"?>
<ds:datastoreItem xmlns:ds="http://schemas.openxmlformats.org/officeDocument/2006/customXml" ds:itemID="{EB0F0779-FB81-474D-B5E8-974D2FC3DC50}">
  <ds:schemaRefs/>
</ds:datastoreItem>
</file>

<file path=customXml/itemProps4.xml><?xml version="1.0" encoding="utf-8"?>
<ds:datastoreItem xmlns:ds="http://schemas.openxmlformats.org/officeDocument/2006/customXml" ds:itemID="{FD21559C-03FE-409A-AA1F-5ABA8B73E0AD}">
  <ds:schemaRefs/>
</ds:datastoreItem>
</file>

<file path=customXml/itemProps5.xml><?xml version="1.0" encoding="utf-8"?>
<ds:datastoreItem xmlns:ds="http://schemas.openxmlformats.org/officeDocument/2006/customXml" ds:itemID="{D6E8CF1D-8958-45DC-BC28-039900BCBEB2}">
  <ds:schemaRefs/>
</ds:datastoreItem>
</file>

<file path=customXml/itemProps6.xml><?xml version="1.0" encoding="utf-8"?>
<ds:datastoreItem xmlns:ds="http://schemas.openxmlformats.org/officeDocument/2006/customXml" ds:itemID="{756B9EF8-1D87-4B68-A0C5-AC808E886F42}">
  <ds:schemaRefs/>
</ds:datastoreItem>
</file>

<file path=customXml/itemProps7.xml><?xml version="1.0" encoding="utf-8"?>
<ds:datastoreItem xmlns:ds="http://schemas.openxmlformats.org/officeDocument/2006/customXml" ds:itemID="{FFD84184-FED2-4BBD-A93E-43BA170C96C3}">
  <ds:schemaRefs/>
</ds:datastoreItem>
</file>

<file path=customXml/itemProps8.xml><?xml version="1.0" encoding="utf-8"?>
<ds:datastoreItem xmlns:ds="http://schemas.openxmlformats.org/officeDocument/2006/customXml" ds:itemID="{F015DC3C-ED5C-47A0-AEAD-23073F6E1653}">
  <ds:schemaRefs/>
</ds:datastoreItem>
</file>

<file path=customXml/itemProps9.xml><?xml version="1.0" encoding="utf-8"?>
<ds:datastoreItem xmlns:ds="http://schemas.openxmlformats.org/officeDocument/2006/customXml" ds:itemID="{37560F8E-5E58-4E0A-9476-4850DB43644D}">
  <ds:schemaRefs/>
</ds:datastoreItem>
</file>

<file path=docProps/app.xml><?xml version="1.0" encoding="utf-8"?>
<Properties xmlns="http://schemas.openxmlformats.org/officeDocument/2006/extended-properties" xmlns:vt="http://schemas.openxmlformats.org/officeDocument/2006/docPropsVTypes">
  <Template>Normal.dotm</Template>
  <Pages>32</Pages>
  <Words>9967</Words>
  <Characters>11407</Characters>
  <Lines>220</Lines>
  <Paragraphs>62</Paragraphs>
  <TotalTime>2</TotalTime>
  <ScaleCrop>false</ScaleCrop>
  <LinksUpToDate>false</LinksUpToDate>
  <CharactersWithSpaces>11584</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2022-02-17T02:15:00Z</dcterms:created>
  <dc:creator>Administrator</dc:creator>
  <cp:lastModifiedBy>Administrator</cp:lastModifiedBy>
  <cp:lastPrinted>2023-09-06T06:39:00Z</cp:lastPrinted>
  <dcterms:modified xsi:type="dcterms:W3CDTF">2023-09-06T09:21:13Z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8833DAFBC13C478983F2E49E49BE6ECF_12</vt:lpwstr>
  </property>
</Properties>
</file>