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2023年</w:t>
      </w:r>
      <w:r>
        <w:rPr>
          <w:rFonts w:hint="eastAsia" w:ascii="黑体" w:hAnsi="黑体" w:eastAsia="黑体" w:cs="黑体"/>
          <w:b/>
          <w:color w:val="000000"/>
          <w:sz w:val="44"/>
          <w:lang w:eastAsia="zh-CN"/>
        </w:rPr>
        <w:t>单位</w:t>
      </w:r>
      <w:r>
        <w:rPr>
          <w:rFonts w:ascii="黑体" w:hAnsi="黑体" w:eastAsia="黑体" w:cs="黑体"/>
          <w:b/>
          <w:color w:val="000000"/>
          <w:sz w:val="44"/>
        </w:rPr>
        <w:t>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center"/>
        <w:outlineLvl w:val="9"/>
      </w:pPr>
      <w:r>
        <w:rPr>
          <w:rFonts w:ascii="黑体" w:hAnsi="黑体" w:eastAsia="黑体" w:cs="黑体"/>
          <w:b/>
          <w:color w:val="000000"/>
          <w:sz w:val="30"/>
        </w:rPr>
        <w:t xml:space="preserve"> </w:t>
      </w:r>
    </w:p>
    <w:p>
      <w:pPr>
        <w:pStyle w:val="3"/>
        <w:tabs>
          <w:tab w:val="right" w:leader="dot" w:pos="14562"/>
        </w:tabs>
      </w:pPr>
      <w:r>
        <w:fldChar w:fldCharType="begin"/>
      </w:r>
      <w:r>
        <w:instrText xml:space="preserve"> HYPERLINK \l "_Toc_4_4_0000000020" </w:instrText>
      </w:r>
      <w:r>
        <w:fldChar w:fldCharType="separate"/>
      </w:r>
      <w:r>
        <w:rPr>
          <w:rFonts w:hint="eastAsia"/>
          <w:b w:val="0"/>
          <w:lang w:val="en-US" w:eastAsia="zh-CN"/>
        </w:rPr>
        <w:t>一</w:t>
      </w:r>
      <w:r>
        <w:rPr>
          <w:b w:val="0"/>
        </w:rPr>
        <w:t>、隆尧县机关事务管理局收支预算</w:t>
      </w:r>
      <w:r>
        <w:tab/>
      </w:r>
      <w:r>
        <w:fldChar w:fldCharType="end"/>
      </w:r>
      <w:r>
        <w:fldChar w:fldCharType="begin"/>
      </w:r>
      <w:r>
        <w:instrText xml:space="preserve">TOC \o "4-4" \h \z \u</w:instrText>
      </w:r>
      <w:r>
        <w:fldChar w:fldCharType="separate"/>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ind w:firstLine="0"/>
        <w:jc w:val="center"/>
        <w:outlineLvl w:val="3"/>
      </w:pPr>
      <w:bookmarkStart w:id="0" w:name="_Toc_4_4_0000000020"/>
      <w:r>
        <w:rPr>
          <w:rFonts w:hint="eastAsia" w:ascii="方正小标宋_GBK" w:hAnsi="方正小标宋_GBK" w:eastAsia="方正小标宋_GBK" w:cs="方正小标宋_GBK"/>
          <w:b w:val="0"/>
          <w:color w:val="000000"/>
          <w:sz w:val="44"/>
          <w:lang w:val="en-US" w:eastAsia="zh-CN"/>
        </w:rPr>
        <w:t>一</w:t>
      </w:r>
      <w:r>
        <w:rPr>
          <w:rFonts w:ascii="方正小标宋_GBK" w:hAnsi="方正小标宋_GBK" w:eastAsia="方正小标宋_GBK" w:cs="方正小标宋_GBK"/>
          <w:b w:val="0"/>
          <w:color w:val="000000"/>
          <w:sz w:val="44"/>
        </w:rPr>
        <w:t>、隆尧县机关事务管理局收支预算</w:t>
      </w:r>
      <w:bookmarkEnd w:id="0"/>
    </w:p>
    <w:p>
      <w:pPr>
        <w:spacing w:before="0" w:after="0" w:line="240" w:lineRule="auto"/>
        <w:ind w:firstLine="0"/>
        <w:jc w:val="center"/>
        <w:outlineLvl w:val="4"/>
        <w:rPr>
          <w:rFonts w:ascii="方正小标宋_GBK" w:hAnsi="方正小标宋_GBK" w:eastAsia="方正小标宋_GBK" w:cs="方正小标宋_GBK"/>
          <w:color w:val="000000"/>
          <w:sz w:val="36"/>
        </w:rPr>
      </w:pPr>
      <w:r>
        <w:rPr>
          <w:rFonts w:ascii="方正小标宋_GBK" w:hAnsi="方正小标宋_GBK" w:eastAsia="方正小标宋_GBK" w:cs="方正小标宋_GBK"/>
          <w:color w:val="000000"/>
          <w:sz w:val="36"/>
        </w:rPr>
        <w:t>单位预算收支总表</w:t>
      </w:r>
    </w:p>
    <w:p>
      <w:pPr>
        <w:rPr>
          <w:rFonts w:ascii="方正小标宋_GBK" w:hAnsi="方正小标宋_GBK" w:eastAsia="方正小标宋_GBK" w:cs="方正小标宋_GBK"/>
          <w:color w:val="000000"/>
          <w:sz w:val="36"/>
        </w:rPr>
      </w:pPr>
      <w:r>
        <w:t>201004隆尧县机关事务管理局</w:t>
      </w:r>
      <w:r>
        <w:rPr>
          <w:rFonts w:hint="eastAsia" w:eastAsia="宋体"/>
          <w:lang w:val="en-US" w:eastAsia="zh-CN"/>
        </w:rPr>
        <w:t xml:space="preserve">                                                                                                                                                                      </w:t>
      </w:r>
      <w:r>
        <w:t>单位：万元</w:t>
      </w:r>
    </w:p>
    <w:tbl>
      <w:tblPr>
        <w:tblStyle w:val="6"/>
        <w:tblW w:w="1479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restart"/>
            <w:vAlign w:val="center"/>
          </w:tcPr>
          <w:p>
            <w:pPr>
              <w:pStyle w:val="12"/>
            </w:pPr>
            <w:r>
              <w:t>序号</w:t>
            </w:r>
          </w:p>
        </w:tc>
        <w:tc>
          <w:tcPr>
            <w:tcW w:w="2959" w:type="dxa"/>
            <w:vAlign w:val="center"/>
          </w:tcPr>
          <w:p>
            <w:pPr>
              <w:pStyle w:val="12"/>
            </w:pPr>
            <w:r>
              <w:t>收入</w:t>
            </w:r>
          </w:p>
        </w:tc>
        <w:tc>
          <w:tcPr>
            <w:tcW w:w="2959" w:type="dxa"/>
          </w:tcPr>
          <w:p/>
        </w:tc>
        <w:tc>
          <w:tcPr>
            <w:tcW w:w="2959" w:type="dxa"/>
            <w:vAlign w:val="center"/>
          </w:tcPr>
          <w:p>
            <w:pPr>
              <w:pStyle w:val="12"/>
            </w:pPr>
            <w:r>
              <w:t>支出</w:t>
            </w:r>
          </w:p>
        </w:tc>
        <w:tc>
          <w:tcPr>
            <w:tcW w:w="2959" w:type="dxa"/>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continue"/>
          </w:tcPr>
          <w:p/>
        </w:tc>
        <w:tc>
          <w:tcPr>
            <w:tcW w:w="2959" w:type="dxa"/>
            <w:vAlign w:val="center"/>
          </w:tcPr>
          <w:p>
            <w:pPr>
              <w:pStyle w:val="12"/>
            </w:pPr>
            <w:r>
              <w:t>项  目</w:t>
            </w:r>
          </w:p>
        </w:tc>
        <w:tc>
          <w:tcPr>
            <w:tcW w:w="2959" w:type="dxa"/>
            <w:vAlign w:val="center"/>
          </w:tcPr>
          <w:p>
            <w:pPr>
              <w:pStyle w:val="12"/>
            </w:pPr>
            <w:r>
              <w:t>预算数</w:t>
            </w:r>
          </w:p>
        </w:tc>
        <w:tc>
          <w:tcPr>
            <w:tcW w:w="2959" w:type="dxa"/>
            <w:vAlign w:val="center"/>
          </w:tcPr>
          <w:p>
            <w:pPr>
              <w:pStyle w:val="12"/>
            </w:pPr>
            <w:r>
              <w:t>项  目</w:t>
            </w:r>
          </w:p>
        </w:tc>
        <w:tc>
          <w:tcPr>
            <w:tcW w:w="2959"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Align w:val="center"/>
          </w:tcPr>
          <w:p>
            <w:pPr>
              <w:pStyle w:val="12"/>
            </w:pPr>
            <w:r>
              <w:t>栏次</w:t>
            </w:r>
          </w:p>
        </w:tc>
        <w:tc>
          <w:tcPr>
            <w:tcW w:w="2959" w:type="dxa"/>
            <w:vAlign w:val="center"/>
          </w:tcPr>
          <w:p>
            <w:pPr>
              <w:pStyle w:val="12"/>
            </w:pPr>
            <w:r>
              <w:t>1</w:t>
            </w:r>
          </w:p>
        </w:tc>
        <w:tc>
          <w:tcPr>
            <w:tcW w:w="2959" w:type="dxa"/>
            <w:vAlign w:val="center"/>
          </w:tcPr>
          <w:p>
            <w:pPr>
              <w:pStyle w:val="12"/>
            </w:pPr>
            <w:r>
              <w:t>2</w:t>
            </w:r>
          </w:p>
        </w:tc>
        <w:tc>
          <w:tcPr>
            <w:tcW w:w="2959" w:type="dxa"/>
            <w:vAlign w:val="center"/>
          </w:tcPr>
          <w:p>
            <w:pPr>
              <w:pStyle w:val="12"/>
            </w:pPr>
            <w:r>
              <w:t>3</w:t>
            </w:r>
          </w:p>
        </w:tc>
        <w:tc>
          <w:tcPr>
            <w:tcW w:w="2959"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w:t>
            </w:r>
          </w:p>
        </w:tc>
        <w:tc>
          <w:tcPr>
            <w:tcW w:w="2959" w:type="dxa"/>
            <w:vAlign w:val="center"/>
          </w:tcPr>
          <w:p>
            <w:pPr>
              <w:pStyle w:val="14"/>
            </w:pPr>
            <w:r>
              <w:t>一、一般公共预算拨款收入</w:t>
            </w:r>
          </w:p>
        </w:tc>
        <w:tc>
          <w:tcPr>
            <w:tcW w:w="2959" w:type="dxa"/>
            <w:vAlign w:val="center"/>
          </w:tcPr>
          <w:p>
            <w:pPr>
              <w:pStyle w:val="13"/>
            </w:pPr>
            <w:r>
              <w:t>1077.50</w:t>
            </w:r>
          </w:p>
        </w:tc>
        <w:tc>
          <w:tcPr>
            <w:tcW w:w="2959" w:type="dxa"/>
            <w:vAlign w:val="center"/>
          </w:tcPr>
          <w:p>
            <w:pPr>
              <w:pStyle w:val="14"/>
            </w:pPr>
            <w:r>
              <w:t>一、一般公共服务支出</w:t>
            </w:r>
          </w:p>
        </w:tc>
        <w:tc>
          <w:tcPr>
            <w:tcW w:w="2959" w:type="dxa"/>
            <w:vAlign w:val="center"/>
          </w:tcPr>
          <w:p>
            <w:pPr>
              <w:pStyle w:val="13"/>
            </w:pPr>
            <w:r>
              <w:t>1077.50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w:t>
            </w:r>
          </w:p>
        </w:tc>
        <w:tc>
          <w:tcPr>
            <w:tcW w:w="2959" w:type="dxa"/>
            <w:vAlign w:val="center"/>
          </w:tcPr>
          <w:p>
            <w:pPr>
              <w:pStyle w:val="14"/>
            </w:pPr>
            <w:r>
              <w:t>二、政府性基金预算拨款收入</w:t>
            </w:r>
          </w:p>
        </w:tc>
        <w:tc>
          <w:tcPr>
            <w:tcW w:w="2959" w:type="dxa"/>
            <w:vAlign w:val="center"/>
          </w:tcPr>
          <w:p>
            <w:pPr>
              <w:pStyle w:val="13"/>
            </w:pPr>
          </w:p>
        </w:tc>
        <w:tc>
          <w:tcPr>
            <w:tcW w:w="2959" w:type="dxa"/>
            <w:vAlign w:val="center"/>
          </w:tcPr>
          <w:p>
            <w:pPr>
              <w:pStyle w:val="14"/>
            </w:pPr>
            <w:r>
              <w:t>二、外交支出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w:t>
            </w:r>
          </w:p>
        </w:tc>
        <w:tc>
          <w:tcPr>
            <w:tcW w:w="2959" w:type="dxa"/>
            <w:vAlign w:val="center"/>
          </w:tcPr>
          <w:p>
            <w:pPr>
              <w:pStyle w:val="14"/>
            </w:pPr>
            <w:r>
              <w:t>三、国有资本经营预算拨款收入</w:t>
            </w:r>
          </w:p>
        </w:tc>
        <w:tc>
          <w:tcPr>
            <w:tcW w:w="2959" w:type="dxa"/>
            <w:vAlign w:val="center"/>
          </w:tcPr>
          <w:p>
            <w:pPr>
              <w:pStyle w:val="13"/>
            </w:pPr>
          </w:p>
        </w:tc>
        <w:tc>
          <w:tcPr>
            <w:tcW w:w="2959" w:type="dxa"/>
            <w:vAlign w:val="center"/>
          </w:tcPr>
          <w:p>
            <w:pPr>
              <w:pStyle w:val="14"/>
            </w:pPr>
            <w:r>
              <w:t>三、国防支出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4</w:t>
            </w:r>
          </w:p>
        </w:tc>
        <w:tc>
          <w:tcPr>
            <w:tcW w:w="2959" w:type="dxa"/>
            <w:vAlign w:val="center"/>
          </w:tcPr>
          <w:p>
            <w:pPr>
              <w:pStyle w:val="14"/>
            </w:pPr>
            <w:r>
              <w:t>四、财政专户管理资金收入</w:t>
            </w:r>
          </w:p>
        </w:tc>
        <w:tc>
          <w:tcPr>
            <w:tcW w:w="2959" w:type="dxa"/>
            <w:vAlign w:val="center"/>
          </w:tcPr>
          <w:p>
            <w:pPr>
              <w:pStyle w:val="13"/>
            </w:pPr>
          </w:p>
        </w:tc>
        <w:tc>
          <w:tcPr>
            <w:tcW w:w="2959" w:type="dxa"/>
            <w:vAlign w:val="center"/>
          </w:tcPr>
          <w:p>
            <w:pPr>
              <w:pStyle w:val="14"/>
            </w:pPr>
            <w:r>
              <w:t>四、公共安全支出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5</w:t>
            </w:r>
          </w:p>
        </w:tc>
        <w:tc>
          <w:tcPr>
            <w:tcW w:w="2959" w:type="dxa"/>
            <w:vAlign w:val="center"/>
          </w:tcPr>
          <w:p>
            <w:pPr>
              <w:pStyle w:val="14"/>
            </w:pPr>
            <w:r>
              <w:t>五、事业收入</w:t>
            </w:r>
          </w:p>
        </w:tc>
        <w:tc>
          <w:tcPr>
            <w:tcW w:w="2959" w:type="dxa"/>
            <w:vAlign w:val="center"/>
          </w:tcPr>
          <w:p>
            <w:pPr>
              <w:pStyle w:val="13"/>
            </w:pPr>
          </w:p>
        </w:tc>
        <w:tc>
          <w:tcPr>
            <w:tcW w:w="2959" w:type="dxa"/>
            <w:vAlign w:val="center"/>
          </w:tcPr>
          <w:p>
            <w:pPr>
              <w:pStyle w:val="14"/>
            </w:pPr>
            <w:r>
              <w:t>五、教育支出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6</w:t>
            </w:r>
          </w:p>
        </w:tc>
        <w:tc>
          <w:tcPr>
            <w:tcW w:w="2959" w:type="dxa"/>
            <w:vAlign w:val="center"/>
          </w:tcPr>
          <w:p>
            <w:pPr>
              <w:pStyle w:val="14"/>
            </w:pPr>
            <w:r>
              <w:t>六、事业单位经营收入</w:t>
            </w:r>
          </w:p>
        </w:tc>
        <w:tc>
          <w:tcPr>
            <w:tcW w:w="2959" w:type="dxa"/>
            <w:vAlign w:val="center"/>
          </w:tcPr>
          <w:p>
            <w:pPr>
              <w:pStyle w:val="13"/>
            </w:pPr>
          </w:p>
        </w:tc>
        <w:tc>
          <w:tcPr>
            <w:tcW w:w="2959" w:type="dxa"/>
            <w:vAlign w:val="center"/>
          </w:tcPr>
          <w:p>
            <w:pPr>
              <w:pStyle w:val="14"/>
            </w:pPr>
            <w:r>
              <w:t>六、科学技术支出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7</w:t>
            </w:r>
          </w:p>
        </w:tc>
        <w:tc>
          <w:tcPr>
            <w:tcW w:w="2959" w:type="dxa"/>
            <w:vAlign w:val="center"/>
          </w:tcPr>
          <w:p>
            <w:pPr>
              <w:pStyle w:val="14"/>
            </w:pPr>
            <w:r>
              <w:t>七、上级补助收入</w:t>
            </w:r>
          </w:p>
        </w:tc>
        <w:tc>
          <w:tcPr>
            <w:tcW w:w="2959" w:type="dxa"/>
            <w:vAlign w:val="center"/>
          </w:tcPr>
          <w:p>
            <w:pPr>
              <w:pStyle w:val="13"/>
            </w:pPr>
          </w:p>
        </w:tc>
        <w:tc>
          <w:tcPr>
            <w:tcW w:w="2959" w:type="dxa"/>
            <w:vAlign w:val="center"/>
          </w:tcPr>
          <w:p>
            <w:pPr>
              <w:pStyle w:val="14"/>
            </w:pPr>
            <w:r>
              <w:t>七、文化旅游体育与传媒支出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8</w:t>
            </w:r>
          </w:p>
        </w:tc>
        <w:tc>
          <w:tcPr>
            <w:tcW w:w="2959" w:type="dxa"/>
            <w:vAlign w:val="center"/>
          </w:tcPr>
          <w:p>
            <w:pPr>
              <w:pStyle w:val="14"/>
            </w:pPr>
            <w:r>
              <w:t>八、附属单位上缴收入</w:t>
            </w:r>
          </w:p>
        </w:tc>
        <w:tc>
          <w:tcPr>
            <w:tcW w:w="2959" w:type="dxa"/>
            <w:vAlign w:val="center"/>
          </w:tcPr>
          <w:p>
            <w:pPr>
              <w:pStyle w:val="13"/>
            </w:pPr>
          </w:p>
        </w:tc>
        <w:tc>
          <w:tcPr>
            <w:tcW w:w="2959" w:type="dxa"/>
            <w:vAlign w:val="center"/>
          </w:tcPr>
          <w:p>
            <w:pPr>
              <w:pStyle w:val="14"/>
            </w:pPr>
            <w:r>
              <w:t>八、社会保障和就业支出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9</w:t>
            </w:r>
          </w:p>
        </w:tc>
        <w:tc>
          <w:tcPr>
            <w:tcW w:w="2959" w:type="dxa"/>
            <w:vAlign w:val="center"/>
          </w:tcPr>
          <w:p>
            <w:pPr>
              <w:pStyle w:val="14"/>
            </w:pPr>
            <w:r>
              <w:t>九、其他收入</w:t>
            </w:r>
          </w:p>
        </w:tc>
        <w:tc>
          <w:tcPr>
            <w:tcW w:w="2959" w:type="dxa"/>
            <w:vAlign w:val="center"/>
          </w:tcPr>
          <w:p>
            <w:pPr>
              <w:pStyle w:val="13"/>
            </w:pPr>
          </w:p>
        </w:tc>
        <w:tc>
          <w:tcPr>
            <w:tcW w:w="2959" w:type="dxa"/>
            <w:vAlign w:val="center"/>
          </w:tcPr>
          <w:p>
            <w:pPr>
              <w:pStyle w:val="14"/>
            </w:pPr>
            <w:r>
              <w:t>九、社会保险基金支出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10</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十、卫生健康支出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11</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十一、节能环保支出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12</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十二、城乡社区支出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13</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十三、农林水支出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14</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十四、交通运输支出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15</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十五、资源勘探工业信息等支出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16</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十六、商业服务业等支出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17</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十七、金融支出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18</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十八、援助其他地区支出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19</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十九、自然资源海洋气象等支出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20</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二十、住房保障支出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21</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二十一、粮油物资储备支出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22</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二十二、国有资本经营预算支出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23</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二十三、灾害防治及应急管理支出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24</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二十四、预备费</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25</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二十五、其他支出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26</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二十六、转移性支出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27</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二十七、债务还本支出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28</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二十八、债务付息支出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29</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二十九、债务发行费用支出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30</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三十、抗疫特别国债安排的支出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31</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三十一、往来性收支</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32</w:t>
            </w:r>
          </w:p>
        </w:tc>
        <w:tc>
          <w:tcPr>
            <w:tcW w:w="2959" w:type="dxa"/>
            <w:vAlign w:val="center"/>
          </w:tcPr>
          <w:p>
            <w:pPr>
              <w:pStyle w:val="16"/>
            </w:pPr>
            <w:r>
              <w:t>本年收入合计</w:t>
            </w:r>
          </w:p>
        </w:tc>
        <w:tc>
          <w:tcPr>
            <w:tcW w:w="2959" w:type="dxa"/>
            <w:vAlign w:val="center"/>
          </w:tcPr>
          <w:p>
            <w:pPr>
              <w:pStyle w:val="17"/>
            </w:pPr>
            <w:r>
              <w:t>1077.50</w:t>
            </w:r>
          </w:p>
        </w:tc>
        <w:tc>
          <w:tcPr>
            <w:tcW w:w="2959" w:type="dxa"/>
            <w:vAlign w:val="center"/>
          </w:tcPr>
          <w:p>
            <w:pPr>
              <w:pStyle w:val="16"/>
            </w:pPr>
            <w:r>
              <w:t>本年支出合计</w:t>
            </w:r>
          </w:p>
        </w:tc>
        <w:tc>
          <w:tcPr>
            <w:tcW w:w="2959" w:type="dxa"/>
            <w:vAlign w:val="center"/>
          </w:tcPr>
          <w:p>
            <w:pPr>
              <w:pStyle w:val="17"/>
            </w:pPr>
            <w:r>
              <w:t>1077.50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33</w:t>
            </w:r>
          </w:p>
        </w:tc>
        <w:tc>
          <w:tcPr>
            <w:tcW w:w="2959" w:type="dxa"/>
            <w:vAlign w:val="center"/>
          </w:tcPr>
          <w:p>
            <w:pPr>
              <w:pStyle w:val="14"/>
            </w:pPr>
            <w:r>
              <w:t>上年结转结余</w:t>
            </w:r>
          </w:p>
        </w:tc>
        <w:tc>
          <w:tcPr>
            <w:tcW w:w="2959" w:type="dxa"/>
            <w:vAlign w:val="center"/>
          </w:tcPr>
          <w:p>
            <w:pPr>
              <w:pStyle w:val="13"/>
            </w:pPr>
          </w:p>
        </w:tc>
        <w:tc>
          <w:tcPr>
            <w:tcW w:w="2959" w:type="dxa"/>
            <w:vAlign w:val="center"/>
          </w:tcPr>
          <w:p>
            <w:pPr>
              <w:pStyle w:val="14"/>
            </w:pPr>
            <w:r>
              <w:t>年终结转结余</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34</w:t>
            </w:r>
          </w:p>
        </w:tc>
        <w:tc>
          <w:tcPr>
            <w:tcW w:w="2959" w:type="dxa"/>
            <w:vAlign w:val="center"/>
          </w:tcPr>
          <w:p>
            <w:pPr>
              <w:pStyle w:val="16"/>
            </w:pPr>
            <w:r>
              <w:t>收入总计</w:t>
            </w:r>
          </w:p>
        </w:tc>
        <w:tc>
          <w:tcPr>
            <w:tcW w:w="2959" w:type="dxa"/>
            <w:vAlign w:val="center"/>
          </w:tcPr>
          <w:p>
            <w:pPr>
              <w:pStyle w:val="17"/>
            </w:pPr>
            <w:r>
              <w:t>1077.50</w:t>
            </w:r>
          </w:p>
        </w:tc>
        <w:tc>
          <w:tcPr>
            <w:tcW w:w="2959" w:type="dxa"/>
            <w:vAlign w:val="center"/>
          </w:tcPr>
          <w:p>
            <w:pPr>
              <w:pStyle w:val="16"/>
            </w:pPr>
            <w:r>
              <w:t>支出总计</w:t>
            </w:r>
          </w:p>
        </w:tc>
        <w:tc>
          <w:tcPr>
            <w:tcW w:w="2959" w:type="dxa"/>
            <w:vAlign w:val="center"/>
          </w:tcPr>
          <w:p>
            <w:pPr>
              <w:pStyle w:val="17"/>
            </w:pPr>
            <w:r>
              <w:t>1077.50</w:t>
            </w:r>
          </w:p>
        </w:tc>
      </w:tr>
    </w:tbl>
    <w:p>
      <w:pPr>
        <w:sectPr>
          <w:footerReference r:id="rId3" w:type="default"/>
          <w:footerReference r:id="rId4" w:type="even"/>
          <w:pgSz w:w="16840" w:h="11900" w:orient="landscape"/>
          <w:pgMar w:top="1361" w:right="1020" w:bottom="1134" w:left="1020" w:header="720" w:footer="720" w:gutter="0"/>
          <w:cols w:space="720" w:num="1"/>
        </w:sectPr>
      </w:pPr>
    </w:p>
    <w:p>
      <w:pPr>
        <w:spacing w:before="0" w:after="0" w:line="240" w:lineRule="auto"/>
        <w:ind w:firstLine="0"/>
        <w:jc w:val="center"/>
        <w:outlineLvl w:val="4"/>
        <w:rPr>
          <w:rFonts w:ascii="方正小标宋_GBK" w:hAnsi="方正小标宋_GBK" w:eastAsia="方正小标宋_GBK" w:cs="方正小标宋_GBK"/>
          <w:color w:val="000000"/>
          <w:sz w:val="36"/>
        </w:rPr>
      </w:pPr>
      <w:r>
        <w:rPr>
          <w:rFonts w:ascii="方正小标宋_GBK" w:hAnsi="方正小标宋_GBK" w:eastAsia="方正小标宋_GBK" w:cs="方正小标宋_GBK"/>
          <w:color w:val="000000"/>
          <w:sz w:val="36"/>
        </w:rPr>
        <w:t>单位预算收入总表</w:t>
      </w:r>
    </w:p>
    <w:p>
      <w:pPr>
        <w:rPr>
          <w:rFonts w:ascii="方正小标宋_GBK" w:hAnsi="方正小标宋_GBK" w:eastAsia="方正小标宋_GBK" w:cs="方正小标宋_GBK"/>
          <w:color w:val="000000"/>
          <w:sz w:val="36"/>
        </w:rPr>
      </w:pPr>
      <w:r>
        <w:rPr>
          <w:rFonts w:hint="eastAsia" w:eastAsia="宋体"/>
          <w:lang w:val="en-US" w:eastAsia="zh-CN"/>
        </w:rPr>
        <w:t xml:space="preserve">                                           </w:t>
      </w:r>
      <w:r>
        <w:t>201004隆尧县机关事务管理局</w:t>
      </w:r>
      <w:r>
        <w:rPr>
          <w:rFonts w:hint="eastAsia" w:eastAsia="宋体"/>
          <w:lang w:val="en-US" w:eastAsia="zh-CN"/>
        </w:rPr>
        <w:t xml:space="preserve">                 </w:t>
      </w:r>
      <w:r>
        <w:t>预算年度：2023</w:t>
      </w:r>
      <w:r>
        <w:rPr>
          <w:rFonts w:hint="eastAsia" w:eastAsia="宋体"/>
          <w:lang w:val="en-US" w:eastAsia="zh-CN"/>
        </w:rPr>
        <w:t xml:space="preserve">                                            </w:t>
      </w:r>
      <w:r>
        <w:t>单位：万元</w:t>
      </w:r>
    </w:p>
    <w:tbl>
      <w:tblPr>
        <w:tblStyle w:val="6"/>
        <w:tblW w:w="1104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1297"/>
        <w:gridCol w:w="1099"/>
        <w:gridCol w:w="1060"/>
        <w:gridCol w:w="660"/>
        <w:gridCol w:w="587"/>
        <w:gridCol w:w="227"/>
        <w:gridCol w:w="375"/>
        <w:gridCol w:w="608"/>
        <w:gridCol w:w="1009"/>
        <w:gridCol w:w="794"/>
        <w:gridCol w:w="822"/>
        <w:gridCol w:w="98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restart"/>
            <w:vAlign w:val="center"/>
          </w:tcPr>
          <w:p>
            <w:pPr>
              <w:pStyle w:val="12"/>
              <w:rPr>
                <w:sz w:val="20"/>
                <w:szCs w:val="22"/>
              </w:rPr>
            </w:pPr>
            <w:r>
              <w:rPr>
                <w:sz w:val="20"/>
                <w:szCs w:val="22"/>
              </w:rPr>
              <w:t>序号</w:t>
            </w:r>
          </w:p>
        </w:tc>
        <w:tc>
          <w:tcPr>
            <w:tcW w:w="758" w:type="dxa"/>
            <w:vAlign w:val="center"/>
          </w:tcPr>
          <w:p>
            <w:pPr>
              <w:pStyle w:val="12"/>
              <w:rPr>
                <w:sz w:val="20"/>
                <w:szCs w:val="22"/>
              </w:rPr>
            </w:pPr>
            <w:r>
              <w:rPr>
                <w:sz w:val="20"/>
                <w:szCs w:val="22"/>
              </w:rPr>
              <w:t>功能分类科目</w:t>
            </w:r>
          </w:p>
        </w:tc>
        <w:tc>
          <w:tcPr>
            <w:tcW w:w="1297" w:type="dxa"/>
          </w:tcPr>
          <w:p>
            <w:pPr>
              <w:rPr>
                <w:sz w:val="22"/>
                <w:szCs w:val="22"/>
              </w:rPr>
            </w:pPr>
          </w:p>
        </w:tc>
        <w:tc>
          <w:tcPr>
            <w:tcW w:w="1099" w:type="dxa"/>
            <w:vMerge w:val="restart"/>
            <w:vAlign w:val="center"/>
          </w:tcPr>
          <w:p>
            <w:pPr>
              <w:pStyle w:val="12"/>
              <w:rPr>
                <w:sz w:val="20"/>
                <w:szCs w:val="22"/>
              </w:rPr>
            </w:pPr>
            <w:r>
              <w:rPr>
                <w:sz w:val="20"/>
                <w:szCs w:val="22"/>
              </w:rPr>
              <w:t>合计</w:t>
            </w:r>
          </w:p>
        </w:tc>
        <w:tc>
          <w:tcPr>
            <w:tcW w:w="1060" w:type="dxa"/>
            <w:vAlign w:val="center"/>
          </w:tcPr>
          <w:p>
            <w:pPr>
              <w:pStyle w:val="12"/>
              <w:rPr>
                <w:sz w:val="20"/>
                <w:szCs w:val="22"/>
              </w:rPr>
            </w:pPr>
            <w:r>
              <w:rPr>
                <w:sz w:val="20"/>
                <w:szCs w:val="22"/>
              </w:rPr>
              <w:t>本年收入</w:t>
            </w:r>
          </w:p>
        </w:tc>
        <w:tc>
          <w:tcPr>
            <w:tcW w:w="660" w:type="dxa"/>
          </w:tcPr>
          <w:p>
            <w:pPr>
              <w:rPr>
                <w:sz w:val="22"/>
                <w:szCs w:val="22"/>
              </w:rPr>
            </w:pPr>
          </w:p>
        </w:tc>
        <w:tc>
          <w:tcPr>
            <w:tcW w:w="587" w:type="dxa"/>
          </w:tcPr>
          <w:p>
            <w:pPr>
              <w:rPr>
                <w:sz w:val="22"/>
                <w:szCs w:val="22"/>
              </w:rPr>
            </w:pPr>
          </w:p>
        </w:tc>
        <w:tc>
          <w:tcPr>
            <w:tcW w:w="602" w:type="dxa"/>
            <w:gridSpan w:val="2"/>
          </w:tcPr>
          <w:p>
            <w:pPr>
              <w:rPr>
                <w:sz w:val="22"/>
                <w:szCs w:val="22"/>
              </w:rPr>
            </w:pPr>
          </w:p>
        </w:tc>
        <w:tc>
          <w:tcPr>
            <w:tcW w:w="608" w:type="dxa"/>
          </w:tcPr>
          <w:p>
            <w:pPr>
              <w:rPr>
                <w:sz w:val="22"/>
                <w:szCs w:val="22"/>
              </w:rPr>
            </w:pPr>
          </w:p>
        </w:tc>
        <w:tc>
          <w:tcPr>
            <w:tcW w:w="1009" w:type="dxa"/>
          </w:tcPr>
          <w:p>
            <w:pPr>
              <w:rPr>
                <w:sz w:val="22"/>
                <w:szCs w:val="22"/>
              </w:rPr>
            </w:pPr>
          </w:p>
        </w:tc>
        <w:tc>
          <w:tcPr>
            <w:tcW w:w="794" w:type="dxa"/>
          </w:tcPr>
          <w:p>
            <w:pPr>
              <w:rPr>
                <w:sz w:val="22"/>
                <w:szCs w:val="22"/>
              </w:rPr>
            </w:pPr>
          </w:p>
        </w:tc>
        <w:tc>
          <w:tcPr>
            <w:tcW w:w="822" w:type="dxa"/>
          </w:tcPr>
          <w:p>
            <w:pPr>
              <w:rPr>
                <w:sz w:val="22"/>
                <w:szCs w:val="22"/>
              </w:rPr>
            </w:pPr>
          </w:p>
        </w:tc>
        <w:tc>
          <w:tcPr>
            <w:tcW w:w="987" w:type="dxa"/>
            <w:vMerge w:val="restart"/>
            <w:vAlign w:val="center"/>
          </w:tcPr>
          <w:p>
            <w:pPr>
              <w:pStyle w:val="12"/>
              <w:rPr>
                <w:sz w:val="20"/>
                <w:szCs w:val="22"/>
              </w:rPr>
            </w:pPr>
            <w:r>
              <w:rPr>
                <w:sz w:val="20"/>
                <w:szCs w:val="22"/>
              </w:rP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continue"/>
          </w:tcPr>
          <w:p/>
        </w:tc>
        <w:tc>
          <w:tcPr>
            <w:tcW w:w="758" w:type="dxa"/>
            <w:vAlign w:val="center"/>
          </w:tcPr>
          <w:p>
            <w:pPr>
              <w:pStyle w:val="12"/>
              <w:rPr>
                <w:sz w:val="20"/>
                <w:szCs w:val="22"/>
              </w:rPr>
            </w:pPr>
            <w:r>
              <w:rPr>
                <w:sz w:val="20"/>
                <w:szCs w:val="22"/>
              </w:rPr>
              <w:t>科目    编码</w:t>
            </w:r>
          </w:p>
        </w:tc>
        <w:tc>
          <w:tcPr>
            <w:tcW w:w="1297" w:type="dxa"/>
            <w:vAlign w:val="center"/>
          </w:tcPr>
          <w:p>
            <w:pPr>
              <w:pStyle w:val="12"/>
              <w:rPr>
                <w:sz w:val="20"/>
                <w:szCs w:val="22"/>
              </w:rPr>
            </w:pPr>
            <w:r>
              <w:rPr>
                <w:sz w:val="20"/>
                <w:szCs w:val="22"/>
              </w:rPr>
              <w:t>科目名称</w:t>
            </w:r>
          </w:p>
        </w:tc>
        <w:tc>
          <w:tcPr>
            <w:tcW w:w="1099" w:type="dxa"/>
            <w:vMerge w:val="continue"/>
          </w:tcPr>
          <w:p/>
        </w:tc>
        <w:tc>
          <w:tcPr>
            <w:tcW w:w="1060" w:type="dxa"/>
            <w:vAlign w:val="center"/>
          </w:tcPr>
          <w:p>
            <w:pPr>
              <w:pStyle w:val="12"/>
              <w:rPr>
                <w:sz w:val="20"/>
                <w:szCs w:val="22"/>
              </w:rPr>
            </w:pPr>
            <w:r>
              <w:rPr>
                <w:sz w:val="20"/>
                <w:szCs w:val="22"/>
              </w:rPr>
              <w:t>小计</w:t>
            </w:r>
          </w:p>
        </w:tc>
        <w:tc>
          <w:tcPr>
            <w:tcW w:w="660" w:type="dxa"/>
            <w:vAlign w:val="center"/>
          </w:tcPr>
          <w:p>
            <w:pPr>
              <w:pStyle w:val="12"/>
              <w:rPr>
                <w:sz w:val="20"/>
                <w:szCs w:val="22"/>
              </w:rPr>
            </w:pPr>
            <w:r>
              <w:rPr>
                <w:sz w:val="20"/>
                <w:szCs w:val="22"/>
              </w:rPr>
              <w:t>财政拨款 收入</w:t>
            </w:r>
          </w:p>
        </w:tc>
        <w:tc>
          <w:tcPr>
            <w:tcW w:w="814" w:type="dxa"/>
            <w:gridSpan w:val="2"/>
            <w:vAlign w:val="center"/>
          </w:tcPr>
          <w:p>
            <w:pPr>
              <w:pStyle w:val="12"/>
              <w:rPr>
                <w:sz w:val="20"/>
                <w:szCs w:val="22"/>
              </w:rPr>
            </w:pPr>
            <w:r>
              <w:rPr>
                <w:sz w:val="20"/>
                <w:szCs w:val="22"/>
              </w:rPr>
              <w:t>财政专户 收入</w:t>
            </w:r>
          </w:p>
        </w:tc>
        <w:tc>
          <w:tcPr>
            <w:tcW w:w="375" w:type="dxa"/>
            <w:vAlign w:val="center"/>
          </w:tcPr>
          <w:p>
            <w:pPr>
              <w:pStyle w:val="12"/>
              <w:rPr>
                <w:sz w:val="20"/>
                <w:szCs w:val="22"/>
              </w:rPr>
            </w:pPr>
            <w:r>
              <w:rPr>
                <w:sz w:val="20"/>
                <w:szCs w:val="22"/>
              </w:rPr>
              <w:t>事业收入</w:t>
            </w:r>
          </w:p>
        </w:tc>
        <w:tc>
          <w:tcPr>
            <w:tcW w:w="608" w:type="dxa"/>
            <w:vAlign w:val="center"/>
          </w:tcPr>
          <w:p>
            <w:pPr>
              <w:pStyle w:val="12"/>
              <w:rPr>
                <w:sz w:val="20"/>
                <w:szCs w:val="22"/>
              </w:rPr>
            </w:pPr>
            <w:r>
              <w:rPr>
                <w:sz w:val="20"/>
                <w:szCs w:val="22"/>
              </w:rPr>
              <w:t>经营收入</w:t>
            </w:r>
          </w:p>
        </w:tc>
        <w:tc>
          <w:tcPr>
            <w:tcW w:w="1009" w:type="dxa"/>
            <w:vAlign w:val="center"/>
          </w:tcPr>
          <w:p>
            <w:pPr>
              <w:pStyle w:val="12"/>
              <w:rPr>
                <w:sz w:val="20"/>
                <w:szCs w:val="22"/>
              </w:rPr>
            </w:pPr>
            <w:r>
              <w:rPr>
                <w:sz w:val="20"/>
                <w:szCs w:val="22"/>
              </w:rPr>
              <w:t>上级补助收入</w:t>
            </w:r>
          </w:p>
        </w:tc>
        <w:tc>
          <w:tcPr>
            <w:tcW w:w="794" w:type="dxa"/>
            <w:vAlign w:val="center"/>
          </w:tcPr>
          <w:p>
            <w:pPr>
              <w:pStyle w:val="12"/>
              <w:rPr>
                <w:sz w:val="20"/>
                <w:szCs w:val="22"/>
              </w:rPr>
            </w:pPr>
            <w:r>
              <w:rPr>
                <w:sz w:val="20"/>
                <w:szCs w:val="22"/>
              </w:rPr>
              <w:t>附属单位上缴收入</w:t>
            </w:r>
          </w:p>
        </w:tc>
        <w:tc>
          <w:tcPr>
            <w:tcW w:w="822" w:type="dxa"/>
            <w:vAlign w:val="center"/>
          </w:tcPr>
          <w:p>
            <w:pPr>
              <w:pStyle w:val="12"/>
              <w:rPr>
                <w:sz w:val="20"/>
                <w:szCs w:val="22"/>
              </w:rPr>
            </w:pPr>
            <w:r>
              <w:rPr>
                <w:sz w:val="20"/>
                <w:szCs w:val="22"/>
              </w:rPr>
              <w:t>其他收入</w:t>
            </w:r>
          </w:p>
        </w:tc>
        <w:tc>
          <w:tcPr>
            <w:tcW w:w="987"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Align w:val="center"/>
          </w:tcPr>
          <w:p>
            <w:pPr>
              <w:pStyle w:val="12"/>
            </w:pPr>
            <w:r>
              <w:t>栏次</w:t>
            </w:r>
          </w:p>
        </w:tc>
        <w:tc>
          <w:tcPr>
            <w:tcW w:w="758" w:type="dxa"/>
            <w:vAlign w:val="center"/>
          </w:tcPr>
          <w:p>
            <w:pPr>
              <w:pStyle w:val="12"/>
            </w:pPr>
            <w:r>
              <w:t>1</w:t>
            </w:r>
          </w:p>
        </w:tc>
        <w:tc>
          <w:tcPr>
            <w:tcW w:w="1297" w:type="dxa"/>
            <w:vAlign w:val="center"/>
          </w:tcPr>
          <w:p>
            <w:pPr>
              <w:pStyle w:val="12"/>
            </w:pPr>
            <w:r>
              <w:t>2</w:t>
            </w:r>
          </w:p>
        </w:tc>
        <w:tc>
          <w:tcPr>
            <w:tcW w:w="1099" w:type="dxa"/>
            <w:vAlign w:val="center"/>
          </w:tcPr>
          <w:p>
            <w:pPr>
              <w:pStyle w:val="12"/>
            </w:pPr>
            <w:r>
              <w:t>3</w:t>
            </w:r>
          </w:p>
        </w:tc>
        <w:tc>
          <w:tcPr>
            <w:tcW w:w="1060" w:type="dxa"/>
            <w:vAlign w:val="center"/>
          </w:tcPr>
          <w:p>
            <w:pPr>
              <w:pStyle w:val="12"/>
            </w:pPr>
            <w:r>
              <w:t>4</w:t>
            </w:r>
          </w:p>
        </w:tc>
        <w:tc>
          <w:tcPr>
            <w:tcW w:w="660" w:type="dxa"/>
            <w:vAlign w:val="center"/>
          </w:tcPr>
          <w:p>
            <w:pPr>
              <w:pStyle w:val="12"/>
            </w:pPr>
            <w:r>
              <w:t>5</w:t>
            </w:r>
          </w:p>
        </w:tc>
        <w:tc>
          <w:tcPr>
            <w:tcW w:w="587" w:type="dxa"/>
            <w:vAlign w:val="center"/>
          </w:tcPr>
          <w:p>
            <w:pPr>
              <w:pStyle w:val="12"/>
            </w:pPr>
            <w:r>
              <w:t>6</w:t>
            </w:r>
          </w:p>
        </w:tc>
        <w:tc>
          <w:tcPr>
            <w:tcW w:w="602" w:type="dxa"/>
            <w:gridSpan w:val="2"/>
            <w:vAlign w:val="center"/>
          </w:tcPr>
          <w:p>
            <w:pPr>
              <w:pStyle w:val="12"/>
            </w:pPr>
            <w:r>
              <w:t>7</w:t>
            </w:r>
          </w:p>
        </w:tc>
        <w:tc>
          <w:tcPr>
            <w:tcW w:w="608" w:type="dxa"/>
            <w:vAlign w:val="center"/>
          </w:tcPr>
          <w:p>
            <w:pPr>
              <w:pStyle w:val="12"/>
            </w:pPr>
            <w:r>
              <w:t>8</w:t>
            </w:r>
          </w:p>
        </w:tc>
        <w:tc>
          <w:tcPr>
            <w:tcW w:w="1009" w:type="dxa"/>
            <w:vAlign w:val="center"/>
          </w:tcPr>
          <w:p>
            <w:pPr>
              <w:pStyle w:val="12"/>
            </w:pPr>
            <w:r>
              <w:t>9</w:t>
            </w:r>
          </w:p>
        </w:tc>
        <w:tc>
          <w:tcPr>
            <w:tcW w:w="794" w:type="dxa"/>
            <w:vAlign w:val="center"/>
          </w:tcPr>
          <w:p>
            <w:pPr>
              <w:pStyle w:val="12"/>
            </w:pPr>
            <w:r>
              <w:t>10</w:t>
            </w:r>
          </w:p>
        </w:tc>
        <w:tc>
          <w:tcPr>
            <w:tcW w:w="822" w:type="dxa"/>
            <w:vAlign w:val="center"/>
          </w:tcPr>
          <w:p>
            <w:pPr>
              <w:pStyle w:val="12"/>
            </w:pPr>
            <w:r>
              <w:t>11</w:t>
            </w:r>
          </w:p>
        </w:tc>
        <w:tc>
          <w:tcPr>
            <w:tcW w:w="987"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w:t>
            </w:r>
          </w:p>
        </w:tc>
        <w:tc>
          <w:tcPr>
            <w:tcW w:w="758" w:type="dxa"/>
            <w:vAlign w:val="center"/>
          </w:tcPr>
          <w:p>
            <w:pPr>
              <w:pStyle w:val="18"/>
            </w:pPr>
          </w:p>
        </w:tc>
        <w:tc>
          <w:tcPr>
            <w:tcW w:w="1297" w:type="dxa"/>
            <w:vAlign w:val="center"/>
          </w:tcPr>
          <w:p>
            <w:pPr>
              <w:pStyle w:val="16"/>
            </w:pPr>
            <w:r>
              <w:t>合计</w:t>
            </w:r>
          </w:p>
        </w:tc>
        <w:tc>
          <w:tcPr>
            <w:tcW w:w="1099" w:type="dxa"/>
            <w:vAlign w:val="center"/>
          </w:tcPr>
          <w:p>
            <w:pPr>
              <w:pStyle w:val="17"/>
            </w:pPr>
            <w:r>
              <w:t>1077.50</w:t>
            </w:r>
          </w:p>
        </w:tc>
        <w:tc>
          <w:tcPr>
            <w:tcW w:w="1060" w:type="dxa"/>
            <w:vAlign w:val="center"/>
          </w:tcPr>
          <w:p>
            <w:pPr>
              <w:pStyle w:val="17"/>
            </w:pPr>
            <w:r>
              <w:t>1077.50</w:t>
            </w:r>
          </w:p>
        </w:tc>
        <w:tc>
          <w:tcPr>
            <w:tcW w:w="660" w:type="dxa"/>
            <w:vAlign w:val="center"/>
          </w:tcPr>
          <w:p>
            <w:pPr>
              <w:pStyle w:val="17"/>
            </w:pPr>
            <w:r>
              <w:t>1077.50</w:t>
            </w:r>
          </w:p>
        </w:tc>
        <w:tc>
          <w:tcPr>
            <w:tcW w:w="587" w:type="dxa"/>
            <w:vAlign w:val="center"/>
          </w:tcPr>
          <w:p>
            <w:pPr>
              <w:pStyle w:val="17"/>
            </w:pPr>
          </w:p>
        </w:tc>
        <w:tc>
          <w:tcPr>
            <w:tcW w:w="602" w:type="dxa"/>
            <w:gridSpan w:val="2"/>
            <w:vAlign w:val="center"/>
          </w:tcPr>
          <w:p>
            <w:pPr>
              <w:pStyle w:val="17"/>
            </w:pPr>
          </w:p>
        </w:tc>
        <w:tc>
          <w:tcPr>
            <w:tcW w:w="608" w:type="dxa"/>
            <w:vAlign w:val="center"/>
          </w:tcPr>
          <w:p>
            <w:pPr>
              <w:pStyle w:val="17"/>
            </w:pPr>
          </w:p>
        </w:tc>
        <w:tc>
          <w:tcPr>
            <w:tcW w:w="1009" w:type="dxa"/>
            <w:vAlign w:val="center"/>
          </w:tcPr>
          <w:p>
            <w:pPr>
              <w:pStyle w:val="17"/>
            </w:pPr>
          </w:p>
        </w:tc>
        <w:tc>
          <w:tcPr>
            <w:tcW w:w="794" w:type="dxa"/>
            <w:vAlign w:val="center"/>
          </w:tcPr>
          <w:p>
            <w:pPr>
              <w:pStyle w:val="17"/>
            </w:pPr>
          </w:p>
        </w:tc>
        <w:tc>
          <w:tcPr>
            <w:tcW w:w="822" w:type="dxa"/>
            <w:vAlign w:val="center"/>
          </w:tcPr>
          <w:p>
            <w:pPr>
              <w:pStyle w:val="17"/>
            </w:pPr>
          </w:p>
        </w:tc>
        <w:tc>
          <w:tcPr>
            <w:tcW w:w="987"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2</w:t>
            </w:r>
          </w:p>
        </w:tc>
        <w:tc>
          <w:tcPr>
            <w:tcW w:w="758" w:type="dxa"/>
            <w:vAlign w:val="center"/>
          </w:tcPr>
          <w:p>
            <w:pPr>
              <w:pStyle w:val="14"/>
            </w:pPr>
            <w:r>
              <w:t>201</w:t>
            </w:r>
          </w:p>
        </w:tc>
        <w:tc>
          <w:tcPr>
            <w:tcW w:w="1297" w:type="dxa"/>
            <w:vAlign w:val="center"/>
          </w:tcPr>
          <w:p>
            <w:pPr>
              <w:pStyle w:val="14"/>
              <w:rPr>
                <w:sz w:val="20"/>
                <w:szCs w:val="22"/>
              </w:rPr>
            </w:pPr>
            <w:r>
              <w:rPr>
                <w:sz w:val="20"/>
                <w:szCs w:val="22"/>
              </w:rPr>
              <w:t>一般公共服务支出</w:t>
            </w:r>
          </w:p>
        </w:tc>
        <w:tc>
          <w:tcPr>
            <w:tcW w:w="1099" w:type="dxa"/>
            <w:vAlign w:val="center"/>
          </w:tcPr>
          <w:p>
            <w:pPr>
              <w:pStyle w:val="13"/>
            </w:pPr>
            <w:r>
              <w:t>1077.50</w:t>
            </w:r>
          </w:p>
        </w:tc>
        <w:tc>
          <w:tcPr>
            <w:tcW w:w="1060" w:type="dxa"/>
            <w:vAlign w:val="center"/>
          </w:tcPr>
          <w:p>
            <w:pPr>
              <w:pStyle w:val="13"/>
            </w:pPr>
            <w:r>
              <w:t>1077.50</w:t>
            </w:r>
          </w:p>
        </w:tc>
        <w:tc>
          <w:tcPr>
            <w:tcW w:w="660" w:type="dxa"/>
            <w:vAlign w:val="center"/>
          </w:tcPr>
          <w:p>
            <w:pPr>
              <w:pStyle w:val="13"/>
            </w:pPr>
            <w:r>
              <w:t>1077.50</w:t>
            </w:r>
          </w:p>
        </w:tc>
        <w:tc>
          <w:tcPr>
            <w:tcW w:w="587" w:type="dxa"/>
            <w:vAlign w:val="center"/>
          </w:tcPr>
          <w:p>
            <w:pPr>
              <w:pStyle w:val="13"/>
            </w:pPr>
          </w:p>
        </w:tc>
        <w:tc>
          <w:tcPr>
            <w:tcW w:w="602" w:type="dxa"/>
            <w:gridSpan w:val="2"/>
            <w:vAlign w:val="center"/>
          </w:tcPr>
          <w:p>
            <w:pPr>
              <w:pStyle w:val="13"/>
            </w:pPr>
          </w:p>
        </w:tc>
        <w:tc>
          <w:tcPr>
            <w:tcW w:w="608" w:type="dxa"/>
            <w:vAlign w:val="center"/>
          </w:tcPr>
          <w:p>
            <w:pPr>
              <w:pStyle w:val="13"/>
            </w:pPr>
          </w:p>
        </w:tc>
        <w:tc>
          <w:tcPr>
            <w:tcW w:w="1009" w:type="dxa"/>
            <w:vAlign w:val="center"/>
          </w:tcPr>
          <w:p>
            <w:pPr>
              <w:pStyle w:val="13"/>
            </w:pPr>
          </w:p>
        </w:tc>
        <w:tc>
          <w:tcPr>
            <w:tcW w:w="794" w:type="dxa"/>
            <w:vAlign w:val="center"/>
          </w:tcPr>
          <w:p>
            <w:pPr>
              <w:pStyle w:val="13"/>
            </w:pPr>
          </w:p>
        </w:tc>
        <w:tc>
          <w:tcPr>
            <w:tcW w:w="822" w:type="dxa"/>
            <w:vAlign w:val="center"/>
          </w:tcPr>
          <w:p>
            <w:pPr>
              <w:pStyle w:val="13"/>
            </w:pPr>
          </w:p>
        </w:tc>
        <w:tc>
          <w:tcPr>
            <w:tcW w:w="98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3</w:t>
            </w:r>
          </w:p>
        </w:tc>
        <w:tc>
          <w:tcPr>
            <w:tcW w:w="758" w:type="dxa"/>
            <w:vAlign w:val="center"/>
          </w:tcPr>
          <w:p>
            <w:pPr>
              <w:pStyle w:val="14"/>
            </w:pPr>
            <w:r>
              <w:t>20131</w:t>
            </w:r>
          </w:p>
        </w:tc>
        <w:tc>
          <w:tcPr>
            <w:tcW w:w="1297" w:type="dxa"/>
            <w:vAlign w:val="center"/>
          </w:tcPr>
          <w:p>
            <w:pPr>
              <w:pStyle w:val="14"/>
              <w:rPr>
                <w:sz w:val="20"/>
                <w:szCs w:val="22"/>
              </w:rPr>
            </w:pPr>
            <w:r>
              <w:rPr>
                <w:sz w:val="20"/>
                <w:szCs w:val="22"/>
              </w:rPr>
              <w:t>党委办公厅（室）及相关机构事务</w:t>
            </w:r>
          </w:p>
        </w:tc>
        <w:tc>
          <w:tcPr>
            <w:tcW w:w="1099" w:type="dxa"/>
            <w:vAlign w:val="center"/>
          </w:tcPr>
          <w:p>
            <w:pPr>
              <w:pStyle w:val="13"/>
            </w:pPr>
            <w:r>
              <w:t>1077.50</w:t>
            </w:r>
          </w:p>
        </w:tc>
        <w:tc>
          <w:tcPr>
            <w:tcW w:w="1060" w:type="dxa"/>
            <w:vAlign w:val="center"/>
          </w:tcPr>
          <w:p>
            <w:pPr>
              <w:pStyle w:val="13"/>
            </w:pPr>
            <w:r>
              <w:t>1077.50</w:t>
            </w:r>
          </w:p>
        </w:tc>
        <w:tc>
          <w:tcPr>
            <w:tcW w:w="660" w:type="dxa"/>
            <w:vAlign w:val="center"/>
          </w:tcPr>
          <w:p>
            <w:pPr>
              <w:pStyle w:val="13"/>
            </w:pPr>
            <w:r>
              <w:t>1077.50</w:t>
            </w:r>
          </w:p>
        </w:tc>
        <w:tc>
          <w:tcPr>
            <w:tcW w:w="587" w:type="dxa"/>
            <w:vAlign w:val="center"/>
          </w:tcPr>
          <w:p>
            <w:pPr>
              <w:pStyle w:val="13"/>
            </w:pPr>
          </w:p>
        </w:tc>
        <w:tc>
          <w:tcPr>
            <w:tcW w:w="602" w:type="dxa"/>
            <w:gridSpan w:val="2"/>
            <w:vAlign w:val="center"/>
          </w:tcPr>
          <w:p>
            <w:pPr>
              <w:pStyle w:val="13"/>
            </w:pPr>
          </w:p>
        </w:tc>
        <w:tc>
          <w:tcPr>
            <w:tcW w:w="608" w:type="dxa"/>
            <w:vAlign w:val="center"/>
          </w:tcPr>
          <w:p>
            <w:pPr>
              <w:pStyle w:val="13"/>
            </w:pPr>
          </w:p>
        </w:tc>
        <w:tc>
          <w:tcPr>
            <w:tcW w:w="1009" w:type="dxa"/>
            <w:vAlign w:val="center"/>
          </w:tcPr>
          <w:p>
            <w:pPr>
              <w:pStyle w:val="13"/>
            </w:pPr>
          </w:p>
        </w:tc>
        <w:tc>
          <w:tcPr>
            <w:tcW w:w="794" w:type="dxa"/>
            <w:vAlign w:val="center"/>
          </w:tcPr>
          <w:p>
            <w:pPr>
              <w:pStyle w:val="13"/>
            </w:pPr>
          </w:p>
        </w:tc>
        <w:tc>
          <w:tcPr>
            <w:tcW w:w="822" w:type="dxa"/>
            <w:vAlign w:val="center"/>
          </w:tcPr>
          <w:p>
            <w:pPr>
              <w:pStyle w:val="13"/>
            </w:pPr>
          </w:p>
        </w:tc>
        <w:tc>
          <w:tcPr>
            <w:tcW w:w="98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4</w:t>
            </w:r>
          </w:p>
        </w:tc>
        <w:tc>
          <w:tcPr>
            <w:tcW w:w="758" w:type="dxa"/>
            <w:vAlign w:val="center"/>
          </w:tcPr>
          <w:p>
            <w:pPr>
              <w:pStyle w:val="14"/>
            </w:pPr>
            <w:r>
              <w:t>2013105</w:t>
            </w:r>
          </w:p>
        </w:tc>
        <w:tc>
          <w:tcPr>
            <w:tcW w:w="1297" w:type="dxa"/>
            <w:vAlign w:val="center"/>
          </w:tcPr>
          <w:p>
            <w:pPr>
              <w:pStyle w:val="14"/>
              <w:rPr>
                <w:sz w:val="20"/>
                <w:szCs w:val="22"/>
              </w:rPr>
            </w:pPr>
            <w:r>
              <w:rPr>
                <w:sz w:val="20"/>
                <w:szCs w:val="22"/>
              </w:rPr>
              <w:t>专项业务</w:t>
            </w:r>
          </w:p>
        </w:tc>
        <w:tc>
          <w:tcPr>
            <w:tcW w:w="1099" w:type="dxa"/>
            <w:vAlign w:val="center"/>
          </w:tcPr>
          <w:p>
            <w:pPr>
              <w:pStyle w:val="13"/>
            </w:pPr>
            <w:r>
              <w:t>298.13</w:t>
            </w:r>
          </w:p>
        </w:tc>
        <w:tc>
          <w:tcPr>
            <w:tcW w:w="1060" w:type="dxa"/>
            <w:vAlign w:val="center"/>
          </w:tcPr>
          <w:p>
            <w:pPr>
              <w:pStyle w:val="13"/>
            </w:pPr>
            <w:r>
              <w:t>298.13</w:t>
            </w:r>
          </w:p>
        </w:tc>
        <w:tc>
          <w:tcPr>
            <w:tcW w:w="660" w:type="dxa"/>
            <w:vAlign w:val="center"/>
          </w:tcPr>
          <w:p>
            <w:pPr>
              <w:pStyle w:val="13"/>
            </w:pPr>
            <w:r>
              <w:t>298.13</w:t>
            </w:r>
          </w:p>
        </w:tc>
        <w:tc>
          <w:tcPr>
            <w:tcW w:w="587" w:type="dxa"/>
            <w:vAlign w:val="center"/>
          </w:tcPr>
          <w:p>
            <w:pPr>
              <w:pStyle w:val="13"/>
            </w:pPr>
          </w:p>
        </w:tc>
        <w:tc>
          <w:tcPr>
            <w:tcW w:w="602" w:type="dxa"/>
            <w:gridSpan w:val="2"/>
            <w:vAlign w:val="center"/>
          </w:tcPr>
          <w:p>
            <w:pPr>
              <w:pStyle w:val="13"/>
            </w:pPr>
          </w:p>
        </w:tc>
        <w:tc>
          <w:tcPr>
            <w:tcW w:w="608" w:type="dxa"/>
            <w:vAlign w:val="center"/>
          </w:tcPr>
          <w:p>
            <w:pPr>
              <w:pStyle w:val="13"/>
            </w:pPr>
          </w:p>
        </w:tc>
        <w:tc>
          <w:tcPr>
            <w:tcW w:w="1009" w:type="dxa"/>
            <w:vAlign w:val="center"/>
          </w:tcPr>
          <w:p>
            <w:pPr>
              <w:pStyle w:val="13"/>
            </w:pPr>
          </w:p>
        </w:tc>
        <w:tc>
          <w:tcPr>
            <w:tcW w:w="794" w:type="dxa"/>
            <w:vAlign w:val="center"/>
          </w:tcPr>
          <w:p>
            <w:pPr>
              <w:pStyle w:val="13"/>
            </w:pPr>
          </w:p>
        </w:tc>
        <w:tc>
          <w:tcPr>
            <w:tcW w:w="822" w:type="dxa"/>
            <w:vAlign w:val="center"/>
          </w:tcPr>
          <w:p>
            <w:pPr>
              <w:pStyle w:val="13"/>
            </w:pPr>
          </w:p>
        </w:tc>
        <w:tc>
          <w:tcPr>
            <w:tcW w:w="98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5</w:t>
            </w:r>
          </w:p>
        </w:tc>
        <w:tc>
          <w:tcPr>
            <w:tcW w:w="758" w:type="dxa"/>
            <w:vAlign w:val="center"/>
          </w:tcPr>
          <w:p>
            <w:pPr>
              <w:pStyle w:val="14"/>
            </w:pPr>
            <w:r>
              <w:t>2013150</w:t>
            </w:r>
          </w:p>
        </w:tc>
        <w:tc>
          <w:tcPr>
            <w:tcW w:w="1297" w:type="dxa"/>
            <w:vAlign w:val="center"/>
          </w:tcPr>
          <w:p>
            <w:pPr>
              <w:pStyle w:val="14"/>
            </w:pPr>
            <w:r>
              <w:t>事业运行</w:t>
            </w:r>
          </w:p>
        </w:tc>
        <w:tc>
          <w:tcPr>
            <w:tcW w:w="1099" w:type="dxa"/>
            <w:vAlign w:val="center"/>
          </w:tcPr>
          <w:p>
            <w:pPr>
              <w:pStyle w:val="13"/>
            </w:pPr>
            <w:r>
              <w:t>779.38</w:t>
            </w:r>
          </w:p>
        </w:tc>
        <w:tc>
          <w:tcPr>
            <w:tcW w:w="1060" w:type="dxa"/>
            <w:vAlign w:val="center"/>
          </w:tcPr>
          <w:p>
            <w:pPr>
              <w:pStyle w:val="13"/>
            </w:pPr>
            <w:r>
              <w:t>779.38</w:t>
            </w:r>
          </w:p>
        </w:tc>
        <w:tc>
          <w:tcPr>
            <w:tcW w:w="660" w:type="dxa"/>
            <w:vAlign w:val="center"/>
          </w:tcPr>
          <w:p>
            <w:pPr>
              <w:pStyle w:val="13"/>
            </w:pPr>
            <w:r>
              <w:t>779.38</w:t>
            </w:r>
          </w:p>
        </w:tc>
        <w:tc>
          <w:tcPr>
            <w:tcW w:w="587" w:type="dxa"/>
            <w:vAlign w:val="center"/>
          </w:tcPr>
          <w:p>
            <w:pPr>
              <w:pStyle w:val="13"/>
            </w:pPr>
          </w:p>
        </w:tc>
        <w:tc>
          <w:tcPr>
            <w:tcW w:w="602" w:type="dxa"/>
            <w:gridSpan w:val="2"/>
            <w:vAlign w:val="center"/>
          </w:tcPr>
          <w:p>
            <w:pPr>
              <w:pStyle w:val="13"/>
            </w:pPr>
          </w:p>
        </w:tc>
        <w:tc>
          <w:tcPr>
            <w:tcW w:w="608" w:type="dxa"/>
            <w:vAlign w:val="center"/>
          </w:tcPr>
          <w:p>
            <w:pPr>
              <w:pStyle w:val="13"/>
            </w:pPr>
          </w:p>
        </w:tc>
        <w:tc>
          <w:tcPr>
            <w:tcW w:w="1009" w:type="dxa"/>
            <w:vAlign w:val="center"/>
          </w:tcPr>
          <w:p>
            <w:pPr>
              <w:pStyle w:val="13"/>
            </w:pPr>
          </w:p>
        </w:tc>
        <w:tc>
          <w:tcPr>
            <w:tcW w:w="794" w:type="dxa"/>
            <w:vAlign w:val="center"/>
          </w:tcPr>
          <w:p>
            <w:pPr>
              <w:pStyle w:val="13"/>
            </w:pPr>
          </w:p>
        </w:tc>
        <w:tc>
          <w:tcPr>
            <w:tcW w:w="822" w:type="dxa"/>
            <w:vAlign w:val="center"/>
          </w:tcPr>
          <w:p>
            <w:pPr>
              <w:pStyle w:val="13"/>
            </w:pPr>
          </w:p>
        </w:tc>
        <w:tc>
          <w:tcPr>
            <w:tcW w:w="987"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rPr>
          <w:rFonts w:ascii="方正小标宋_GBK" w:hAnsi="方正小标宋_GBK" w:eastAsia="方正小标宋_GBK" w:cs="方正小标宋_GBK"/>
          <w:color w:val="000000"/>
          <w:sz w:val="36"/>
        </w:rPr>
      </w:pPr>
      <w:r>
        <w:rPr>
          <w:rFonts w:ascii="方正小标宋_GBK" w:hAnsi="方正小标宋_GBK" w:eastAsia="方正小标宋_GBK" w:cs="方正小标宋_GBK"/>
          <w:color w:val="000000"/>
          <w:sz w:val="36"/>
        </w:rPr>
        <w:t>单位预算支出总表</w:t>
      </w:r>
    </w:p>
    <w:p>
      <w:pPr>
        <w:rPr>
          <w:rFonts w:ascii="方正小标宋_GBK" w:hAnsi="方正小标宋_GBK" w:eastAsia="方正小标宋_GBK" w:cs="方正小标宋_GBK"/>
          <w:color w:val="000000"/>
          <w:sz w:val="36"/>
        </w:rPr>
      </w:pPr>
      <w:r>
        <w:rPr>
          <w:rFonts w:hint="eastAsia" w:eastAsia="宋体"/>
          <w:lang w:val="en-US" w:eastAsia="zh-CN"/>
        </w:rPr>
        <w:t xml:space="preserve">                                           </w:t>
      </w:r>
      <w:r>
        <w:t>201004隆尧县机关事务管理局</w:t>
      </w:r>
      <w:r>
        <w:rPr>
          <w:rFonts w:hint="eastAsia" w:eastAsia="宋体"/>
          <w:lang w:val="en-US" w:eastAsia="zh-CN"/>
        </w:rPr>
        <w:t xml:space="preserve">                </w:t>
      </w:r>
      <w:r>
        <w:t>预算年度：2023</w:t>
      </w:r>
      <w:r>
        <w:rPr>
          <w:rFonts w:hint="eastAsia" w:eastAsia="宋体"/>
          <w:lang w:val="en-US" w:eastAsia="zh-CN"/>
        </w:rPr>
        <w:t xml:space="preserve">                                            </w:t>
      </w:r>
      <w:r>
        <w:t>单位：万元</w:t>
      </w:r>
    </w:p>
    <w:tbl>
      <w:tblPr>
        <w:tblStyle w:val="6"/>
        <w:tblW w:w="985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10"/>
        <w:gridCol w:w="1073"/>
        <w:gridCol w:w="2237"/>
        <w:gridCol w:w="1115"/>
        <w:gridCol w:w="515"/>
        <w:gridCol w:w="820"/>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10" w:type="dxa"/>
            <w:vMerge w:val="restart"/>
            <w:vAlign w:val="center"/>
          </w:tcPr>
          <w:p>
            <w:pPr>
              <w:pStyle w:val="12"/>
              <w:rPr>
                <w:sz w:val="20"/>
                <w:szCs w:val="22"/>
              </w:rPr>
            </w:pPr>
            <w:r>
              <w:rPr>
                <w:sz w:val="20"/>
                <w:szCs w:val="22"/>
              </w:rPr>
              <w:t>序号</w:t>
            </w:r>
          </w:p>
        </w:tc>
        <w:tc>
          <w:tcPr>
            <w:tcW w:w="1073" w:type="dxa"/>
            <w:vAlign w:val="center"/>
          </w:tcPr>
          <w:p>
            <w:pPr>
              <w:pStyle w:val="12"/>
              <w:rPr>
                <w:sz w:val="20"/>
                <w:szCs w:val="22"/>
              </w:rPr>
            </w:pPr>
            <w:r>
              <w:rPr>
                <w:sz w:val="20"/>
                <w:szCs w:val="22"/>
              </w:rPr>
              <w:t>功能分类科目</w:t>
            </w:r>
          </w:p>
        </w:tc>
        <w:tc>
          <w:tcPr>
            <w:tcW w:w="2237" w:type="dxa"/>
          </w:tcPr>
          <w:p>
            <w:pPr>
              <w:rPr>
                <w:sz w:val="22"/>
                <w:szCs w:val="22"/>
              </w:rPr>
            </w:pPr>
          </w:p>
        </w:tc>
        <w:tc>
          <w:tcPr>
            <w:tcW w:w="1115" w:type="dxa"/>
            <w:vMerge w:val="restart"/>
            <w:vAlign w:val="center"/>
          </w:tcPr>
          <w:p>
            <w:pPr>
              <w:pStyle w:val="12"/>
              <w:rPr>
                <w:sz w:val="20"/>
                <w:szCs w:val="22"/>
              </w:rPr>
            </w:pPr>
            <w:r>
              <w:rPr>
                <w:sz w:val="20"/>
                <w:szCs w:val="22"/>
              </w:rPr>
              <w:t>合计</w:t>
            </w:r>
          </w:p>
        </w:tc>
        <w:tc>
          <w:tcPr>
            <w:tcW w:w="515" w:type="dxa"/>
            <w:vMerge w:val="restart"/>
            <w:vAlign w:val="center"/>
          </w:tcPr>
          <w:p>
            <w:pPr>
              <w:pStyle w:val="12"/>
              <w:rPr>
                <w:sz w:val="20"/>
                <w:szCs w:val="22"/>
              </w:rPr>
            </w:pPr>
            <w:r>
              <w:rPr>
                <w:sz w:val="20"/>
                <w:szCs w:val="22"/>
              </w:rPr>
              <w:t>基本支出</w:t>
            </w:r>
          </w:p>
        </w:tc>
        <w:tc>
          <w:tcPr>
            <w:tcW w:w="820" w:type="dxa"/>
            <w:vMerge w:val="restart"/>
            <w:vAlign w:val="center"/>
          </w:tcPr>
          <w:p>
            <w:pPr>
              <w:pStyle w:val="12"/>
              <w:rPr>
                <w:sz w:val="20"/>
                <w:szCs w:val="22"/>
              </w:rPr>
            </w:pPr>
            <w:r>
              <w:rPr>
                <w:sz w:val="20"/>
                <w:szCs w:val="22"/>
              </w:rPr>
              <w:t>项目支出</w:t>
            </w:r>
          </w:p>
        </w:tc>
        <w:tc>
          <w:tcPr>
            <w:tcW w:w="1095" w:type="dxa"/>
            <w:vMerge w:val="restart"/>
            <w:vAlign w:val="center"/>
          </w:tcPr>
          <w:p>
            <w:pPr>
              <w:pStyle w:val="12"/>
              <w:rPr>
                <w:sz w:val="20"/>
                <w:szCs w:val="22"/>
              </w:rPr>
            </w:pPr>
            <w:r>
              <w:rPr>
                <w:sz w:val="20"/>
                <w:szCs w:val="22"/>
              </w:rPr>
              <w:t>经营支出</w:t>
            </w:r>
          </w:p>
        </w:tc>
        <w:tc>
          <w:tcPr>
            <w:tcW w:w="1095" w:type="dxa"/>
            <w:vMerge w:val="restart"/>
            <w:vAlign w:val="center"/>
          </w:tcPr>
          <w:p>
            <w:pPr>
              <w:pStyle w:val="12"/>
              <w:rPr>
                <w:sz w:val="20"/>
                <w:szCs w:val="22"/>
              </w:rPr>
            </w:pPr>
            <w:r>
              <w:rPr>
                <w:sz w:val="20"/>
                <w:szCs w:val="22"/>
              </w:rPr>
              <w:t>上解上级     支出</w:t>
            </w:r>
          </w:p>
        </w:tc>
        <w:tc>
          <w:tcPr>
            <w:tcW w:w="1095" w:type="dxa"/>
            <w:vMerge w:val="restart"/>
            <w:vAlign w:val="center"/>
          </w:tcPr>
          <w:p>
            <w:pPr>
              <w:pStyle w:val="12"/>
              <w:rPr>
                <w:sz w:val="20"/>
                <w:szCs w:val="22"/>
              </w:rPr>
            </w:pPr>
            <w:r>
              <w:rPr>
                <w:sz w:val="20"/>
                <w:szCs w:val="22"/>
              </w:rP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10" w:type="dxa"/>
            <w:vMerge w:val="continue"/>
          </w:tcPr>
          <w:p/>
        </w:tc>
        <w:tc>
          <w:tcPr>
            <w:tcW w:w="1073" w:type="dxa"/>
            <w:vAlign w:val="center"/>
          </w:tcPr>
          <w:p>
            <w:pPr>
              <w:pStyle w:val="12"/>
              <w:rPr>
                <w:sz w:val="20"/>
                <w:szCs w:val="22"/>
              </w:rPr>
            </w:pPr>
            <w:r>
              <w:rPr>
                <w:sz w:val="20"/>
                <w:szCs w:val="22"/>
              </w:rPr>
              <w:t>科目编码</w:t>
            </w:r>
          </w:p>
        </w:tc>
        <w:tc>
          <w:tcPr>
            <w:tcW w:w="2237" w:type="dxa"/>
            <w:vAlign w:val="center"/>
          </w:tcPr>
          <w:p>
            <w:pPr>
              <w:pStyle w:val="12"/>
              <w:rPr>
                <w:sz w:val="20"/>
                <w:szCs w:val="22"/>
              </w:rPr>
            </w:pPr>
            <w:r>
              <w:rPr>
                <w:sz w:val="20"/>
                <w:szCs w:val="22"/>
              </w:rPr>
              <w:t>科目名称</w:t>
            </w:r>
          </w:p>
        </w:tc>
        <w:tc>
          <w:tcPr>
            <w:tcW w:w="1115" w:type="dxa"/>
            <w:vMerge w:val="continue"/>
          </w:tcPr>
          <w:p/>
        </w:tc>
        <w:tc>
          <w:tcPr>
            <w:tcW w:w="515" w:type="dxa"/>
            <w:vMerge w:val="continue"/>
          </w:tcPr>
          <w:p/>
        </w:tc>
        <w:tc>
          <w:tcPr>
            <w:tcW w:w="820" w:type="dxa"/>
            <w:vMerge w:val="continue"/>
          </w:tcPr>
          <w:p/>
        </w:tc>
        <w:tc>
          <w:tcPr>
            <w:tcW w:w="1095" w:type="dxa"/>
            <w:vMerge w:val="continue"/>
          </w:tcPr>
          <w:p/>
        </w:tc>
        <w:tc>
          <w:tcPr>
            <w:tcW w:w="1095" w:type="dxa"/>
            <w:vMerge w:val="continue"/>
          </w:tcPr>
          <w:p/>
        </w:tc>
        <w:tc>
          <w:tcPr>
            <w:tcW w:w="109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10" w:type="dxa"/>
            <w:vAlign w:val="center"/>
          </w:tcPr>
          <w:p>
            <w:pPr>
              <w:pStyle w:val="12"/>
            </w:pPr>
            <w:r>
              <w:t>栏次</w:t>
            </w:r>
          </w:p>
        </w:tc>
        <w:tc>
          <w:tcPr>
            <w:tcW w:w="1073" w:type="dxa"/>
            <w:vAlign w:val="center"/>
          </w:tcPr>
          <w:p>
            <w:pPr>
              <w:pStyle w:val="12"/>
            </w:pPr>
            <w:r>
              <w:t>1</w:t>
            </w:r>
          </w:p>
        </w:tc>
        <w:tc>
          <w:tcPr>
            <w:tcW w:w="2237" w:type="dxa"/>
            <w:vAlign w:val="center"/>
          </w:tcPr>
          <w:p>
            <w:pPr>
              <w:pStyle w:val="12"/>
            </w:pPr>
            <w:r>
              <w:t>2</w:t>
            </w:r>
          </w:p>
        </w:tc>
        <w:tc>
          <w:tcPr>
            <w:tcW w:w="1115" w:type="dxa"/>
            <w:vAlign w:val="center"/>
          </w:tcPr>
          <w:p>
            <w:pPr>
              <w:pStyle w:val="12"/>
            </w:pPr>
            <w:r>
              <w:t>3</w:t>
            </w:r>
          </w:p>
        </w:tc>
        <w:tc>
          <w:tcPr>
            <w:tcW w:w="515" w:type="dxa"/>
            <w:vAlign w:val="center"/>
          </w:tcPr>
          <w:p>
            <w:pPr>
              <w:pStyle w:val="12"/>
            </w:pPr>
            <w:r>
              <w:t>4</w:t>
            </w:r>
          </w:p>
        </w:tc>
        <w:tc>
          <w:tcPr>
            <w:tcW w:w="820" w:type="dxa"/>
            <w:vAlign w:val="center"/>
          </w:tcPr>
          <w:p>
            <w:pPr>
              <w:pStyle w:val="12"/>
            </w:pPr>
            <w:r>
              <w:t>5</w:t>
            </w:r>
          </w:p>
        </w:tc>
        <w:tc>
          <w:tcPr>
            <w:tcW w:w="1095" w:type="dxa"/>
            <w:vAlign w:val="center"/>
          </w:tcPr>
          <w:p>
            <w:pPr>
              <w:pStyle w:val="12"/>
            </w:pPr>
            <w:r>
              <w:t>6</w:t>
            </w:r>
          </w:p>
        </w:tc>
        <w:tc>
          <w:tcPr>
            <w:tcW w:w="1095" w:type="dxa"/>
            <w:vAlign w:val="center"/>
          </w:tcPr>
          <w:p>
            <w:pPr>
              <w:pStyle w:val="12"/>
            </w:pPr>
            <w:r>
              <w:t>7</w:t>
            </w:r>
          </w:p>
        </w:tc>
        <w:tc>
          <w:tcPr>
            <w:tcW w:w="1095"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32" w:hRule="atLeast"/>
          <w:jc w:val="center"/>
        </w:trPr>
        <w:tc>
          <w:tcPr>
            <w:tcW w:w="810" w:type="dxa"/>
            <w:vAlign w:val="center"/>
          </w:tcPr>
          <w:p>
            <w:pPr>
              <w:pStyle w:val="15"/>
            </w:pPr>
            <w:r>
              <w:t>1</w:t>
            </w:r>
          </w:p>
        </w:tc>
        <w:tc>
          <w:tcPr>
            <w:tcW w:w="1073" w:type="dxa"/>
            <w:vAlign w:val="center"/>
          </w:tcPr>
          <w:p>
            <w:pPr>
              <w:pStyle w:val="18"/>
            </w:pPr>
          </w:p>
        </w:tc>
        <w:tc>
          <w:tcPr>
            <w:tcW w:w="2237" w:type="dxa"/>
            <w:vAlign w:val="center"/>
          </w:tcPr>
          <w:p>
            <w:pPr>
              <w:pStyle w:val="16"/>
            </w:pPr>
            <w:r>
              <w:t>合计</w:t>
            </w:r>
          </w:p>
        </w:tc>
        <w:tc>
          <w:tcPr>
            <w:tcW w:w="1115" w:type="dxa"/>
            <w:vAlign w:val="center"/>
          </w:tcPr>
          <w:p>
            <w:pPr>
              <w:pStyle w:val="17"/>
            </w:pPr>
            <w:r>
              <w:t>1077.50</w:t>
            </w:r>
          </w:p>
        </w:tc>
        <w:tc>
          <w:tcPr>
            <w:tcW w:w="515" w:type="dxa"/>
            <w:vAlign w:val="center"/>
          </w:tcPr>
          <w:p>
            <w:pPr>
              <w:pStyle w:val="17"/>
            </w:pPr>
          </w:p>
        </w:tc>
        <w:tc>
          <w:tcPr>
            <w:tcW w:w="820" w:type="dxa"/>
            <w:vAlign w:val="center"/>
          </w:tcPr>
          <w:p>
            <w:pPr>
              <w:pStyle w:val="17"/>
            </w:pPr>
            <w:r>
              <w:t>1077.50</w:t>
            </w:r>
          </w:p>
        </w:tc>
        <w:tc>
          <w:tcPr>
            <w:tcW w:w="1095" w:type="dxa"/>
            <w:vAlign w:val="center"/>
          </w:tcPr>
          <w:p>
            <w:pPr>
              <w:pStyle w:val="17"/>
            </w:pPr>
          </w:p>
        </w:tc>
        <w:tc>
          <w:tcPr>
            <w:tcW w:w="1095" w:type="dxa"/>
            <w:vAlign w:val="center"/>
          </w:tcPr>
          <w:p>
            <w:pPr>
              <w:pStyle w:val="17"/>
            </w:pPr>
          </w:p>
        </w:tc>
        <w:tc>
          <w:tcPr>
            <w:tcW w:w="1095"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10" w:type="dxa"/>
            <w:vAlign w:val="center"/>
          </w:tcPr>
          <w:p>
            <w:pPr>
              <w:pStyle w:val="15"/>
            </w:pPr>
            <w:r>
              <w:t>2</w:t>
            </w:r>
          </w:p>
        </w:tc>
        <w:tc>
          <w:tcPr>
            <w:tcW w:w="1073" w:type="dxa"/>
            <w:vAlign w:val="center"/>
          </w:tcPr>
          <w:p>
            <w:pPr>
              <w:pStyle w:val="14"/>
            </w:pPr>
            <w:r>
              <w:t>201</w:t>
            </w:r>
          </w:p>
        </w:tc>
        <w:tc>
          <w:tcPr>
            <w:tcW w:w="2237" w:type="dxa"/>
            <w:vAlign w:val="center"/>
          </w:tcPr>
          <w:p>
            <w:pPr>
              <w:pStyle w:val="14"/>
              <w:jc w:val="center"/>
            </w:pPr>
            <w:r>
              <w:t>一般公共服务支出</w:t>
            </w:r>
          </w:p>
        </w:tc>
        <w:tc>
          <w:tcPr>
            <w:tcW w:w="1115" w:type="dxa"/>
            <w:vAlign w:val="center"/>
          </w:tcPr>
          <w:p>
            <w:pPr>
              <w:pStyle w:val="13"/>
            </w:pPr>
            <w:r>
              <w:t>1077.50</w:t>
            </w:r>
          </w:p>
        </w:tc>
        <w:tc>
          <w:tcPr>
            <w:tcW w:w="515" w:type="dxa"/>
            <w:vAlign w:val="center"/>
          </w:tcPr>
          <w:p>
            <w:pPr>
              <w:pStyle w:val="13"/>
            </w:pPr>
          </w:p>
        </w:tc>
        <w:tc>
          <w:tcPr>
            <w:tcW w:w="820" w:type="dxa"/>
            <w:vAlign w:val="center"/>
          </w:tcPr>
          <w:p>
            <w:pPr>
              <w:pStyle w:val="13"/>
            </w:pPr>
            <w:r>
              <w:t>1077.50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10" w:type="dxa"/>
            <w:vAlign w:val="center"/>
          </w:tcPr>
          <w:p>
            <w:pPr>
              <w:pStyle w:val="15"/>
            </w:pPr>
            <w:r>
              <w:t>3</w:t>
            </w:r>
          </w:p>
        </w:tc>
        <w:tc>
          <w:tcPr>
            <w:tcW w:w="1073" w:type="dxa"/>
            <w:vAlign w:val="center"/>
          </w:tcPr>
          <w:p>
            <w:pPr>
              <w:pStyle w:val="14"/>
            </w:pPr>
            <w:r>
              <w:t>20131</w:t>
            </w:r>
          </w:p>
        </w:tc>
        <w:tc>
          <w:tcPr>
            <w:tcW w:w="2237" w:type="dxa"/>
            <w:vAlign w:val="center"/>
          </w:tcPr>
          <w:p>
            <w:pPr>
              <w:pStyle w:val="14"/>
              <w:jc w:val="center"/>
            </w:pPr>
            <w:r>
              <w:t>党委办公厅（室）及相关机构事务</w:t>
            </w:r>
          </w:p>
        </w:tc>
        <w:tc>
          <w:tcPr>
            <w:tcW w:w="1115" w:type="dxa"/>
            <w:vAlign w:val="center"/>
          </w:tcPr>
          <w:p>
            <w:pPr>
              <w:pStyle w:val="13"/>
            </w:pPr>
            <w:r>
              <w:t>1077.50</w:t>
            </w:r>
          </w:p>
        </w:tc>
        <w:tc>
          <w:tcPr>
            <w:tcW w:w="515" w:type="dxa"/>
            <w:vAlign w:val="center"/>
          </w:tcPr>
          <w:p>
            <w:pPr>
              <w:pStyle w:val="13"/>
            </w:pPr>
          </w:p>
        </w:tc>
        <w:tc>
          <w:tcPr>
            <w:tcW w:w="820" w:type="dxa"/>
            <w:vAlign w:val="center"/>
          </w:tcPr>
          <w:p>
            <w:pPr>
              <w:pStyle w:val="13"/>
            </w:pPr>
            <w:r>
              <w:t>1077.50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48" w:hRule="atLeast"/>
          <w:jc w:val="center"/>
        </w:trPr>
        <w:tc>
          <w:tcPr>
            <w:tcW w:w="810" w:type="dxa"/>
            <w:vAlign w:val="center"/>
          </w:tcPr>
          <w:p>
            <w:pPr>
              <w:pStyle w:val="15"/>
            </w:pPr>
            <w:r>
              <w:t>4</w:t>
            </w:r>
          </w:p>
        </w:tc>
        <w:tc>
          <w:tcPr>
            <w:tcW w:w="1073" w:type="dxa"/>
            <w:vAlign w:val="center"/>
          </w:tcPr>
          <w:p>
            <w:pPr>
              <w:pStyle w:val="14"/>
            </w:pPr>
            <w:r>
              <w:t>2013105</w:t>
            </w:r>
          </w:p>
        </w:tc>
        <w:tc>
          <w:tcPr>
            <w:tcW w:w="2237" w:type="dxa"/>
            <w:vAlign w:val="center"/>
          </w:tcPr>
          <w:p>
            <w:pPr>
              <w:pStyle w:val="14"/>
              <w:jc w:val="center"/>
            </w:pPr>
            <w:r>
              <w:t>专项业务</w:t>
            </w:r>
          </w:p>
        </w:tc>
        <w:tc>
          <w:tcPr>
            <w:tcW w:w="1115" w:type="dxa"/>
            <w:vAlign w:val="center"/>
          </w:tcPr>
          <w:p>
            <w:pPr>
              <w:pStyle w:val="13"/>
            </w:pPr>
            <w:r>
              <w:t>298.13</w:t>
            </w:r>
          </w:p>
        </w:tc>
        <w:tc>
          <w:tcPr>
            <w:tcW w:w="515" w:type="dxa"/>
            <w:vAlign w:val="center"/>
          </w:tcPr>
          <w:p>
            <w:pPr>
              <w:pStyle w:val="13"/>
            </w:pPr>
          </w:p>
        </w:tc>
        <w:tc>
          <w:tcPr>
            <w:tcW w:w="820" w:type="dxa"/>
            <w:vAlign w:val="center"/>
          </w:tcPr>
          <w:p>
            <w:pPr>
              <w:pStyle w:val="13"/>
            </w:pPr>
            <w:r>
              <w:t>298.13</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57" w:hRule="atLeast"/>
          <w:jc w:val="center"/>
        </w:trPr>
        <w:tc>
          <w:tcPr>
            <w:tcW w:w="810" w:type="dxa"/>
            <w:vAlign w:val="center"/>
          </w:tcPr>
          <w:p>
            <w:pPr>
              <w:pStyle w:val="15"/>
            </w:pPr>
            <w:r>
              <w:t>5</w:t>
            </w:r>
          </w:p>
        </w:tc>
        <w:tc>
          <w:tcPr>
            <w:tcW w:w="1073" w:type="dxa"/>
            <w:vAlign w:val="center"/>
          </w:tcPr>
          <w:p>
            <w:pPr>
              <w:pStyle w:val="14"/>
            </w:pPr>
            <w:r>
              <w:t>2013150</w:t>
            </w:r>
          </w:p>
        </w:tc>
        <w:tc>
          <w:tcPr>
            <w:tcW w:w="2237" w:type="dxa"/>
            <w:vAlign w:val="center"/>
          </w:tcPr>
          <w:p>
            <w:pPr>
              <w:pStyle w:val="14"/>
              <w:jc w:val="center"/>
            </w:pPr>
            <w:r>
              <w:t>事业运行</w:t>
            </w:r>
          </w:p>
        </w:tc>
        <w:tc>
          <w:tcPr>
            <w:tcW w:w="1115" w:type="dxa"/>
            <w:vAlign w:val="center"/>
          </w:tcPr>
          <w:p>
            <w:pPr>
              <w:pStyle w:val="13"/>
            </w:pPr>
            <w:r>
              <w:t>779.38</w:t>
            </w:r>
          </w:p>
        </w:tc>
        <w:tc>
          <w:tcPr>
            <w:tcW w:w="515" w:type="dxa"/>
            <w:vAlign w:val="center"/>
          </w:tcPr>
          <w:p>
            <w:pPr>
              <w:pStyle w:val="13"/>
            </w:pPr>
          </w:p>
        </w:tc>
        <w:tc>
          <w:tcPr>
            <w:tcW w:w="820" w:type="dxa"/>
            <w:vAlign w:val="center"/>
          </w:tcPr>
          <w:p>
            <w:pPr>
              <w:pStyle w:val="13"/>
            </w:pPr>
            <w:r>
              <w:t>779.38</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rPr>
          <w:rFonts w:ascii="方正小标宋_GBK" w:hAnsi="方正小标宋_GBK" w:eastAsia="方正小标宋_GBK" w:cs="方正小标宋_GBK"/>
          <w:color w:val="000000"/>
          <w:sz w:val="36"/>
        </w:rPr>
      </w:pPr>
      <w:r>
        <w:rPr>
          <w:rFonts w:ascii="方正小标宋_GBK" w:hAnsi="方正小标宋_GBK" w:eastAsia="方正小标宋_GBK" w:cs="方正小标宋_GBK"/>
          <w:color w:val="000000"/>
          <w:sz w:val="36"/>
        </w:rPr>
        <w:t>单位预算财政拨款收支总表</w:t>
      </w:r>
    </w:p>
    <w:p>
      <w:pPr>
        <w:rPr>
          <w:rFonts w:ascii="方正小标宋_GBK" w:hAnsi="方正小标宋_GBK" w:eastAsia="方正小标宋_GBK" w:cs="方正小标宋_GBK"/>
          <w:color w:val="000000"/>
          <w:sz w:val="36"/>
        </w:rPr>
      </w:pPr>
      <w:r>
        <w:rPr>
          <w:rFonts w:hint="eastAsia" w:eastAsia="宋体"/>
          <w:lang w:val="en-US" w:eastAsia="zh-CN"/>
        </w:rPr>
        <w:t xml:space="preserve">                                          </w:t>
      </w:r>
      <w:r>
        <w:t>201004隆尧县机关事务管理局</w:t>
      </w:r>
      <w:r>
        <w:rPr>
          <w:rFonts w:hint="eastAsia" w:eastAsia="宋体"/>
          <w:lang w:val="en-US" w:eastAsia="zh-CN"/>
        </w:rPr>
        <w:t xml:space="preserve">                 </w:t>
      </w:r>
      <w:r>
        <w:t>预算年度：2023</w:t>
      </w:r>
      <w:r>
        <w:rPr>
          <w:rFonts w:hint="eastAsia" w:eastAsia="宋体"/>
          <w:lang w:val="en-US" w:eastAsia="zh-CN"/>
        </w:rPr>
        <w:t xml:space="preserve">                                            </w:t>
      </w:r>
      <w:r>
        <w:t>单位：万元</w:t>
      </w:r>
    </w:p>
    <w:tbl>
      <w:tblPr>
        <w:tblStyle w:val="6"/>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restart"/>
            <w:vAlign w:val="center"/>
          </w:tcPr>
          <w:p>
            <w:pPr>
              <w:pStyle w:val="12"/>
            </w:pPr>
            <w:r>
              <w:t>序号</w:t>
            </w:r>
          </w:p>
        </w:tc>
        <w:tc>
          <w:tcPr>
            <w:tcW w:w="1232" w:type="dxa"/>
            <w:vAlign w:val="center"/>
          </w:tcPr>
          <w:p>
            <w:pPr>
              <w:pStyle w:val="12"/>
            </w:pPr>
            <w:r>
              <w:t>收入</w:t>
            </w:r>
          </w:p>
        </w:tc>
        <w:tc>
          <w:tcPr>
            <w:tcW w:w="1232" w:type="dxa"/>
          </w:tcPr>
          <w:p/>
        </w:tc>
        <w:tc>
          <w:tcPr>
            <w:tcW w:w="1232" w:type="dxa"/>
            <w:vAlign w:val="center"/>
          </w:tcPr>
          <w:p>
            <w:pPr>
              <w:pStyle w:val="12"/>
            </w:pPr>
            <w:r>
              <w:t>支出</w:t>
            </w:r>
          </w:p>
        </w:tc>
        <w:tc>
          <w:tcPr>
            <w:tcW w:w="1232" w:type="dxa"/>
          </w:tcPr>
          <w:p/>
        </w:tc>
        <w:tc>
          <w:tcPr>
            <w:tcW w:w="1232" w:type="dxa"/>
          </w:tcPr>
          <w:p/>
        </w:tc>
        <w:tc>
          <w:tcPr>
            <w:tcW w:w="1232" w:type="dxa"/>
          </w:tcPr>
          <w:p/>
        </w:tc>
        <w:tc>
          <w:tcPr>
            <w:tcW w:w="1232" w:type="dxa"/>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continue"/>
          </w:tcPr>
          <w:p/>
        </w:tc>
        <w:tc>
          <w:tcPr>
            <w:tcW w:w="1232" w:type="dxa"/>
            <w:vAlign w:val="center"/>
          </w:tcPr>
          <w:p>
            <w:pPr>
              <w:pStyle w:val="12"/>
            </w:pPr>
            <w:r>
              <w:t>项  目</w:t>
            </w:r>
          </w:p>
        </w:tc>
        <w:tc>
          <w:tcPr>
            <w:tcW w:w="1232" w:type="dxa"/>
            <w:vAlign w:val="center"/>
          </w:tcPr>
          <w:p>
            <w:pPr>
              <w:pStyle w:val="12"/>
            </w:pPr>
            <w:r>
              <w:t>金额</w:t>
            </w:r>
          </w:p>
        </w:tc>
        <w:tc>
          <w:tcPr>
            <w:tcW w:w="1232" w:type="dxa"/>
            <w:vAlign w:val="center"/>
          </w:tcPr>
          <w:p>
            <w:pPr>
              <w:pStyle w:val="12"/>
            </w:pPr>
            <w:r>
              <w:t>项  目</w:t>
            </w:r>
          </w:p>
        </w:tc>
        <w:tc>
          <w:tcPr>
            <w:tcW w:w="1232" w:type="dxa"/>
            <w:vAlign w:val="center"/>
          </w:tcPr>
          <w:p>
            <w:pPr>
              <w:pStyle w:val="12"/>
            </w:pPr>
            <w:r>
              <w:t>合计</w:t>
            </w:r>
          </w:p>
        </w:tc>
        <w:tc>
          <w:tcPr>
            <w:tcW w:w="1232" w:type="dxa"/>
            <w:vAlign w:val="center"/>
          </w:tcPr>
          <w:p>
            <w:pPr>
              <w:pStyle w:val="12"/>
            </w:pPr>
            <w:r>
              <w:t>一般公共预算财政拨款</w:t>
            </w:r>
          </w:p>
        </w:tc>
        <w:tc>
          <w:tcPr>
            <w:tcW w:w="1232" w:type="dxa"/>
            <w:vAlign w:val="center"/>
          </w:tcPr>
          <w:p>
            <w:pPr>
              <w:pStyle w:val="12"/>
            </w:pPr>
            <w:r>
              <w:t>政府性基金预算财政    拨款</w:t>
            </w:r>
          </w:p>
        </w:tc>
        <w:tc>
          <w:tcPr>
            <w:tcW w:w="1232"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Align w:val="center"/>
          </w:tcPr>
          <w:p>
            <w:pPr>
              <w:pStyle w:val="12"/>
            </w:pPr>
            <w:r>
              <w:t>栏次</w:t>
            </w:r>
          </w:p>
        </w:tc>
        <w:tc>
          <w:tcPr>
            <w:tcW w:w="1232" w:type="dxa"/>
            <w:vAlign w:val="center"/>
          </w:tcPr>
          <w:p>
            <w:pPr>
              <w:pStyle w:val="12"/>
            </w:pPr>
            <w:r>
              <w:t>1</w:t>
            </w:r>
          </w:p>
        </w:tc>
        <w:tc>
          <w:tcPr>
            <w:tcW w:w="1232" w:type="dxa"/>
            <w:vAlign w:val="center"/>
          </w:tcPr>
          <w:p>
            <w:pPr>
              <w:pStyle w:val="12"/>
            </w:pPr>
            <w:r>
              <w:t>2</w:t>
            </w:r>
          </w:p>
        </w:tc>
        <w:tc>
          <w:tcPr>
            <w:tcW w:w="1232" w:type="dxa"/>
            <w:vAlign w:val="center"/>
          </w:tcPr>
          <w:p>
            <w:pPr>
              <w:pStyle w:val="12"/>
            </w:pPr>
            <w:r>
              <w:t>3</w:t>
            </w:r>
          </w:p>
        </w:tc>
        <w:tc>
          <w:tcPr>
            <w:tcW w:w="1232" w:type="dxa"/>
            <w:vAlign w:val="center"/>
          </w:tcPr>
          <w:p>
            <w:pPr>
              <w:pStyle w:val="12"/>
            </w:pPr>
            <w:r>
              <w:t>4</w:t>
            </w:r>
          </w:p>
        </w:tc>
        <w:tc>
          <w:tcPr>
            <w:tcW w:w="1232" w:type="dxa"/>
            <w:vAlign w:val="center"/>
          </w:tcPr>
          <w:p>
            <w:pPr>
              <w:pStyle w:val="12"/>
            </w:pPr>
            <w:r>
              <w:t>5</w:t>
            </w:r>
          </w:p>
        </w:tc>
        <w:tc>
          <w:tcPr>
            <w:tcW w:w="1232" w:type="dxa"/>
            <w:vAlign w:val="center"/>
          </w:tcPr>
          <w:p>
            <w:pPr>
              <w:pStyle w:val="12"/>
            </w:pPr>
            <w:r>
              <w:t>6</w:t>
            </w:r>
          </w:p>
        </w:tc>
        <w:tc>
          <w:tcPr>
            <w:tcW w:w="1232"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w:t>
            </w:r>
          </w:p>
        </w:tc>
        <w:tc>
          <w:tcPr>
            <w:tcW w:w="1232" w:type="dxa"/>
            <w:vAlign w:val="center"/>
          </w:tcPr>
          <w:p>
            <w:pPr>
              <w:pStyle w:val="14"/>
            </w:pPr>
            <w:r>
              <w:t>一、一般公共预算拨款</w:t>
            </w:r>
          </w:p>
        </w:tc>
        <w:tc>
          <w:tcPr>
            <w:tcW w:w="1232" w:type="dxa"/>
            <w:vAlign w:val="center"/>
          </w:tcPr>
          <w:p>
            <w:pPr>
              <w:pStyle w:val="13"/>
            </w:pPr>
            <w:r>
              <w:t>1077.50</w:t>
            </w:r>
          </w:p>
        </w:tc>
        <w:tc>
          <w:tcPr>
            <w:tcW w:w="1232" w:type="dxa"/>
            <w:vAlign w:val="center"/>
          </w:tcPr>
          <w:p>
            <w:pPr>
              <w:pStyle w:val="14"/>
            </w:pPr>
            <w:r>
              <w:t>一、一般公共服务支出</w:t>
            </w:r>
          </w:p>
        </w:tc>
        <w:tc>
          <w:tcPr>
            <w:tcW w:w="1232" w:type="dxa"/>
            <w:vAlign w:val="center"/>
          </w:tcPr>
          <w:p>
            <w:pPr>
              <w:pStyle w:val="13"/>
            </w:pPr>
            <w:r>
              <w:t>1077.50</w:t>
            </w:r>
          </w:p>
        </w:tc>
        <w:tc>
          <w:tcPr>
            <w:tcW w:w="1232" w:type="dxa"/>
            <w:vAlign w:val="center"/>
          </w:tcPr>
          <w:p>
            <w:pPr>
              <w:pStyle w:val="13"/>
            </w:pPr>
            <w:r>
              <w:t>1077.50</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w:t>
            </w:r>
          </w:p>
        </w:tc>
        <w:tc>
          <w:tcPr>
            <w:tcW w:w="1232" w:type="dxa"/>
            <w:vAlign w:val="center"/>
          </w:tcPr>
          <w:p>
            <w:pPr>
              <w:pStyle w:val="14"/>
            </w:pPr>
            <w:r>
              <w:t>二、政府性基金预算拨款</w:t>
            </w:r>
          </w:p>
        </w:tc>
        <w:tc>
          <w:tcPr>
            <w:tcW w:w="1232" w:type="dxa"/>
            <w:vAlign w:val="center"/>
          </w:tcPr>
          <w:p>
            <w:pPr>
              <w:pStyle w:val="13"/>
            </w:pPr>
          </w:p>
        </w:tc>
        <w:tc>
          <w:tcPr>
            <w:tcW w:w="1232" w:type="dxa"/>
            <w:vAlign w:val="center"/>
          </w:tcPr>
          <w:p>
            <w:pPr>
              <w:pStyle w:val="14"/>
            </w:pPr>
            <w:r>
              <w:t>二、外交支出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w:t>
            </w:r>
          </w:p>
        </w:tc>
        <w:tc>
          <w:tcPr>
            <w:tcW w:w="1232" w:type="dxa"/>
            <w:vAlign w:val="center"/>
          </w:tcPr>
          <w:p>
            <w:pPr>
              <w:pStyle w:val="14"/>
            </w:pPr>
            <w:r>
              <w:t>三、国有资本经营预算拨款</w:t>
            </w:r>
          </w:p>
        </w:tc>
        <w:tc>
          <w:tcPr>
            <w:tcW w:w="1232" w:type="dxa"/>
            <w:vAlign w:val="center"/>
          </w:tcPr>
          <w:p>
            <w:pPr>
              <w:pStyle w:val="13"/>
            </w:pPr>
          </w:p>
        </w:tc>
        <w:tc>
          <w:tcPr>
            <w:tcW w:w="1232" w:type="dxa"/>
            <w:vAlign w:val="center"/>
          </w:tcPr>
          <w:p>
            <w:pPr>
              <w:pStyle w:val="14"/>
            </w:pPr>
            <w:r>
              <w:t>三、国防支出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4</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四、公共安全支出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5</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五、教育支出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6</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六、科学技术支出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7</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七、文化旅游体育与传媒支出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8</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八、社会保障和就业支出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9</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九、社会保险基金支出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10</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十、卫生健康支出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11</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十一、节能环保支出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12</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十二、城乡社区支出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13</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十三、农林水支出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14</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十四、交通运输支出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15</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十五、资源勘探工业信息等支出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16</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十六、商业服务业等支出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17</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十七、金融支出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18</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十八、援助其他地区支出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19</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十九、自然资源海洋气象等支出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20</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二十、住房保障支出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21</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二十一、粮油物资储备支出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22</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二十二、国有资本经营预算支出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23</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二十三、灾害防治及应急管理支出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24</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二十四、预备费</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25</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二十五、其他支出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26</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二十六、转移性支出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27</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二十七、债务还本支出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28</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二十八、债务付息支出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29</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二十九、债务发行费用支出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30</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三十、抗疫特别国债安排的支出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31</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三十一、往来性收支</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32</w:t>
            </w:r>
          </w:p>
        </w:tc>
        <w:tc>
          <w:tcPr>
            <w:tcW w:w="1232" w:type="dxa"/>
            <w:vAlign w:val="center"/>
          </w:tcPr>
          <w:p>
            <w:pPr>
              <w:pStyle w:val="16"/>
            </w:pPr>
            <w:r>
              <w:t>本年收入合计</w:t>
            </w:r>
          </w:p>
        </w:tc>
        <w:tc>
          <w:tcPr>
            <w:tcW w:w="1232" w:type="dxa"/>
            <w:vAlign w:val="center"/>
          </w:tcPr>
          <w:p>
            <w:pPr>
              <w:pStyle w:val="17"/>
            </w:pPr>
            <w:r>
              <w:t>1077.50</w:t>
            </w:r>
          </w:p>
        </w:tc>
        <w:tc>
          <w:tcPr>
            <w:tcW w:w="1232" w:type="dxa"/>
            <w:vAlign w:val="center"/>
          </w:tcPr>
          <w:p>
            <w:pPr>
              <w:pStyle w:val="16"/>
            </w:pPr>
            <w:r>
              <w:t>本年支出合计</w:t>
            </w:r>
          </w:p>
        </w:tc>
        <w:tc>
          <w:tcPr>
            <w:tcW w:w="1232" w:type="dxa"/>
            <w:vAlign w:val="center"/>
          </w:tcPr>
          <w:p>
            <w:pPr>
              <w:pStyle w:val="17"/>
            </w:pPr>
            <w:r>
              <w:t>1077.50</w:t>
            </w:r>
          </w:p>
        </w:tc>
        <w:tc>
          <w:tcPr>
            <w:tcW w:w="1232" w:type="dxa"/>
            <w:vAlign w:val="center"/>
          </w:tcPr>
          <w:p>
            <w:pPr>
              <w:pStyle w:val="17"/>
            </w:pPr>
            <w:r>
              <w:t>1077.50</w:t>
            </w:r>
          </w:p>
        </w:tc>
        <w:tc>
          <w:tcPr>
            <w:tcW w:w="1232" w:type="dxa"/>
            <w:vAlign w:val="center"/>
          </w:tcPr>
          <w:p>
            <w:pPr>
              <w:pStyle w:val="17"/>
            </w:pPr>
          </w:p>
        </w:tc>
        <w:tc>
          <w:tcPr>
            <w:tcW w:w="1232"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33</w:t>
            </w:r>
          </w:p>
        </w:tc>
        <w:tc>
          <w:tcPr>
            <w:tcW w:w="1232" w:type="dxa"/>
            <w:vAlign w:val="center"/>
          </w:tcPr>
          <w:p>
            <w:pPr>
              <w:pStyle w:val="14"/>
            </w:pPr>
            <w:r>
              <w:t>年初财政拨款结转和结余</w:t>
            </w:r>
          </w:p>
        </w:tc>
        <w:tc>
          <w:tcPr>
            <w:tcW w:w="1232" w:type="dxa"/>
            <w:vAlign w:val="center"/>
          </w:tcPr>
          <w:p>
            <w:pPr>
              <w:pStyle w:val="13"/>
            </w:pPr>
          </w:p>
        </w:tc>
        <w:tc>
          <w:tcPr>
            <w:tcW w:w="1232" w:type="dxa"/>
            <w:vAlign w:val="center"/>
          </w:tcPr>
          <w:p>
            <w:pPr>
              <w:pStyle w:val="14"/>
            </w:pPr>
            <w:r>
              <w:t>年末财政拨款结转和结余</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34</w:t>
            </w:r>
          </w:p>
        </w:tc>
        <w:tc>
          <w:tcPr>
            <w:tcW w:w="1232" w:type="dxa"/>
            <w:vAlign w:val="center"/>
          </w:tcPr>
          <w:p>
            <w:pPr>
              <w:pStyle w:val="14"/>
            </w:pPr>
            <w:r>
              <w:t>一、一般公共预算拨款</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35</w:t>
            </w:r>
          </w:p>
        </w:tc>
        <w:tc>
          <w:tcPr>
            <w:tcW w:w="1232" w:type="dxa"/>
            <w:vAlign w:val="center"/>
          </w:tcPr>
          <w:p>
            <w:pPr>
              <w:pStyle w:val="14"/>
            </w:pPr>
            <w:r>
              <w:t>二、政府性基金预算拨款</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36</w:t>
            </w:r>
          </w:p>
        </w:tc>
        <w:tc>
          <w:tcPr>
            <w:tcW w:w="1232" w:type="dxa"/>
            <w:vAlign w:val="center"/>
          </w:tcPr>
          <w:p>
            <w:pPr>
              <w:pStyle w:val="14"/>
            </w:pPr>
            <w:r>
              <w:t>三、国有资本经营预算拨款</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37</w:t>
            </w:r>
          </w:p>
        </w:tc>
        <w:tc>
          <w:tcPr>
            <w:tcW w:w="1232" w:type="dxa"/>
            <w:vAlign w:val="center"/>
          </w:tcPr>
          <w:p>
            <w:pPr>
              <w:pStyle w:val="16"/>
            </w:pPr>
            <w:r>
              <w:t>收入总计</w:t>
            </w:r>
          </w:p>
        </w:tc>
        <w:tc>
          <w:tcPr>
            <w:tcW w:w="1232" w:type="dxa"/>
            <w:vAlign w:val="center"/>
          </w:tcPr>
          <w:p>
            <w:pPr>
              <w:pStyle w:val="17"/>
            </w:pPr>
            <w:r>
              <w:t>1077.50</w:t>
            </w:r>
          </w:p>
        </w:tc>
        <w:tc>
          <w:tcPr>
            <w:tcW w:w="1232" w:type="dxa"/>
            <w:vAlign w:val="center"/>
          </w:tcPr>
          <w:p>
            <w:pPr>
              <w:pStyle w:val="16"/>
            </w:pPr>
            <w:r>
              <w:t>支出总计</w:t>
            </w:r>
          </w:p>
        </w:tc>
        <w:tc>
          <w:tcPr>
            <w:tcW w:w="1232" w:type="dxa"/>
            <w:vAlign w:val="center"/>
          </w:tcPr>
          <w:p>
            <w:pPr>
              <w:pStyle w:val="17"/>
            </w:pPr>
            <w:r>
              <w:t>1077.50</w:t>
            </w:r>
          </w:p>
        </w:tc>
        <w:tc>
          <w:tcPr>
            <w:tcW w:w="1232" w:type="dxa"/>
            <w:vAlign w:val="center"/>
          </w:tcPr>
          <w:p>
            <w:pPr>
              <w:pStyle w:val="17"/>
            </w:pPr>
            <w:r>
              <w:t>1077.50</w:t>
            </w:r>
          </w:p>
        </w:tc>
        <w:tc>
          <w:tcPr>
            <w:tcW w:w="1232" w:type="dxa"/>
            <w:vAlign w:val="center"/>
          </w:tcPr>
          <w:p>
            <w:pPr>
              <w:pStyle w:val="17"/>
            </w:pPr>
          </w:p>
        </w:tc>
        <w:tc>
          <w:tcPr>
            <w:tcW w:w="1232" w:type="dxa"/>
            <w:vAlign w:val="center"/>
          </w:tcPr>
          <w:p>
            <w:pPr>
              <w:pStyle w:val="17"/>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rPr>
          <w:rFonts w:ascii="方正小标宋_GBK" w:hAnsi="方正小标宋_GBK" w:eastAsia="方正小标宋_GBK" w:cs="方正小标宋_GBK"/>
          <w:color w:val="000000"/>
          <w:sz w:val="36"/>
        </w:rPr>
      </w:pPr>
      <w:r>
        <w:rPr>
          <w:rFonts w:ascii="方正小标宋_GBK" w:hAnsi="方正小标宋_GBK" w:eastAsia="方正小标宋_GBK" w:cs="方正小标宋_GBK"/>
          <w:color w:val="000000"/>
          <w:sz w:val="36"/>
        </w:rPr>
        <w:t>单位预算一般公共预算财政拨款支出表</w:t>
      </w:r>
    </w:p>
    <w:p>
      <w:pPr>
        <w:rPr>
          <w:rFonts w:ascii="方正小标宋_GBK" w:hAnsi="方正小标宋_GBK" w:eastAsia="方正小标宋_GBK" w:cs="方正小标宋_GBK"/>
          <w:color w:val="000000"/>
          <w:sz w:val="36"/>
        </w:rPr>
      </w:pPr>
      <w:r>
        <w:rPr>
          <w:rFonts w:hint="eastAsia" w:eastAsia="宋体"/>
          <w:lang w:val="en-US" w:eastAsia="zh-CN"/>
        </w:rPr>
        <w:t xml:space="preserve">                                          </w:t>
      </w:r>
      <w:r>
        <w:t>201004隆尧县机关事务管理局</w:t>
      </w:r>
      <w:r>
        <w:rPr>
          <w:rFonts w:hint="eastAsia" w:eastAsia="宋体"/>
          <w:lang w:val="en-US" w:eastAsia="zh-CN"/>
        </w:rPr>
        <w:t xml:space="preserve">                  </w:t>
      </w:r>
      <w:r>
        <w:t>预算年度：2023</w:t>
      </w:r>
      <w:r>
        <w:rPr>
          <w:rFonts w:hint="eastAsia" w:eastAsia="宋体"/>
          <w:lang w:val="en-US" w:eastAsia="zh-CN"/>
        </w:rPr>
        <w:t xml:space="preserve">                                           </w:t>
      </w:r>
      <w:r>
        <w:t>单位：万元</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1643" w:type="dxa"/>
            <w:vAlign w:val="center"/>
          </w:tcPr>
          <w:p>
            <w:pPr>
              <w:pStyle w:val="12"/>
            </w:pPr>
            <w:r>
              <w:t>功能分类科目</w:t>
            </w:r>
          </w:p>
        </w:tc>
        <w:tc>
          <w:tcPr>
            <w:tcW w:w="1643" w:type="dxa"/>
          </w:tcP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w:t>
            </w:r>
          </w:p>
        </w:tc>
        <w:tc>
          <w:tcPr>
            <w:tcW w:w="1643" w:type="dxa"/>
            <w:vAlign w:val="center"/>
          </w:tcPr>
          <w:p>
            <w:pPr>
              <w:pStyle w:val="18"/>
            </w:pPr>
          </w:p>
        </w:tc>
        <w:tc>
          <w:tcPr>
            <w:tcW w:w="1643" w:type="dxa"/>
            <w:vAlign w:val="center"/>
          </w:tcPr>
          <w:p>
            <w:pPr>
              <w:pStyle w:val="16"/>
            </w:pPr>
            <w:r>
              <w:t>合计</w:t>
            </w:r>
          </w:p>
        </w:tc>
        <w:tc>
          <w:tcPr>
            <w:tcW w:w="1643" w:type="dxa"/>
            <w:vAlign w:val="center"/>
          </w:tcPr>
          <w:p>
            <w:pPr>
              <w:pStyle w:val="17"/>
            </w:pPr>
            <w:r>
              <w:t>1077.50</w:t>
            </w:r>
          </w:p>
        </w:tc>
        <w:tc>
          <w:tcPr>
            <w:tcW w:w="1643" w:type="dxa"/>
            <w:vAlign w:val="center"/>
          </w:tcPr>
          <w:p>
            <w:pPr>
              <w:pStyle w:val="17"/>
            </w:pPr>
          </w:p>
        </w:tc>
        <w:tc>
          <w:tcPr>
            <w:tcW w:w="1643" w:type="dxa"/>
            <w:vAlign w:val="center"/>
          </w:tcPr>
          <w:p>
            <w:pPr>
              <w:pStyle w:val="17"/>
            </w:pPr>
            <w:r>
              <w:t>1077.50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2</w:t>
            </w:r>
          </w:p>
        </w:tc>
        <w:tc>
          <w:tcPr>
            <w:tcW w:w="1643" w:type="dxa"/>
            <w:vAlign w:val="center"/>
          </w:tcPr>
          <w:p>
            <w:pPr>
              <w:pStyle w:val="14"/>
            </w:pPr>
            <w:r>
              <w:t>201</w:t>
            </w:r>
          </w:p>
        </w:tc>
        <w:tc>
          <w:tcPr>
            <w:tcW w:w="1643" w:type="dxa"/>
            <w:vAlign w:val="center"/>
          </w:tcPr>
          <w:p>
            <w:pPr>
              <w:pStyle w:val="14"/>
            </w:pPr>
            <w:r>
              <w:t>一般公共服务支出</w:t>
            </w:r>
          </w:p>
        </w:tc>
        <w:tc>
          <w:tcPr>
            <w:tcW w:w="1643" w:type="dxa"/>
            <w:vAlign w:val="center"/>
          </w:tcPr>
          <w:p>
            <w:pPr>
              <w:pStyle w:val="13"/>
            </w:pPr>
            <w:r>
              <w:t>1077.50</w:t>
            </w:r>
          </w:p>
        </w:tc>
        <w:tc>
          <w:tcPr>
            <w:tcW w:w="1643" w:type="dxa"/>
            <w:vAlign w:val="center"/>
          </w:tcPr>
          <w:p>
            <w:pPr>
              <w:pStyle w:val="13"/>
            </w:pPr>
          </w:p>
        </w:tc>
        <w:tc>
          <w:tcPr>
            <w:tcW w:w="1643" w:type="dxa"/>
            <w:vAlign w:val="center"/>
          </w:tcPr>
          <w:p>
            <w:pPr>
              <w:pStyle w:val="13"/>
            </w:pPr>
            <w:r>
              <w:t>1077.50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3</w:t>
            </w:r>
          </w:p>
        </w:tc>
        <w:tc>
          <w:tcPr>
            <w:tcW w:w="1643" w:type="dxa"/>
            <w:vAlign w:val="center"/>
          </w:tcPr>
          <w:p>
            <w:pPr>
              <w:pStyle w:val="14"/>
            </w:pPr>
            <w:r>
              <w:t>20131</w:t>
            </w:r>
          </w:p>
        </w:tc>
        <w:tc>
          <w:tcPr>
            <w:tcW w:w="1643" w:type="dxa"/>
            <w:vAlign w:val="center"/>
          </w:tcPr>
          <w:p>
            <w:pPr>
              <w:pStyle w:val="14"/>
            </w:pPr>
            <w:r>
              <w:t>党委办公厅（室）及相关机构事务</w:t>
            </w:r>
          </w:p>
        </w:tc>
        <w:tc>
          <w:tcPr>
            <w:tcW w:w="1643" w:type="dxa"/>
            <w:vAlign w:val="center"/>
          </w:tcPr>
          <w:p>
            <w:pPr>
              <w:pStyle w:val="13"/>
            </w:pPr>
            <w:r>
              <w:t>1077.50</w:t>
            </w:r>
          </w:p>
        </w:tc>
        <w:tc>
          <w:tcPr>
            <w:tcW w:w="1643" w:type="dxa"/>
            <w:vAlign w:val="center"/>
          </w:tcPr>
          <w:p>
            <w:pPr>
              <w:pStyle w:val="13"/>
            </w:pPr>
          </w:p>
        </w:tc>
        <w:tc>
          <w:tcPr>
            <w:tcW w:w="1643" w:type="dxa"/>
            <w:vAlign w:val="center"/>
          </w:tcPr>
          <w:p>
            <w:pPr>
              <w:pStyle w:val="13"/>
            </w:pPr>
            <w:r>
              <w:t>1077.50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84" w:hRule="atLeast"/>
          <w:jc w:val="center"/>
        </w:trPr>
        <w:tc>
          <w:tcPr>
            <w:tcW w:w="1643" w:type="dxa"/>
            <w:vAlign w:val="center"/>
          </w:tcPr>
          <w:p>
            <w:pPr>
              <w:pStyle w:val="15"/>
            </w:pPr>
            <w:r>
              <w:t>4</w:t>
            </w:r>
          </w:p>
        </w:tc>
        <w:tc>
          <w:tcPr>
            <w:tcW w:w="1643" w:type="dxa"/>
            <w:vAlign w:val="center"/>
          </w:tcPr>
          <w:p>
            <w:pPr>
              <w:pStyle w:val="14"/>
            </w:pPr>
            <w:r>
              <w:t>2013105</w:t>
            </w:r>
          </w:p>
        </w:tc>
        <w:tc>
          <w:tcPr>
            <w:tcW w:w="1643" w:type="dxa"/>
            <w:vAlign w:val="center"/>
          </w:tcPr>
          <w:p>
            <w:pPr>
              <w:pStyle w:val="14"/>
            </w:pPr>
            <w:r>
              <w:t>专项业务</w:t>
            </w:r>
          </w:p>
        </w:tc>
        <w:tc>
          <w:tcPr>
            <w:tcW w:w="1643" w:type="dxa"/>
            <w:vAlign w:val="center"/>
          </w:tcPr>
          <w:p>
            <w:pPr>
              <w:pStyle w:val="13"/>
            </w:pPr>
            <w:r>
              <w:t>298.13</w:t>
            </w:r>
          </w:p>
        </w:tc>
        <w:tc>
          <w:tcPr>
            <w:tcW w:w="1643" w:type="dxa"/>
            <w:vAlign w:val="center"/>
          </w:tcPr>
          <w:p>
            <w:pPr>
              <w:pStyle w:val="13"/>
            </w:pPr>
          </w:p>
        </w:tc>
        <w:tc>
          <w:tcPr>
            <w:tcW w:w="1643" w:type="dxa"/>
            <w:vAlign w:val="center"/>
          </w:tcPr>
          <w:p>
            <w:pPr>
              <w:pStyle w:val="13"/>
            </w:pPr>
            <w:r>
              <w:t>298.13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50" w:hRule="atLeast"/>
          <w:jc w:val="center"/>
        </w:trPr>
        <w:tc>
          <w:tcPr>
            <w:tcW w:w="1643" w:type="dxa"/>
            <w:vAlign w:val="center"/>
          </w:tcPr>
          <w:p>
            <w:pPr>
              <w:pStyle w:val="15"/>
            </w:pPr>
            <w:r>
              <w:t>5</w:t>
            </w:r>
          </w:p>
        </w:tc>
        <w:tc>
          <w:tcPr>
            <w:tcW w:w="1643" w:type="dxa"/>
            <w:vAlign w:val="center"/>
          </w:tcPr>
          <w:p>
            <w:pPr>
              <w:pStyle w:val="14"/>
            </w:pPr>
            <w:r>
              <w:t>2013150</w:t>
            </w:r>
          </w:p>
        </w:tc>
        <w:tc>
          <w:tcPr>
            <w:tcW w:w="1643" w:type="dxa"/>
            <w:vAlign w:val="center"/>
          </w:tcPr>
          <w:p>
            <w:pPr>
              <w:pStyle w:val="14"/>
            </w:pPr>
            <w:r>
              <w:t>事业运行</w:t>
            </w:r>
          </w:p>
        </w:tc>
        <w:tc>
          <w:tcPr>
            <w:tcW w:w="1643" w:type="dxa"/>
            <w:vAlign w:val="center"/>
          </w:tcPr>
          <w:p>
            <w:pPr>
              <w:pStyle w:val="13"/>
            </w:pPr>
            <w:r>
              <w:t>779.38</w:t>
            </w:r>
          </w:p>
        </w:tc>
        <w:tc>
          <w:tcPr>
            <w:tcW w:w="1643" w:type="dxa"/>
            <w:vAlign w:val="center"/>
          </w:tcPr>
          <w:p>
            <w:pPr>
              <w:pStyle w:val="13"/>
            </w:pPr>
          </w:p>
        </w:tc>
        <w:tc>
          <w:tcPr>
            <w:tcW w:w="1643" w:type="dxa"/>
            <w:vAlign w:val="center"/>
          </w:tcPr>
          <w:p>
            <w:pPr>
              <w:pStyle w:val="13"/>
            </w:pPr>
            <w:r>
              <w:t>779.38</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rPr>
          <w:rFonts w:ascii="方正小标宋_GBK" w:hAnsi="方正小标宋_GBK" w:eastAsia="方正小标宋_GBK" w:cs="方正小标宋_GBK"/>
          <w:color w:val="000000"/>
          <w:sz w:val="36"/>
        </w:rPr>
      </w:pPr>
      <w:r>
        <w:rPr>
          <w:rFonts w:ascii="方正小标宋_GBK" w:hAnsi="方正小标宋_GBK" w:eastAsia="方正小标宋_GBK" w:cs="方正小标宋_GBK"/>
          <w:color w:val="000000"/>
          <w:sz w:val="36"/>
        </w:rPr>
        <w:t>单位预算一般公共预算财政拨款基本支出表</w:t>
      </w:r>
    </w:p>
    <w:p>
      <w:pPr>
        <w:rPr>
          <w:rFonts w:ascii="方正小标宋_GBK" w:hAnsi="方正小标宋_GBK" w:eastAsia="方正小标宋_GBK" w:cs="方正小标宋_GBK"/>
          <w:color w:val="000000"/>
          <w:sz w:val="36"/>
        </w:rPr>
      </w:pPr>
      <w:r>
        <w:rPr>
          <w:rFonts w:hint="eastAsia" w:eastAsia="宋体"/>
          <w:lang w:val="en-US" w:eastAsia="zh-CN"/>
        </w:rPr>
        <w:t xml:space="preserve">                                          </w:t>
      </w:r>
      <w:r>
        <w:t>201004隆尧县机关事务管理局</w:t>
      </w:r>
      <w:r>
        <w:rPr>
          <w:rFonts w:hint="eastAsia" w:eastAsia="宋体"/>
          <w:lang w:val="en-US" w:eastAsia="zh-CN"/>
        </w:rPr>
        <w:t xml:space="preserve">                     </w:t>
      </w:r>
      <w:r>
        <w:t>预算年度：2023</w:t>
      </w:r>
      <w:r>
        <w:rPr>
          <w:rFonts w:hint="eastAsia" w:eastAsia="宋体"/>
          <w:lang w:val="en-US" w:eastAsia="zh-CN"/>
        </w:rPr>
        <w:t xml:space="preserve">                                        </w:t>
      </w:r>
      <w:r>
        <w:t>单位：万元</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1643" w:type="dxa"/>
            <w:vAlign w:val="center"/>
          </w:tcPr>
          <w:p>
            <w:pPr>
              <w:pStyle w:val="12"/>
            </w:pPr>
            <w:r>
              <w:t>支出部门经济分类科目</w:t>
            </w:r>
          </w:p>
        </w:tc>
        <w:tc>
          <w:tcPr>
            <w:tcW w:w="1643" w:type="dxa"/>
          </w:tcPr>
          <w:p/>
        </w:tc>
        <w:tc>
          <w:tcPr>
            <w:tcW w:w="1643" w:type="dxa"/>
            <w:vAlign w:val="center"/>
          </w:tcPr>
          <w:p>
            <w:pPr>
              <w:pStyle w:val="12"/>
            </w:pPr>
            <w:r>
              <w:t>一般公共预算基本支出</w:t>
            </w:r>
          </w:p>
        </w:tc>
        <w:tc>
          <w:tcPr>
            <w:tcW w:w="1643" w:type="dxa"/>
          </w:tcPr>
          <w:p/>
        </w:tc>
        <w:tc>
          <w:tcPr>
            <w:tcW w:w="1643" w:type="dxa"/>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Align w:val="center"/>
          </w:tcPr>
          <w:p>
            <w:pPr>
              <w:pStyle w:val="12"/>
            </w:pPr>
            <w:r>
              <w:t>合计</w:t>
            </w:r>
          </w:p>
        </w:tc>
        <w:tc>
          <w:tcPr>
            <w:tcW w:w="1643" w:type="dxa"/>
            <w:vAlign w:val="center"/>
          </w:tcPr>
          <w:p>
            <w:pPr>
              <w:pStyle w:val="12"/>
            </w:pPr>
            <w:r>
              <w:t>人员经费</w:t>
            </w:r>
          </w:p>
        </w:tc>
        <w:tc>
          <w:tcPr>
            <w:tcW w:w="1643"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lang w:val="en-US" w:eastAsia="zh-CN"/>
        </w:rPr>
        <w:t xml:space="preserve">                                   </w:t>
      </w:r>
      <w:r>
        <w:rPr>
          <w:rFonts w:ascii="方正书宋_GBK" w:hAnsi="方正书宋_GBK" w:eastAsia="方正书宋_GBK" w:cs="方正书宋_GBK"/>
          <w:color w:val="000000"/>
          <w:sz w:val="21"/>
        </w:rPr>
        <w:t>注：无一般公共预算财政拨款基本支出预算，空表列示。</w:t>
      </w:r>
    </w:p>
    <w:p>
      <w:pPr>
        <w:spacing w:before="0" w:after="0" w:line="240" w:lineRule="auto"/>
        <w:ind w:firstLine="0"/>
        <w:jc w:val="center"/>
        <w:outlineLvl w:val="4"/>
        <w:rPr>
          <w:rFonts w:ascii="方正小标宋_GBK" w:hAnsi="方正小标宋_GBK" w:eastAsia="方正小标宋_GBK" w:cs="方正小标宋_GBK"/>
          <w:color w:val="000000"/>
          <w:sz w:val="36"/>
        </w:rPr>
      </w:pPr>
      <w:r>
        <w:rPr>
          <w:rFonts w:ascii="方正小标宋_GBK" w:hAnsi="方正小标宋_GBK" w:eastAsia="方正小标宋_GBK" w:cs="方正小标宋_GBK"/>
          <w:color w:val="000000"/>
          <w:sz w:val="36"/>
        </w:rPr>
        <w:t>单位预算政府基金预算财政拨款支出表</w:t>
      </w:r>
    </w:p>
    <w:p>
      <w:pPr>
        <w:rPr>
          <w:rFonts w:ascii="方正小标宋_GBK" w:hAnsi="方正小标宋_GBK" w:eastAsia="方正小标宋_GBK" w:cs="方正小标宋_GBK"/>
          <w:color w:val="000000"/>
          <w:sz w:val="36"/>
        </w:rPr>
      </w:pPr>
      <w:r>
        <w:rPr>
          <w:rFonts w:hint="eastAsia" w:eastAsia="宋体"/>
          <w:lang w:val="en-US" w:eastAsia="zh-CN"/>
        </w:rPr>
        <w:t xml:space="preserve">                                          </w:t>
      </w:r>
      <w:r>
        <w:t>201004隆尧县机关事务管理局</w:t>
      </w:r>
      <w:r>
        <w:rPr>
          <w:rFonts w:hint="eastAsia" w:eastAsia="宋体"/>
          <w:lang w:val="en-US" w:eastAsia="zh-CN"/>
        </w:rPr>
        <w:t xml:space="preserve">                     </w:t>
      </w:r>
      <w:r>
        <w:t>预算年度：2023</w:t>
      </w:r>
      <w:r>
        <w:rPr>
          <w:rFonts w:hint="eastAsia" w:eastAsia="宋体"/>
          <w:lang w:val="en-US" w:eastAsia="zh-CN"/>
        </w:rPr>
        <w:t xml:space="preserve">                                         </w:t>
      </w:r>
      <w:r>
        <w:t>单位：万元</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1643" w:type="dxa"/>
            <w:vAlign w:val="center"/>
          </w:tcPr>
          <w:p>
            <w:pPr>
              <w:pStyle w:val="12"/>
            </w:pPr>
            <w:r>
              <w:t>功能分类科目</w:t>
            </w:r>
          </w:p>
        </w:tc>
        <w:tc>
          <w:tcPr>
            <w:tcW w:w="1643" w:type="dxa"/>
          </w:tcP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lang w:val="en-US" w:eastAsia="zh-CN"/>
        </w:rPr>
        <w:t xml:space="preserve">                                    </w:t>
      </w: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rPr>
          <w:rFonts w:ascii="方正小标宋_GBK" w:hAnsi="方正小标宋_GBK" w:eastAsia="方正小标宋_GBK" w:cs="方正小标宋_GBK"/>
          <w:color w:val="000000"/>
          <w:sz w:val="36"/>
        </w:rPr>
      </w:pPr>
      <w:r>
        <w:rPr>
          <w:rFonts w:ascii="方正小标宋_GBK" w:hAnsi="方正小标宋_GBK" w:eastAsia="方正小标宋_GBK" w:cs="方正小标宋_GBK"/>
          <w:color w:val="000000"/>
          <w:sz w:val="36"/>
        </w:rPr>
        <w:t>单位预算国有资本经营预算财政拨款支出表</w:t>
      </w:r>
    </w:p>
    <w:p>
      <w:pPr>
        <w:rPr>
          <w:rFonts w:ascii="方正小标宋_GBK" w:hAnsi="方正小标宋_GBK" w:eastAsia="方正小标宋_GBK" w:cs="方正小标宋_GBK"/>
          <w:color w:val="000000"/>
          <w:sz w:val="36"/>
        </w:rPr>
      </w:pPr>
      <w:r>
        <w:rPr>
          <w:rFonts w:hint="eastAsia" w:eastAsia="宋体"/>
          <w:lang w:val="en-US" w:eastAsia="zh-CN"/>
        </w:rPr>
        <w:t xml:space="preserve">                                          </w:t>
      </w:r>
      <w:r>
        <w:t>201004隆尧县机关事务管理局</w:t>
      </w:r>
      <w:r>
        <w:rPr>
          <w:rFonts w:hint="eastAsia" w:eastAsia="宋体"/>
          <w:lang w:val="en-US" w:eastAsia="zh-CN"/>
        </w:rPr>
        <w:t xml:space="preserve">                    </w:t>
      </w:r>
      <w:r>
        <w:t>预算年度：2023</w:t>
      </w:r>
      <w:r>
        <w:rPr>
          <w:rFonts w:hint="eastAsia" w:eastAsia="宋体"/>
          <w:lang w:val="en-US" w:eastAsia="zh-CN"/>
        </w:rPr>
        <w:t xml:space="preserve">                                           </w:t>
      </w:r>
      <w:r>
        <w:t>单位：万元</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1643" w:type="dxa"/>
            <w:vAlign w:val="center"/>
          </w:tcPr>
          <w:p>
            <w:pPr>
              <w:pStyle w:val="12"/>
            </w:pPr>
            <w:r>
              <w:t>功能分类科目</w:t>
            </w:r>
          </w:p>
        </w:tc>
        <w:tc>
          <w:tcPr>
            <w:tcW w:w="1643" w:type="dxa"/>
          </w:tcP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lang w:val="en-US" w:eastAsia="zh-CN"/>
        </w:rPr>
        <w:t xml:space="preserve">                                   </w:t>
      </w: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rPr>
          <w:rFonts w:ascii="方正小标宋_GBK" w:hAnsi="方正小标宋_GBK" w:eastAsia="方正小标宋_GBK" w:cs="方正小标宋_GBK"/>
          <w:color w:val="000000"/>
          <w:sz w:val="36"/>
        </w:rPr>
      </w:pPr>
      <w:r>
        <w:rPr>
          <w:rFonts w:ascii="方正小标宋_GBK" w:hAnsi="方正小标宋_GBK" w:eastAsia="方正小标宋_GBK" w:cs="方正小标宋_GBK"/>
          <w:color w:val="000000"/>
          <w:sz w:val="36"/>
        </w:rPr>
        <w:t>单位预算财政拨款“三公”经费支出表</w:t>
      </w:r>
    </w:p>
    <w:p>
      <w:pPr>
        <w:rPr>
          <w:rFonts w:ascii="方正小标宋_GBK" w:hAnsi="方正小标宋_GBK" w:eastAsia="方正小标宋_GBK" w:cs="方正小标宋_GBK"/>
          <w:color w:val="000000"/>
          <w:sz w:val="36"/>
        </w:rPr>
      </w:pPr>
      <w:r>
        <w:rPr>
          <w:rFonts w:hint="eastAsia" w:eastAsia="宋体"/>
          <w:lang w:val="en-US" w:eastAsia="zh-CN"/>
        </w:rPr>
        <w:t xml:space="preserve">                                          </w:t>
      </w:r>
      <w:r>
        <w:t>201004隆尧县机关事务管理局</w:t>
      </w:r>
      <w:r>
        <w:rPr>
          <w:rFonts w:hint="eastAsia" w:eastAsia="宋体"/>
          <w:lang w:val="en-US" w:eastAsia="zh-CN"/>
        </w:rPr>
        <w:t xml:space="preserve">                   </w:t>
      </w:r>
      <w:r>
        <w:t>预算年度：2023</w:t>
      </w:r>
      <w:r>
        <w:rPr>
          <w:rFonts w:hint="eastAsia" w:eastAsia="宋体"/>
          <w:lang w:val="en-US" w:eastAsia="zh-CN"/>
        </w:rPr>
        <w:t xml:space="preserve">                                          </w:t>
      </w:r>
      <w:r>
        <w:t>单位：万元</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1643" w:type="dxa"/>
            <w:vMerge w:val="restart"/>
            <w:vAlign w:val="center"/>
          </w:tcPr>
          <w:p>
            <w:pPr>
              <w:pStyle w:val="12"/>
            </w:pPr>
            <w:r>
              <w:t>项  目</w:t>
            </w:r>
          </w:p>
        </w:tc>
        <w:tc>
          <w:tcPr>
            <w:tcW w:w="1643" w:type="dxa"/>
            <w:vAlign w:val="center"/>
          </w:tcPr>
          <w:p>
            <w:pPr>
              <w:pStyle w:val="12"/>
            </w:pPr>
            <w:r>
              <w:t>资 金 性 质</w:t>
            </w:r>
          </w:p>
        </w:tc>
        <w:tc>
          <w:tcPr>
            <w:tcW w:w="1643" w:type="dxa"/>
          </w:tcPr>
          <w:p/>
        </w:tc>
        <w:tc>
          <w:tcPr>
            <w:tcW w:w="1643" w:type="dxa"/>
          </w:tcPr>
          <w:p/>
        </w:tc>
        <w:tc>
          <w:tcPr>
            <w:tcW w:w="1643" w:type="dxa"/>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tcPr>
          <w:p/>
        </w:tc>
        <w:tc>
          <w:tcPr>
            <w:tcW w:w="1643" w:type="dxa"/>
            <w:vMerge w:val="continue"/>
          </w:tcPr>
          <w:p/>
        </w:tc>
        <w:tc>
          <w:tcPr>
            <w:tcW w:w="1643" w:type="dxa"/>
            <w:vAlign w:val="center"/>
          </w:tcPr>
          <w:p>
            <w:pPr>
              <w:pStyle w:val="12"/>
            </w:pPr>
            <w:r>
              <w:t>合计</w:t>
            </w:r>
          </w:p>
        </w:tc>
        <w:tc>
          <w:tcPr>
            <w:tcW w:w="1643" w:type="dxa"/>
            <w:vAlign w:val="center"/>
          </w:tcPr>
          <w:p>
            <w:pPr>
              <w:pStyle w:val="12"/>
            </w:pPr>
            <w:r>
              <w:t>一般公共预算              财政拨款</w:t>
            </w:r>
          </w:p>
        </w:tc>
        <w:tc>
          <w:tcPr>
            <w:tcW w:w="1643" w:type="dxa"/>
            <w:vAlign w:val="center"/>
          </w:tcPr>
          <w:p>
            <w:pPr>
              <w:pStyle w:val="12"/>
            </w:pPr>
            <w:r>
              <w:t>政府性基金                  预算拨款</w:t>
            </w:r>
          </w:p>
        </w:tc>
        <w:tc>
          <w:tcPr>
            <w:tcW w:w="1643"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r>
              <w:t>1</w:t>
            </w:r>
          </w:p>
        </w:tc>
        <w:tc>
          <w:tcPr>
            <w:tcW w:w="1643" w:type="dxa"/>
            <w:vAlign w:val="center"/>
          </w:tcPr>
          <w:p>
            <w:pPr>
              <w:pStyle w:val="16"/>
            </w:pPr>
            <w:r>
              <w:t>合计</w:t>
            </w:r>
          </w:p>
        </w:tc>
        <w:tc>
          <w:tcPr>
            <w:tcW w:w="1643" w:type="dxa"/>
            <w:vAlign w:val="center"/>
          </w:tcPr>
          <w:p>
            <w:pPr>
              <w:pStyle w:val="17"/>
            </w:pPr>
            <w:r>
              <w:t>255.00</w:t>
            </w:r>
          </w:p>
        </w:tc>
        <w:tc>
          <w:tcPr>
            <w:tcW w:w="1643" w:type="dxa"/>
            <w:vAlign w:val="center"/>
          </w:tcPr>
          <w:p>
            <w:pPr>
              <w:pStyle w:val="17"/>
            </w:pPr>
            <w:r>
              <w:t>255.00</w:t>
            </w:r>
          </w:p>
        </w:tc>
        <w:tc>
          <w:tcPr>
            <w:tcW w:w="1643" w:type="dxa"/>
            <w:vAlign w:val="center"/>
          </w:tcPr>
          <w:p>
            <w:pPr>
              <w:pStyle w:val="17"/>
            </w:pPr>
          </w:p>
        </w:tc>
        <w:tc>
          <w:tcPr>
            <w:tcW w:w="1643"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rPr>
                <w:rFonts w:hint="eastAsia" w:eastAsia="方正书宋_GBK"/>
                <w:lang w:eastAsia="zh-CN"/>
              </w:rPr>
            </w:pPr>
            <w:r>
              <w:rPr>
                <w:rFonts w:hint="eastAsia"/>
                <w:lang w:val="en-US" w:eastAsia="zh-CN"/>
              </w:rPr>
              <w:t>2</w:t>
            </w:r>
          </w:p>
        </w:tc>
        <w:tc>
          <w:tcPr>
            <w:tcW w:w="1643" w:type="dxa"/>
            <w:vAlign w:val="center"/>
          </w:tcPr>
          <w:p>
            <w:pPr>
              <w:pStyle w:val="14"/>
            </w:pPr>
            <w:r>
              <w:t>一、因公出国（境）费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rPr>
                <w:rFonts w:hint="eastAsia" w:eastAsia="方正书宋_GBK"/>
                <w:lang w:eastAsia="zh-CN"/>
              </w:rPr>
            </w:pPr>
            <w:r>
              <w:rPr>
                <w:rFonts w:hint="eastAsia"/>
                <w:lang w:val="en-US" w:eastAsia="zh-CN"/>
              </w:rPr>
              <w:t>3</w:t>
            </w:r>
          </w:p>
        </w:tc>
        <w:tc>
          <w:tcPr>
            <w:tcW w:w="1643" w:type="dxa"/>
            <w:vAlign w:val="center"/>
          </w:tcPr>
          <w:p>
            <w:pPr>
              <w:pStyle w:val="14"/>
            </w:pPr>
            <w:r>
              <w:t xml:space="preserve">    其中：教学科研人员因公出国（境）费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rPr>
                <w:rFonts w:hint="eastAsia" w:eastAsia="方正书宋_GBK"/>
                <w:lang w:eastAsia="zh-CN"/>
              </w:rPr>
            </w:pPr>
            <w:r>
              <w:rPr>
                <w:rFonts w:hint="eastAsia"/>
                <w:lang w:val="en-US" w:eastAsia="zh-CN"/>
              </w:rPr>
              <w:t>4</w:t>
            </w:r>
          </w:p>
        </w:tc>
        <w:tc>
          <w:tcPr>
            <w:tcW w:w="1643" w:type="dxa"/>
            <w:vAlign w:val="center"/>
          </w:tcPr>
          <w:p>
            <w:pPr>
              <w:pStyle w:val="14"/>
            </w:pPr>
            <w:r>
              <w:t xml:space="preserve">          其他因公出国（境）费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rPr>
                <w:rFonts w:hint="eastAsia" w:eastAsia="方正书宋_GBK"/>
                <w:lang w:eastAsia="zh-CN"/>
              </w:rPr>
            </w:pPr>
            <w:r>
              <w:rPr>
                <w:rFonts w:hint="eastAsia"/>
                <w:lang w:val="en-US" w:eastAsia="zh-CN"/>
              </w:rPr>
              <w:t>5</w:t>
            </w:r>
          </w:p>
        </w:tc>
        <w:tc>
          <w:tcPr>
            <w:tcW w:w="1643" w:type="dxa"/>
            <w:vAlign w:val="center"/>
          </w:tcPr>
          <w:p>
            <w:pPr>
              <w:pStyle w:val="14"/>
            </w:pPr>
            <w:r>
              <w:t>二、公务用车购置及运维费</w:t>
            </w:r>
          </w:p>
        </w:tc>
        <w:tc>
          <w:tcPr>
            <w:tcW w:w="1643" w:type="dxa"/>
            <w:vAlign w:val="center"/>
          </w:tcPr>
          <w:p>
            <w:pPr>
              <w:pStyle w:val="13"/>
            </w:pPr>
            <w:r>
              <w:t>255.00</w:t>
            </w:r>
          </w:p>
        </w:tc>
        <w:tc>
          <w:tcPr>
            <w:tcW w:w="1643" w:type="dxa"/>
            <w:vAlign w:val="center"/>
          </w:tcPr>
          <w:p>
            <w:pPr>
              <w:pStyle w:val="13"/>
            </w:pPr>
            <w:r>
              <w:t>255.00</w:t>
            </w: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rPr>
                <w:rFonts w:hint="eastAsia" w:eastAsia="方正书宋_GBK"/>
                <w:lang w:eastAsia="zh-CN"/>
              </w:rPr>
            </w:pPr>
            <w:r>
              <w:rPr>
                <w:rFonts w:hint="eastAsia"/>
                <w:lang w:val="en-US" w:eastAsia="zh-CN"/>
              </w:rPr>
              <w:t>6</w:t>
            </w:r>
          </w:p>
        </w:tc>
        <w:tc>
          <w:tcPr>
            <w:tcW w:w="1643" w:type="dxa"/>
            <w:vAlign w:val="center"/>
          </w:tcPr>
          <w:p>
            <w:pPr>
              <w:pStyle w:val="14"/>
            </w:pPr>
            <w:r>
              <w:t xml:space="preserve">    其中：公务用车购置费</w:t>
            </w:r>
          </w:p>
        </w:tc>
        <w:tc>
          <w:tcPr>
            <w:tcW w:w="1643" w:type="dxa"/>
            <w:vAlign w:val="center"/>
          </w:tcPr>
          <w:p>
            <w:pPr>
              <w:pStyle w:val="13"/>
            </w:pPr>
            <w:r>
              <w:t>100.00</w:t>
            </w:r>
          </w:p>
        </w:tc>
        <w:tc>
          <w:tcPr>
            <w:tcW w:w="1643" w:type="dxa"/>
            <w:vAlign w:val="center"/>
          </w:tcPr>
          <w:p>
            <w:pPr>
              <w:pStyle w:val="13"/>
            </w:pPr>
            <w:r>
              <w:t>100.00</w:t>
            </w: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rPr>
                <w:rFonts w:hint="eastAsia" w:eastAsia="方正书宋_GBK"/>
                <w:lang w:eastAsia="zh-CN"/>
              </w:rPr>
            </w:pPr>
            <w:r>
              <w:rPr>
                <w:rFonts w:hint="eastAsia"/>
                <w:lang w:val="en-US" w:eastAsia="zh-CN"/>
              </w:rPr>
              <w:t>7</w:t>
            </w:r>
          </w:p>
        </w:tc>
        <w:tc>
          <w:tcPr>
            <w:tcW w:w="1643" w:type="dxa"/>
            <w:vAlign w:val="center"/>
          </w:tcPr>
          <w:p>
            <w:pPr>
              <w:pStyle w:val="14"/>
            </w:pPr>
            <w:r>
              <w:t xml:space="preserve">          公务用车运行维护费</w:t>
            </w:r>
          </w:p>
        </w:tc>
        <w:tc>
          <w:tcPr>
            <w:tcW w:w="1643" w:type="dxa"/>
            <w:vAlign w:val="center"/>
          </w:tcPr>
          <w:p>
            <w:pPr>
              <w:pStyle w:val="13"/>
            </w:pPr>
            <w:r>
              <w:t>155.00</w:t>
            </w:r>
          </w:p>
        </w:tc>
        <w:tc>
          <w:tcPr>
            <w:tcW w:w="1643" w:type="dxa"/>
            <w:vAlign w:val="center"/>
          </w:tcPr>
          <w:p>
            <w:pPr>
              <w:pStyle w:val="13"/>
            </w:pPr>
            <w:r>
              <w:t>155.00</w:t>
            </w: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rPr>
                <w:rFonts w:hint="eastAsia" w:eastAsia="方正书宋_GBK"/>
                <w:lang w:eastAsia="zh-CN"/>
              </w:rPr>
            </w:pPr>
            <w:r>
              <w:rPr>
                <w:rFonts w:hint="eastAsia"/>
                <w:lang w:val="en-US" w:eastAsia="zh-CN"/>
              </w:rPr>
              <w:t>8</w:t>
            </w:r>
            <w:bookmarkStart w:id="1" w:name="_GoBack"/>
            <w:bookmarkEnd w:id="1"/>
          </w:p>
        </w:tc>
        <w:tc>
          <w:tcPr>
            <w:tcW w:w="1643" w:type="dxa"/>
            <w:vAlign w:val="center"/>
          </w:tcPr>
          <w:p>
            <w:pPr>
              <w:pStyle w:val="14"/>
            </w:pPr>
            <w:r>
              <w:t>三、公务接待费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隆尧县机关事务管理局2023年单位预算信息公开情况说明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按照《预算法》、《地方预决算公开操作规程》和《关于进一步推进预算公开工作的实施意见》规定，现将隆尧县机关事务管理局2023年单位预算公开如下：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7"/>
      </w:pPr>
      <w:r>
        <w:t>机关事务管理局职责</w:t>
      </w:r>
    </w:p>
    <w:p>
      <w:pPr>
        <w:pStyle w:val="27"/>
      </w:pPr>
      <w:r>
        <w:t>1、研究制定本县各级机关事务管理工作的政策措施并组织实施；</w:t>
      </w:r>
    </w:p>
    <w:p>
      <w:pPr>
        <w:pStyle w:val="27"/>
      </w:pPr>
      <w:r>
        <w:t>2、负责指定区域内的机关后勤管理和服务工作；</w:t>
      </w:r>
    </w:p>
    <w:p>
      <w:pPr>
        <w:pStyle w:val="27"/>
      </w:pPr>
      <w:r>
        <w:t>3、负责车改后保留公务用车的管理、调度；</w:t>
      </w:r>
    </w:p>
    <w:p>
      <w:pPr>
        <w:pStyle w:val="27"/>
      </w:pPr>
    </w:p>
    <w:p>
      <w:pPr>
        <w:pStyle w:val="27"/>
      </w:pPr>
      <w:r>
        <w:t>4、负责机关办公用房配置管理；</w:t>
      </w:r>
    </w:p>
    <w:p>
      <w:pPr>
        <w:pStyle w:val="27"/>
      </w:pPr>
      <w:r>
        <w:t> </w:t>
      </w:r>
    </w:p>
    <w:p>
      <w:pPr>
        <w:pStyle w:val="27"/>
      </w:pPr>
      <w:r>
        <w:t>5、负责全县公共机构资源节约的工作。</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464" w:type="dxa"/>
            <w:vAlign w:val="center"/>
          </w:tcPr>
          <w:p>
            <w:pPr>
              <w:pStyle w:val="12"/>
            </w:pPr>
            <w:r>
              <w:t>单位名称</w:t>
            </w:r>
          </w:p>
        </w:tc>
        <w:tc>
          <w:tcPr>
            <w:tcW w:w="2464" w:type="dxa"/>
            <w:vAlign w:val="center"/>
          </w:tcPr>
          <w:p>
            <w:pPr>
              <w:pStyle w:val="12"/>
            </w:pPr>
            <w:r>
              <w:t>单位性质</w:t>
            </w:r>
          </w:p>
        </w:tc>
        <w:tc>
          <w:tcPr>
            <w:tcW w:w="2464" w:type="dxa"/>
            <w:vAlign w:val="center"/>
          </w:tcPr>
          <w:p>
            <w:pPr>
              <w:pStyle w:val="12"/>
            </w:pPr>
            <w:r>
              <w:t>单位规格</w:t>
            </w:r>
          </w:p>
        </w:tc>
        <w:tc>
          <w:tcPr>
            <w:tcW w:w="2464"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pPr>
              <w:pStyle w:val="14"/>
            </w:pPr>
            <w:r>
              <w:t>隆尧县机关事务管理局</w:t>
            </w:r>
          </w:p>
        </w:tc>
        <w:tc>
          <w:tcPr>
            <w:tcW w:w="2464" w:type="dxa"/>
            <w:vAlign w:val="center"/>
          </w:tcPr>
          <w:p>
            <w:pPr>
              <w:pStyle w:val="15"/>
            </w:pPr>
            <w:r>
              <w:t>事业</w:t>
            </w:r>
          </w:p>
        </w:tc>
        <w:tc>
          <w:tcPr>
            <w:tcW w:w="2464" w:type="dxa"/>
            <w:vAlign w:val="center"/>
          </w:tcPr>
          <w:p>
            <w:pPr>
              <w:pStyle w:val="15"/>
            </w:pPr>
            <w:r>
              <w:t>副科级</w:t>
            </w:r>
          </w:p>
        </w:tc>
        <w:tc>
          <w:tcPr>
            <w:tcW w:w="2464" w:type="dxa"/>
            <w:vAlign w:val="center"/>
          </w:tcPr>
          <w:p>
            <w:pPr>
              <w:pStyle w:val="15"/>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spacing w:before="0" w:after="0" w:line="500" w:lineRule="exact"/>
        <w:ind w:firstLine="560"/>
        <w:jc w:val="left"/>
        <w:outlineLvl w:val="9"/>
      </w:pPr>
      <w:r>
        <w:rPr>
          <w:rFonts w:ascii="Times New Roman" w:hAnsi="Times New Roman" w:eastAsia="方正仿宋_GBK" w:cs="Times New Roman"/>
          <w:b w:val="0"/>
          <w:color w:val="000000"/>
          <w:sz w:val="28"/>
        </w:rPr>
        <w:t>按照预算管理有关规定，目前我省单位预算的编制实行综合预算管理，即全部收入和支出都反映在预算中。</w:t>
      </w:r>
    </w:p>
    <w:p>
      <w:pPr>
        <w:pStyle w:val="28"/>
      </w:pPr>
      <w:r>
        <w:t>按照预算管理有关规定，目前我县单位预算的编制实行综合预算管理，即全部收入和支出都反映在预算中。隆尧县机关事务管理局的收支包含在预算中。</w:t>
      </w:r>
    </w:p>
    <w:p>
      <w:pPr>
        <w:pStyle w:val="28"/>
      </w:pPr>
      <w:r>
        <w:t>1、收入说明</w:t>
      </w:r>
    </w:p>
    <w:p>
      <w:pPr>
        <w:pStyle w:val="28"/>
      </w:pPr>
      <w:r>
        <w:t>反映本部门当年全部收入。2023年预算收入1077.50万元，其中：一般公共预算收入1077.50万元，基金预算收入0万元，国有资本经营预算收入0万元，财政专户核拨收入0万元，单位资金收入0万元，上年结转结余0万元。</w:t>
      </w:r>
    </w:p>
    <w:p>
      <w:pPr>
        <w:pStyle w:val="28"/>
      </w:pPr>
      <w:r>
        <w:t>2、支出说明</w:t>
      </w:r>
    </w:p>
    <w:p>
      <w:pPr>
        <w:pStyle w:val="28"/>
      </w:pPr>
      <w:r>
        <w:t>收支预算总表支出栏、基本支出表、项目支出表按经济分类和支出功能分类科目编制，反映隆尧县机关事务管理局年度部门预算中支出预算的总体情况。2023年支出预算1077.50万元，其中基本支出0万元，包括人员经费0万元和日常公用经费0万元；项目支出1077.50万元，其中专项业务298.13万元，事业运行779.37万元，主要为公务用车购置费、公务用车运行维护费、租赁费、机关办公费、县委县政府后勤保障费劳务派遣司机工资、退役军人岗位补贴、食堂服务费、领导干部健康服务经费、县直党政机关办公用房维修基金。</w:t>
      </w:r>
    </w:p>
    <w:p>
      <w:pPr>
        <w:pStyle w:val="28"/>
      </w:pPr>
      <w:r>
        <w:t>3、比上年增减情况</w:t>
      </w:r>
    </w:p>
    <w:p>
      <w:pPr>
        <w:pStyle w:val="28"/>
      </w:pPr>
      <w:r>
        <w:t>2023年预算收支安排1077.50万元，较2022年预算减少176.25万元，其中：基本支出增加0万元，主要为增加人员经费支出；项目支出减少176.25万元，主要为县直党政机关办公用房维修基金150万元、租赁费20.63万元、机关办公费1万元、食堂服务费15万元、劳务派遣司机工资4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29"/>
      </w:pPr>
      <w:r>
        <w:t>2023年，我单位运行经费共计安排0万元，主要用于日常维修、办公用房水电费、办公用房取暖费、办公用房物业管理费等日常运行支出。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30"/>
      </w:pPr>
      <w:r>
        <w:t>2023年，我单位财政拨款“三公”经费预算安排255万元，其中因公出国（境）费0万元；公务用车购置及运维费255万元（其中：公务用车购置费为100万元，公务用车运行维护费155万元)；公务接待费0万元。与2022年相比减少0万元，主要原因是：</w:t>
      </w:r>
      <w:r>
        <w:rPr>
          <w:rFonts w:hint="eastAsia"/>
          <w:lang w:val="en-US" w:eastAsia="zh-CN"/>
        </w:rPr>
        <w:t>2023年公务用车运行维护费和公务用车购置费和2022年预算安排相同，2022年、2023年均没有安排公务接待费。</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pPr>
        <w:spacing w:before="0" w:after="0"/>
        <w:ind w:firstLine="560"/>
        <w:jc w:val="left"/>
        <w:outlineLvl w:val="9"/>
      </w:pPr>
      <w:r>
        <w:rPr>
          <w:rFonts w:ascii="方正仿宋_GBK" w:hAnsi="方正仿宋_GBK" w:eastAsia="方正仿宋_GBK" w:cs="方正仿宋_GBK"/>
          <w:b/>
          <w:color w:val="000000"/>
          <w:sz w:val="28"/>
        </w:rPr>
        <w:t>1、电动汽车购置绩效目标表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1.新能源汽车8辆</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公车购置率</w:t>
            </w:r>
          </w:p>
        </w:tc>
        <w:tc>
          <w:tcPr>
            <w:tcW w:w="2466" w:type="dxa"/>
            <w:vAlign w:val="center"/>
          </w:tcPr>
          <w:p>
            <w:pPr>
              <w:pStyle w:val="14"/>
            </w:pPr>
            <w:r>
              <w:t>公车购置量占全年计划的30%</w:t>
            </w:r>
          </w:p>
        </w:tc>
        <w:tc>
          <w:tcPr>
            <w:tcW w:w="2466" w:type="dxa"/>
            <w:vAlign w:val="center"/>
          </w:tcPr>
          <w:p>
            <w:pPr>
              <w:pStyle w:val="14"/>
            </w:pPr>
            <w:r>
              <w:t>≥100公车购置量占全年计划的30%</w:t>
            </w:r>
          </w:p>
        </w:tc>
        <w:tc>
          <w:tcPr>
            <w:tcW w:w="2466" w:type="dxa"/>
            <w:vAlign w:val="center"/>
          </w:tcPr>
          <w:p>
            <w:pPr>
              <w:pStyle w:val="14"/>
            </w:pPr>
            <w:r>
              <w:t>公车购置审批表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公车购置使用率</w:t>
            </w:r>
          </w:p>
        </w:tc>
        <w:tc>
          <w:tcPr>
            <w:tcW w:w="2466" w:type="dxa"/>
            <w:vAlign w:val="center"/>
          </w:tcPr>
          <w:p>
            <w:pPr>
              <w:pStyle w:val="14"/>
            </w:pPr>
            <w:r>
              <w:t>公车购买使用支出占全年公车购置的量</w:t>
            </w:r>
          </w:p>
        </w:tc>
        <w:tc>
          <w:tcPr>
            <w:tcW w:w="2466" w:type="dxa"/>
            <w:vAlign w:val="center"/>
          </w:tcPr>
          <w:p>
            <w:pPr>
              <w:pStyle w:val="14"/>
            </w:pPr>
            <w:r>
              <w:t>≥100公车购买使用支出占全年公车购置的量</w:t>
            </w:r>
          </w:p>
        </w:tc>
        <w:tc>
          <w:tcPr>
            <w:tcW w:w="2466" w:type="dxa"/>
            <w:vAlign w:val="center"/>
          </w:tcPr>
          <w:p>
            <w:pPr>
              <w:pStyle w:val="14"/>
            </w:pPr>
            <w:r>
              <w:t>公车购置审批表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购车时限</w:t>
            </w:r>
          </w:p>
        </w:tc>
        <w:tc>
          <w:tcPr>
            <w:tcW w:w="2466" w:type="dxa"/>
            <w:vAlign w:val="center"/>
          </w:tcPr>
          <w:p>
            <w:pPr>
              <w:pStyle w:val="14"/>
            </w:pPr>
            <w:r>
              <w:t>2022年11月前</w:t>
            </w:r>
          </w:p>
        </w:tc>
        <w:tc>
          <w:tcPr>
            <w:tcW w:w="2466" w:type="dxa"/>
            <w:vAlign w:val="center"/>
          </w:tcPr>
          <w:p>
            <w:pPr>
              <w:pStyle w:val="14"/>
            </w:pPr>
            <w:r>
              <w:t>≥20222022年11月前</w:t>
            </w:r>
          </w:p>
        </w:tc>
        <w:tc>
          <w:tcPr>
            <w:tcW w:w="2466" w:type="dxa"/>
            <w:vAlign w:val="center"/>
          </w:tcPr>
          <w:p>
            <w:pPr>
              <w:pStyle w:val="14"/>
            </w:pPr>
            <w:r>
              <w:t>购车发票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公车购置支出率</w:t>
            </w:r>
          </w:p>
        </w:tc>
        <w:tc>
          <w:tcPr>
            <w:tcW w:w="2466" w:type="dxa"/>
            <w:vAlign w:val="center"/>
          </w:tcPr>
          <w:p>
            <w:pPr>
              <w:pStyle w:val="14"/>
            </w:pPr>
            <w:r>
              <w:t>公车购买支出占全年公车购置</w:t>
            </w:r>
          </w:p>
        </w:tc>
        <w:tc>
          <w:tcPr>
            <w:tcW w:w="2466" w:type="dxa"/>
            <w:vAlign w:val="center"/>
          </w:tcPr>
          <w:p>
            <w:pPr>
              <w:pStyle w:val="14"/>
            </w:pPr>
            <w:r>
              <w:t>≥100公车购买支出占全年公车购置</w:t>
            </w:r>
          </w:p>
        </w:tc>
        <w:tc>
          <w:tcPr>
            <w:tcW w:w="2466" w:type="dxa"/>
            <w:vAlign w:val="center"/>
          </w:tcPr>
          <w:p>
            <w:pPr>
              <w:pStyle w:val="14"/>
            </w:pPr>
            <w:r>
              <w:t>公车购置审批表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经济效益指标</w:t>
            </w:r>
          </w:p>
        </w:tc>
        <w:tc>
          <w:tcPr>
            <w:tcW w:w="2466" w:type="dxa"/>
            <w:vAlign w:val="center"/>
          </w:tcPr>
          <w:p>
            <w:pPr>
              <w:pStyle w:val="14"/>
            </w:pPr>
            <w:r>
              <w:t>正常运行的公车占购买公车的比</w:t>
            </w:r>
          </w:p>
        </w:tc>
        <w:tc>
          <w:tcPr>
            <w:tcW w:w="2466" w:type="dxa"/>
            <w:vAlign w:val="center"/>
          </w:tcPr>
          <w:p>
            <w:pPr>
              <w:pStyle w:val="14"/>
            </w:pPr>
            <w:r>
              <w:t>正常运行的车辆占比</w:t>
            </w:r>
          </w:p>
        </w:tc>
        <w:tc>
          <w:tcPr>
            <w:tcW w:w="2466" w:type="dxa"/>
            <w:vAlign w:val="center"/>
          </w:tcPr>
          <w:p>
            <w:pPr>
              <w:pStyle w:val="14"/>
            </w:pPr>
            <w:r>
              <w:t>≥100正常运行的车辆占比</w:t>
            </w:r>
          </w:p>
        </w:tc>
        <w:tc>
          <w:tcPr>
            <w:tcW w:w="2466" w:type="dxa"/>
            <w:vAlign w:val="center"/>
          </w:tcPr>
          <w:p>
            <w:pPr>
              <w:pStyle w:val="14"/>
            </w:pPr>
            <w:r>
              <w:t>使用公车率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事务工作效率的提升</w:t>
            </w:r>
          </w:p>
        </w:tc>
        <w:tc>
          <w:tcPr>
            <w:tcW w:w="2466" w:type="dxa"/>
            <w:vAlign w:val="center"/>
          </w:tcPr>
          <w:p>
            <w:pPr>
              <w:pStyle w:val="14"/>
            </w:pPr>
            <w:r>
              <w:t>事务工作效率的提升</w:t>
            </w:r>
          </w:p>
        </w:tc>
        <w:tc>
          <w:tcPr>
            <w:tcW w:w="2466" w:type="dxa"/>
            <w:vAlign w:val="center"/>
          </w:tcPr>
          <w:p>
            <w:pPr>
              <w:pStyle w:val="14"/>
            </w:pPr>
            <w:r>
              <w:t>≥100事务工作效率的提升</w:t>
            </w:r>
          </w:p>
        </w:tc>
        <w:tc>
          <w:tcPr>
            <w:tcW w:w="2466" w:type="dxa"/>
            <w:vAlign w:val="center"/>
          </w:tcPr>
          <w:p>
            <w:pPr>
              <w:pStyle w:val="14"/>
            </w:pPr>
            <w:r>
              <w:t>购车申请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机动车尾气排放达标率(％)</w:t>
            </w:r>
          </w:p>
        </w:tc>
        <w:tc>
          <w:tcPr>
            <w:tcW w:w="2466" w:type="dxa"/>
            <w:vAlign w:val="center"/>
          </w:tcPr>
          <w:p>
            <w:pPr>
              <w:pStyle w:val="14"/>
            </w:pPr>
            <w:r>
              <w:t>检测以后公车尾气达标率</w:t>
            </w:r>
          </w:p>
        </w:tc>
        <w:tc>
          <w:tcPr>
            <w:tcW w:w="2466" w:type="dxa"/>
            <w:vAlign w:val="center"/>
          </w:tcPr>
          <w:p>
            <w:pPr>
              <w:pStyle w:val="14"/>
            </w:pPr>
            <w:r>
              <w:t>≥100检测以后公车尾气达标率</w:t>
            </w:r>
          </w:p>
        </w:tc>
        <w:tc>
          <w:tcPr>
            <w:tcW w:w="2466" w:type="dxa"/>
            <w:vAlign w:val="center"/>
          </w:tcPr>
          <w:p>
            <w:pPr>
              <w:pStyle w:val="14"/>
            </w:pPr>
            <w:r>
              <w:t>检测不合格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道路监测</w:t>
            </w:r>
          </w:p>
        </w:tc>
        <w:tc>
          <w:tcPr>
            <w:tcW w:w="2466" w:type="dxa"/>
            <w:vAlign w:val="center"/>
          </w:tcPr>
          <w:p>
            <w:pPr>
              <w:pStyle w:val="14"/>
            </w:pPr>
            <w:r>
              <w:t>新增车辆数量</w:t>
            </w:r>
          </w:p>
        </w:tc>
        <w:tc>
          <w:tcPr>
            <w:tcW w:w="2466" w:type="dxa"/>
            <w:vAlign w:val="center"/>
          </w:tcPr>
          <w:p>
            <w:pPr>
              <w:pStyle w:val="14"/>
            </w:pPr>
            <w:r>
              <w:t>≥100新增车辆数量</w:t>
            </w:r>
          </w:p>
        </w:tc>
        <w:tc>
          <w:tcPr>
            <w:tcW w:w="2466" w:type="dxa"/>
            <w:vAlign w:val="center"/>
          </w:tcPr>
          <w:p>
            <w:pPr>
              <w:pStyle w:val="14"/>
            </w:pPr>
            <w:r>
              <w:t>购车申请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购买公车使用满意度</w:t>
            </w:r>
          </w:p>
        </w:tc>
        <w:tc>
          <w:tcPr>
            <w:tcW w:w="2466" w:type="dxa"/>
            <w:vAlign w:val="center"/>
          </w:tcPr>
          <w:p>
            <w:pPr>
              <w:pStyle w:val="14"/>
            </w:pPr>
            <w:r>
              <w:t>购买公车使用满意度</w:t>
            </w:r>
          </w:p>
        </w:tc>
        <w:tc>
          <w:tcPr>
            <w:tcW w:w="2466" w:type="dxa"/>
            <w:vAlign w:val="center"/>
          </w:tcPr>
          <w:p>
            <w:pPr>
              <w:pStyle w:val="14"/>
            </w:pPr>
            <w:r>
              <w:t>≥100购买公车使用满意度</w:t>
            </w:r>
          </w:p>
        </w:tc>
        <w:tc>
          <w:tcPr>
            <w:tcW w:w="2466" w:type="dxa"/>
            <w:vAlign w:val="center"/>
          </w:tcPr>
          <w:p>
            <w:pPr>
              <w:pStyle w:val="14"/>
            </w:pPr>
            <w:r>
              <w:t>投诉率</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2、公务用车运行维护费绩效目标表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1.全年确保县直各单位公车燃油费、维修费、保险费、过桥费、机动车检测费、保障各单位车辆正常运行，工作顺利开展</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公务用车入保险率</w:t>
            </w:r>
          </w:p>
        </w:tc>
        <w:tc>
          <w:tcPr>
            <w:tcW w:w="2466" w:type="dxa"/>
            <w:vAlign w:val="center"/>
          </w:tcPr>
          <w:p>
            <w:pPr>
              <w:pStyle w:val="14"/>
            </w:pPr>
            <w:r>
              <w:t>入保险的公务用车量占全部公务用车的比例</w:t>
            </w:r>
          </w:p>
        </w:tc>
        <w:tc>
          <w:tcPr>
            <w:tcW w:w="2466" w:type="dxa"/>
            <w:vAlign w:val="center"/>
          </w:tcPr>
          <w:p>
            <w:pPr>
              <w:pStyle w:val="14"/>
            </w:pPr>
            <w:r>
              <w:t>≥100入保险的公务用车量占全部公务用车的比例</w:t>
            </w:r>
          </w:p>
        </w:tc>
        <w:tc>
          <w:tcPr>
            <w:tcW w:w="2466" w:type="dxa"/>
            <w:vAlign w:val="center"/>
          </w:tcPr>
          <w:p>
            <w:pPr>
              <w:pStyle w:val="14"/>
            </w:pPr>
            <w:r>
              <w:t>入保险统计表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公务用车检测率</w:t>
            </w:r>
          </w:p>
        </w:tc>
        <w:tc>
          <w:tcPr>
            <w:tcW w:w="2466" w:type="dxa"/>
            <w:vAlign w:val="center"/>
          </w:tcPr>
          <w:p>
            <w:pPr>
              <w:pStyle w:val="14"/>
            </w:pPr>
            <w:r>
              <w:t>检测完成的公务用车量占全部公务用车的比例</w:t>
            </w:r>
          </w:p>
        </w:tc>
        <w:tc>
          <w:tcPr>
            <w:tcW w:w="2466" w:type="dxa"/>
            <w:vAlign w:val="center"/>
          </w:tcPr>
          <w:p>
            <w:pPr>
              <w:pStyle w:val="14"/>
            </w:pPr>
            <w:r>
              <w:t>≥100检测完成的公务用车量占全部公务用车的比例</w:t>
            </w:r>
          </w:p>
        </w:tc>
        <w:tc>
          <w:tcPr>
            <w:tcW w:w="2466" w:type="dxa"/>
            <w:vAlign w:val="center"/>
          </w:tcPr>
          <w:p>
            <w:pPr>
              <w:pStyle w:val="14"/>
            </w:pPr>
            <w:r>
              <w:t>车辆检测表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过桥费支出率</w:t>
            </w:r>
          </w:p>
        </w:tc>
        <w:tc>
          <w:tcPr>
            <w:tcW w:w="2466" w:type="dxa"/>
            <w:vAlign w:val="center"/>
          </w:tcPr>
          <w:p>
            <w:pPr>
              <w:pStyle w:val="14"/>
            </w:pPr>
            <w:r>
              <w:t>过桥费支出量占全部公车过桥费支出量的比例</w:t>
            </w:r>
          </w:p>
        </w:tc>
        <w:tc>
          <w:tcPr>
            <w:tcW w:w="2466" w:type="dxa"/>
            <w:vAlign w:val="center"/>
          </w:tcPr>
          <w:p>
            <w:pPr>
              <w:pStyle w:val="14"/>
            </w:pPr>
            <w:r>
              <w:t>≥100过桥费支出量占全部公车过桥费支出量的比例</w:t>
            </w:r>
          </w:p>
        </w:tc>
        <w:tc>
          <w:tcPr>
            <w:tcW w:w="2466" w:type="dxa"/>
            <w:vAlign w:val="center"/>
          </w:tcPr>
          <w:p>
            <w:pPr>
              <w:pStyle w:val="14"/>
            </w:pPr>
            <w:r>
              <w:t>每月过桥费支出数量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公车完成维修率</w:t>
            </w:r>
          </w:p>
        </w:tc>
        <w:tc>
          <w:tcPr>
            <w:tcW w:w="2466" w:type="dxa"/>
            <w:vAlign w:val="center"/>
          </w:tcPr>
          <w:p>
            <w:pPr>
              <w:pStyle w:val="14"/>
            </w:pPr>
            <w:r>
              <w:t>完成维修的公车量占需要维修的公车的比例</w:t>
            </w:r>
          </w:p>
        </w:tc>
        <w:tc>
          <w:tcPr>
            <w:tcW w:w="2466" w:type="dxa"/>
            <w:vAlign w:val="center"/>
          </w:tcPr>
          <w:p>
            <w:pPr>
              <w:pStyle w:val="14"/>
            </w:pPr>
            <w:r>
              <w:t>≥100完成维修的公车量占需要维修的公车的比例</w:t>
            </w:r>
          </w:p>
        </w:tc>
        <w:tc>
          <w:tcPr>
            <w:tcW w:w="2466" w:type="dxa"/>
            <w:vAlign w:val="center"/>
          </w:tcPr>
          <w:p>
            <w:pPr>
              <w:pStyle w:val="14"/>
            </w:pPr>
            <w:r>
              <w:t>完成维修的数量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经济效益指标</w:t>
            </w:r>
          </w:p>
        </w:tc>
        <w:tc>
          <w:tcPr>
            <w:tcW w:w="2466" w:type="dxa"/>
            <w:vAlign w:val="center"/>
          </w:tcPr>
          <w:p>
            <w:pPr>
              <w:pStyle w:val="14"/>
            </w:pPr>
            <w:r>
              <w:t>正常运行的公车占全部公车的比</w:t>
            </w:r>
          </w:p>
        </w:tc>
        <w:tc>
          <w:tcPr>
            <w:tcW w:w="2466" w:type="dxa"/>
            <w:vAlign w:val="center"/>
          </w:tcPr>
          <w:p>
            <w:pPr>
              <w:pStyle w:val="14"/>
            </w:pPr>
            <w:r>
              <w:t>正常运行的车辆占比</w:t>
            </w:r>
          </w:p>
        </w:tc>
        <w:tc>
          <w:tcPr>
            <w:tcW w:w="2466" w:type="dxa"/>
            <w:vAlign w:val="center"/>
          </w:tcPr>
          <w:p>
            <w:pPr>
              <w:pStyle w:val="14"/>
            </w:pPr>
            <w:r>
              <w:t>≥100正常运行的车辆占比</w:t>
            </w:r>
          </w:p>
        </w:tc>
        <w:tc>
          <w:tcPr>
            <w:tcW w:w="2466" w:type="dxa"/>
            <w:vAlign w:val="center"/>
          </w:tcPr>
          <w:p>
            <w:pPr>
              <w:pStyle w:val="14"/>
            </w:pPr>
            <w:r>
              <w:t>使用公车率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公务用车完成维修率</w:t>
            </w:r>
          </w:p>
        </w:tc>
        <w:tc>
          <w:tcPr>
            <w:tcW w:w="2466" w:type="dxa"/>
            <w:vAlign w:val="center"/>
          </w:tcPr>
          <w:p>
            <w:pPr>
              <w:pStyle w:val="14"/>
            </w:pPr>
            <w:r>
              <w:t>完成维修的公车量占需要维修的公车的比例</w:t>
            </w:r>
          </w:p>
        </w:tc>
        <w:tc>
          <w:tcPr>
            <w:tcW w:w="2466" w:type="dxa"/>
            <w:vAlign w:val="center"/>
          </w:tcPr>
          <w:p>
            <w:pPr>
              <w:pStyle w:val="14"/>
            </w:pPr>
            <w:r>
              <w:t>≥100完成维修的公车量占需要维修的公车的比例</w:t>
            </w:r>
          </w:p>
        </w:tc>
        <w:tc>
          <w:tcPr>
            <w:tcW w:w="2466" w:type="dxa"/>
            <w:vAlign w:val="center"/>
          </w:tcPr>
          <w:p>
            <w:pPr>
              <w:pStyle w:val="14"/>
            </w:pPr>
            <w:r>
              <w:t>完成维修的数量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机动车尾气排放达标率(％)</w:t>
            </w:r>
          </w:p>
        </w:tc>
        <w:tc>
          <w:tcPr>
            <w:tcW w:w="2466" w:type="dxa"/>
            <w:vAlign w:val="center"/>
          </w:tcPr>
          <w:p>
            <w:pPr>
              <w:pStyle w:val="14"/>
            </w:pPr>
            <w:r>
              <w:t>检测以后公车尾气达标率</w:t>
            </w:r>
          </w:p>
        </w:tc>
        <w:tc>
          <w:tcPr>
            <w:tcW w:w="2466" w:type="dxa"/>
            <w:vAlign w:val="center"/>
          </w:tcPr>
          <w:p>
            <w:pPr>
              <w:pStyle w:val="14"/>
            </w:pPr>
            <w:r>
              <w:t>≥100检测以后公车尾气达标率</w:t>
            </w:r>
          </w:p>
        </w:tc>
        <w:tc>
          <w:tcPr>
            <w:tcW w:w="2466" w:type="dxa"/>
            <w:vAlign w:val="center"/>
          </w:tcPr>
          <w:p>
            <w:pPr>
              <w:pStyle w:val="14"/>
            </w:pPr>
            <w:r>
              <w:t>检测不合格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日常出行率</w:t>
            </w:r>
          </w:p>
        </w:tc>
        <w:tc>
          <w:tcPr>
            <w:tcW w:w="2466" w:type="dxa"/>
            <w:vAlign w:val="center"/>
          </w:tcPr>
          <w:p>
            <w:pPr>
              <w:pStyle w:val="14"/>
            </w:pPr>
            <w:r>
              <w:t>日常出行使用公车率</w:t>
            </w:r>
          </w:p>
        </w:tc>
        <w:tc>
          <w:tcPr>
            <w:tcW w:w="2466" w:type="dxa"/>
            <w:vAlign w:val="center"/>
          </w:tcPr>
          <w:p>
            <w:pPr>
              <w:pStyle w:val="14"/>
            </w:pPr>
            <w:r>
              <w:t>≥100日常出行使用公车率</w:t>
            </w:r>
          </w:p>
        </w:tc>
        <w:tc>
          <w:tcPr>
            <w:tcW w:w="2466" w:type="dxa"/>
            <w:vAlign w:val="center"/>
          </w:tcPr>
          <w:p>
            <w:pPr>
              <w:pStyle w:val="14"/>
            </w:pPr>
            <w:r>
              <w:t>平台派车单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服务对象满意度</w:t>
            </w:r>
          </w:p>
        </w:tc>
        <w:tc>
          <w:tcPr>
            <w:tcW w:w="2466" w:type="dxa"/>
            <w:vAlign w:val="center"/>
          </w:tcPr>
          <w:p>
            <w:pPr>
              <w:pStyle w:val="14"/>
            </w:pPr>
            <w:r>
              <w:t>领导使用公车的满意度</w:t>
            </w:r>
          </w:p>
        </w:tc>
        <w:tc>
          <w:tcPr>
            <w:tcW w:w="2466" w:type="dxa"/>
            <w:vAlign w:val="center"/>
          </w:tcPr>
          <w:p>
            <w:pPr>
              <w:pStyle w:val="14"/>
            </w:pPr>
            <w:r>
              <w:t>≥90领导使用公车的满意度</w:t>
            </w:r>
          </w:p>
        </w:tc>
        <w:tc>
          <w:tcPr>
            <w:tcW w:w="2466" w:type="dxa"/>
            <w:vAlign w:val="center"/>
          </w:tcPr>
          <w:p>
            <w:pPr>
              <w:pStyle w:val="14"/>
            </w:pPr>
            <w:r>
              <w:t>使用公车投诉率</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3、机关办公费绩效目标表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1.确保单位全年人员日常办公费用的使用，保障单位的顺利运行。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机关工作完成率</w:t>
            </w:r>
          </w:p>
        </w:tc>
        <w:tc>
          <w:tcPr>
            <w:tcW w:w="2466" w:type="dxa"/>
            <w:vAlign w:val="center"/>
          </w:tcPr>
          <w:p>
            <w:pPr>
              <w:pStyle w:val="14"/>
            </w:pPr>
            <w:r>
              <w:t>完成机关工作占全年工作的比例</w:t>
            </w:r>
          </w:p>
        </w:tc>
        <w:tc>
          <w:tcPr>
            <w:tcW w:w="2466" w:type="dxa"/>
            <w:vAlign w:val="center"/>
          </w:tcPr>
          <w:p>
            <w:pPr>
              <w:pStyle w:val="14"/>
            </w:pPr>
            <w:r>
              <w:t>≥100完成机关工作占全年工作的比例</w:t>
            </w:r>
          </w:p>
        </w:tc>
        <w:tc>
          <w:tcPr>
            <w:tcW w:w="2466" w:type="dxa"/>
            <w:vAlign w:val="center"/>
          </w:tcPr>
          <w:p>
            <w:pPr>
              <w:pStyle w:val="14"/>
            </w:pPr>
            <w:r>
              <w:t>机关工作完成量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机关办公费支出率</w:t>
            </w:r>
          </w:p>
        </w:tc>
        <w:tc>
          <w:tcPr>
            <w:tcW w:w="2466" w:type="dxa"/>
            <w:vAlign w:val="center"/>
          </w:tcPr>
          <w:p>
            <w:pPr>
              <w:pStyle w:val="14"/>
            </w:pPr>
            <w:r>
              <w:t>机关办公费支出数占预算总数的比例</w:t>
            </w:r>
          </w:p>
        </w:tc>
        <w:tc>
          <w:tcPr>
            <w:tcW w:w="2466" w:type="dxa"/>
            <w:vAlign w:val="center"/>
          </w:tcPr>
          <w:p>
            <w:pPr>
              <w:pStyle w:val="14"/>
            </w:pPr>
            <w:r>
              <w:t>≥100机关办公费支出数占预算总数的比例</w:t>
            </w:r>
          </w:p>
        </w:tc>
        <w:tc>
          <w:tcPr>
            <w:tcW w:w="2466" w:type="dxa"/>
            <w:vAlign w:val="center"/>
          </w:tcPr>
          <w:p>
            <w:pPr>
              <w:pStyle w:val="14"/>
            </w:pPr>
            <w:r>
              <w:t>机关办公支出量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机关购置率</w:t>
            </w:r>
          </w:p>
        </w:tc>
        <w:tc>
          <w:tcPr>
            <w:tcW w:w="2466" w:type="dxa"/>
            <w:vAlign w:val="center"/>
          </w:tcPr>
          <w:p>
            <w:pPr>
              <w:pStyle w:val="14"/>
            </w:pPr>
            <w:r>
              <w:t>机关购置货物量占全年购置计划的比例</w:t>
            </w:r>
          </w:p>
        </w:tc>
        <w:tc>
          <w:tcPr>
            <w:tcW w:w="2466" w:type="dxa"/>
            <w:vAlign w:val="center"/>
          </w:tcPr>
          <w:p>
            <w:pPr>
              <w:pStyle w:val="14"/>
            </w:pPr>
            <w:r>
              <w:t>≥100机关购置货物量占全年购置计划的比例</w:t>
            </w:r>
          </w:p>
        </w:tc>
        <w:tc>
          <w:tcPr>
            <w:tcW w:w="2466" w:type="dxa"/>
            <w:vAlign w:val="center"/>
          </w:tcPr>
          <w:p>
            <w:pPr>
              <w:pStyle w:val="14"/>
            </w:pPr>
            <w:r>
              <w:t>机关购置数量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机关高质量工作节能减排</w:t>
            </w:r>
          </w:p>
        </w:tc>
        <w:tc>
          <w:tcPr>
            <w:tcW w:w="2466" w:type="dxa"/>
            <w:vAlign w:val="center"/>
          </w:tcPr>
          <w:p>
            <w:pPr>
              <w:pStyle w:val="14"/>
            </w:pPr>
            <w:r>
              <w:t>完成机关高质量工作占全年工作的比例</w:t>
            </w:r>
          </w:p>
        </w:tc>
        <w:tc>
          <w:tcPr>
            <w:tcW w:w="2466" w:type="dxa"/>
            <w:vAlign w:val="center"/>
          </w:tcPr>
          <w:p>
            <w:pPr>
              <w:pStyle w:val="14"/>
            </w:pPr>
            <w:r>
              <w:t>≥100完成机关高质量工作占全年工作的比例</w:t>
            </w:r>
          </w:p>
        </w:tc>
        <w:tc>
          <w:tcPr>
            <w:tcW w:w="2466" w:type="dxa"/>
            <w:vAlign w:val="center"/>
          </w:tcPr>
          <w:p>
            <w:pPr>
              <w:pStyle w:val="14"/>
            </w:pPr>
            <w:r>
              <w:t>机关高质量工作完成量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经济效益指标</w:t>
            </w:r>
          </w:p>
        </w:tc>
        <w:tc>
          <w:tcPr>
            <w:tcW w:w="2466" w:type="dxa"/>
            <w:vAlign w:val="center"/>
          </w:tcPr>
          <w:p>
            <w:pPr>
              <w:pStyle w:val="14"/>
            </w:pPr>
            <w:r>
              <w:t>机关办公优质率</w:t>
            </w:r>
          </w:p>
        </w:tc>
        <w:tc>
          <w:tcPr>
            <w:tcW w:w="2466" w:type="dxa"/>
            <w:vAlign w:val="center"/>
          </w:tcPr>
          <w:p>
            <w:pPr>
              <w:pStyle w:val="14"/>
            </w:pPr>
            <w:r>
              <w:t>机关办公优质次数占总办公次数的比例</w:t>
            </w:r>
          </w:p>
        </w:tc>
        <w:tc>
          <w:tcPr>
            <w:tcW w:w="2466" w:type="dxa"/>
            <w:vAlign w:val="center"/>
          </w:tcPr>
          <w:p>
            <w:pPr>
              <w:pStyle w:val="14"/>
            </w:pPr>
            <w:r>
              <w:t>≥100机关办公优质次数占总办公次数的比例</w:t>
            </w:r>
          </w:p>
        </w:tc>
        <w:tc>
          <w:tcPr>
            <w:tcW w:w="2466" w:type="dxa"/>
            <w:vAlign w:val="center"/>
          </w:tcPr>
          <w:p>
            <w:pPr>
              <w:pStyle w:val="14"/>
            </w:pPr>
            <w:r>
              <w:t>机关办公优质次数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机关高质量工作完成率</w:t>
            </w:r>
          </w:p>
        </w:tc>
        <w:tc>
          <w:tcPr>
            <w:tcW w:w="2466" w:type="dxa"/>
            <w:vAlign w:val="center"/>
          </w:tcPr>
          <w:p>
            <w:pPr>
              <w:pStyle w:val="14"/>
            </w:pPr>
            <w:r>
              <w:t>完成机关高质量工作占全年工作的比例</w:t>
            </w:r>
          </w:p>
        </w:tc>
        <w:tc>
          <w:tcPr>
            <w:tcW w:w="2466" w:type="dxa"/>
            <w:vAlign w:val="center"/>
          </w:tcPr>
          <w:p>
            <w:pPr>
              <w:pStyle w:val="14"/>
            </w:pPr>
            <w:r>
              <w:t>≥100完成机关高质量工作占全年工作的比例</w:t>
            </w:r>
          </w:p>
        </w:tc>
        <w:tc>
          <w:tcPr>
            <w:tcW w:w="2466" w:type="dxa"/>
            <w:vAlign w:val="center"/>
          </w:tcPr>
          <w:p>
            <w:pPr>
              <w:pStyle w:val="14"/>
            </w:pPr>
            <w:r>
              <w:t>机关高质量工作完成量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节能使用办公用品</w:t>
            </w:r>
          </w:p>
        </w:tc>
        <w:tc>
          <w:tcPr>
            <w:tcW w:w="2466" w:type="dxa"/>
            <w:vAlign w:val="center"/>
          </w:tcPr>
          <w:p>
            <w:pPr>
              <w:pStyle w:val="14"/>
            </w:pPr>
            <w:r>
              <w:t>日常使用办公用品更换率</w:t>
            </w:r>
          </w:p>
        </w:tc>
        <w:tc>
          <w:tcPr>
            <w:tcW w:w="2466" w:type="dxa"/>
            <w:vAlign w:val="center"/>
          </w:tcPr>
          <w:p>
            <w:pPr>
              <w:pStyle w:val="14"/>
            </w:pPr>
            <w:r>
              <w:t>≥30日常使用办公用品更换率</w:t>
            </w:r>
          </w:p>
        </w:tc>
        <w:tc>
          <w:tcPr>
            <w:tcW w:w="2466" w:type="dxa"/>
            <w:vAlign w:val="center"/>
          </w:tcPr>
          <w:p>
            <w:pPr>
              <w:pStyle w:val="14"/>
            </w:pPr>
            <w:r>
              <w:t>办公费详单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业务能力增强</w:t>
            </w:r>
          </w:p>
        </w:tc>
        <w:tc>
          <w:tcPr>
            <w:tcW w:w="2466" w:type="dxa"/>
            <w:vAlign w:val="center"/>
          </w:tcPr>
          <w:p>
            <w:pPr>
              <w:pStyle w:val="14"/>
            </w:pPr>
            <w:r>
              <w:t>业务能力增强</w:t>
            </w:r>
          </w:p>
        </w:tc>
        <w:tc>
          <w:tcPr>
            <w:tcW w:w="2466" w:type="dxa"/>
            <w:vAlign w:val="center"/>
          </w:tcPr>
          <w:p>
            <w:pPr>
              <w:pStyle w:val="14"/>
            </w:pPr>
            <w:r>
              <w:t>≥100增强业务能力</w:t>
            </w:r>
          </w:p>
        </w:tc>
        <w:tc>
          <w:tcPr>
            <w:tcW w:w="2466" w:type="dxa"/>
            <w:vAlign w:val="center"/>
          </w:tcPr>
          <w:p>
            <w:pPr>
              <w:pStyle w:val="14"/>
            </w:pPr>
            <w:r>
              <w:t>增强表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服务对象满意度</w:t>
            </w:r>
          </w:p>
        </w:tc>
        <w:tc>
          <w:tcPr>
            <w:tcW w:w="2466" w:type="dxa"/>
            <w:vAlign w:val="center"/>
          </w:tcPr>
          <w:p>
            <w:pPr>
              <w:pStyle w:val="14"/>
            </w:pPr>
            <w:r>
              <w:t>人员使用的满意度</w:t>
            </w:r>
          </w:p>
        </w:tc>
        <w:tc>
          <w:tcPr>
            <w:tcW w:w="2466" w:type="dxa"/>
            <w:vAlign w:val="center"/>
          </w:tcPr>
          <w:p>
            <w:pPr>
              <w:pStyle w:val="14"/>
            </w:pPr>
            <w:r>
              <w:t>≥90人员使用的满意度</w:t>
            </w:r>
          </w:p>
        </w:tc>
        <w:tc>
          <w:tcPr>
            <w:tcW w:w="2466" w:type="dxa"/>
            <w:vAlign w:val="center"/>
          </w:tcPr>
          <w:p>
            <w:pPr>
              <w:pStyle w:val="14"/>
            </w:pPr>
            <w:r>
              <w:t>使用办公用品投诉率</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4、劳务派遣司机工资绩效目标表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1.保障全年劳务派遣人员工资保险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发放补助人数</w:t>
            </w:r>
          </w:p>
        </w:tc>
        <w:tc>
          <w:tcPr>
            <w:tcW w:w="2466" w:type="dxa"/>
            <w:vAlign w:val="center"/>
          </w:tcPr>
          <w:p>
            <w:pPr>
              <w:pStyle w:val="14"/>
            </w:pPr>
            <w:r>
              <w:t>反映发放或补助人员数量情况</w:t>
            </w:r>
          </w:p>
        </w:tc>
        <w:tc>
          <w:tcPr>
            <w:tcW w:w="2466" w:type="dxa"/>
            <w:vAlign w:val="center"/>
          </w:tcPr>
          <w:p>
            <w:pPr>
              <w:pStyle w:val="14"/>
            </w:pPr>
            <w:r>
              <w:t>≤12反映发放或补助人员数量情况</w:t>
            </w:r>
          </w:p>
        </w:tc>
        <w:tc>
          <w:tcPr>
            <w:tcW w:w="2466" w:type="dxa"/>
            <w:vAlign w:val="center"/>
          </w:tcPr>
          <w:p>
            <w:pPr>
              <w:pStyle w:val="14"/>
            </w:pPr>
            <w:r>
              <w:t>编制卡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发放（补助）次数</w:t>
            </w:r>
          </w:p>
        </w:tc>
        <w:tc>
          <w:tcPr>
            <w:tcW w:w="2466" w:type="dxa"/>
            <w:vAlign w:val="center"/>
          </w:tcPr>
          <w:p>
            <w:pPr>
              <w:pStyle w:val="14"/>
            </w:pPr>
            <w:r>
              <w:t>反映发放或补助频次情况</w:t>
            </w:r>
          </w:p>
        </w:tc>
        <w:tc>
          <w:tcPr>
            <w:tcW w:w="2466" w:type="dxa"/>
            <w:vAlign w:val="center"/>
          </w:tcPr>
          <w:p>
            <w:pPr>
              <w:pStyle w:val="14"/>
            </w:pPr>
            <w:r>
              <w:t>≤12反映发放或补助频次情况</w:t>
            </w:r>
          </w:p>
        </w:tc>
        <w:tc>
          <w:tcPr>
            <w:tcW w:w="2466" w:type="dxa"/>
            <w:vAlign w:val="center"/>
          </w:tcPr>
          <w:p>
            <w:pPr>
              <w:pStyle w:val="14"/>
            </w:pPr>
            <w:r>
              <w:t>工资发放表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资金发放（补助）及时性</w:t>
            </w:r>
          </w:p>
        </w:tc>
        <w:tc>
          <w:tcPr>
            <w:tcW w:w="2466" w:type="dxa"/>
            <w:vAlign w:val="center"/>
          </w:tcPr>
          <w:p>
            <w:pPr>
              <w:pStyle w:val="14"/>
            </w:pPr>
            <w:r>
              <w:t>反映资金发放（补助）及时性</w:t>
            </w:r>
          </w:p>
        </w:tc>
        <w:tc>
          <w:tcPr>
            <w:tcW w:w="2466" w:type="dxa"/>
            <w:vAlign w:val="center"/>
          </w:tcPr>
          <w:p>
            <w:pPr>
              <w:pStyle w:val="14"/>
            </w:pPr>
            <w:r>
              <w:t>≥100反映资金发放（补助）及时性</w:t>
            </w:r>
          </w:p>
        </w:tc>
        <w:tc>
          <w:tcPr>
            <w:tcW w:w="2466" w:type="dxa"/>
            <w:vAlign w:val="center"/>
          </w:tcPr>
          <w:p>
            <w:pPr>
              <w:pStyle w:val="14"/>
            </w:pPr>
            <w:r>
              <w:t>工资发放表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劳务派遣人员工资保险为504295.63</w:t>
            </w:r>
          </w:p>
        </w:tc>
        <w:tc>
          <w:tcPr>
            <w:tcW w:w="2466" w:type="dxa"/>
            <w:vAlign w:val="center"/>
          </w:tcPr>
          <w:p>
            <w:pPr>
              <w:pStyle w:val="14"/>
            </w:pPr>
            <w:r>
              <w:t>劳务派遣人员工资保险小于等于504295.63</w:t>
            </w:r>
          </w:p>
        </w:tc>
        <w:tc>
          <w:tcPr>
            <w:tcW w:w="2466" w:type="dxa"/>
            <w:vAlign w:val="center"/>
          </w:tcPr>
          <w:p>
            <w:pPr>
              <w:pStyle w:val="14"/>
            </w:pPr>
            <w:r>
              <w:t>≤504295.63劳务派遣人员工资保险小于等于504295.63</w:t>
            </w:r>
          </w:p>
        </w:tc>
        <w:tc>
          <w:tcPr>
            <w:tcW w:w="2466" w:type="dxa"/>
            <w:vAlign w:val="center"/>
          </w:tcPr>
          <w:p>
            <w:pPr>
              <w:pStyle w:val="14"/>
            </w:pPr>
            <w:r>
              <w:t>工资发放表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经济效益指标</w:t>
            </w:r>
          </w:p>
        </w:tc>
        <w:tc>
          <w:tcPr>
            <w:tcW w:w="2466" w:type="dxa"/>
            <w:vAlign w:val="center"/>
          </w:tcPr>
          <w:p>
            <w:pPr>
              <w:pStyle w:val="14"/>
            </w:pPr>
            <w:r>
              <w:t>招聘劳务派遣人员增加人员工资</w:t>
            </w:r>
          </w:p>
        </w:tc>
        <w:tc>
          <w:tcPr>
            <w:tcW w:w="2466" w:type="dxa"/>
            <w:vAlign w:val="center"/>
          </w:tcPr>
          <w:p>
            <w:pPr>
              <w:pStyle w:val="14"/>
            </w:pPr>
            <w:r>
              <w:t>招聘劳务派遣人员增加人员工资</w:t>
            </w:r>
          </w:p>
        </w:tc>
        <w:tc>
          <w:tcPr>
            <w:tcW w:w="2466" w:type="dxa"/>
            <w:vAlign w:val="center"/>
          </w:tcPr>
          <w:p>
            <w:pPr>
              <w:pStyle w:val="14"/>
            </w:pPr>
            <w:r>
              <w:t>≥100招聘劳务派遣人员增加人员工资</w:t>
            </w:r>
          </w:p>
        </w:tc>
        <w:tc>
          <w:tcPr>
            <w:tcW w:w="2466" w:type="dxa"/>
            <w:vAlign w:val="center"/>
          </w:tcPr>
          <w:p>
            <w:pPr>
              <w:pStyle w:val="14"/>
            </w:pPr>
            <w:r>
              <w:t>招聘报告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招聘劳务派遣人员增加就业率</w:t>
            </w:r>
          </w:p>
        </w:tc>
        <w:tc>
          <w:tcPr>
            <w:tcW w:w="2466" w:type="dxa"/>
            <w:vAlign w:val="center"/>
          </w:tcPr>
          <w:p>
            <w:pPr>
              <w:pStyle w:val="14"/>
            </w:pPr>
            <w:r>
              <w:t>招聘劳务派遣人员增加就业率</w:t>
            </w:r>
          </w:p>
        </w:tc>
        <w:tc>
          <w:tcPr>
            <w:tcW w:w="2466" w:type="dxa"/>
            <w:vAlign w:val="center"/>
          </w:tcPr>
          <w:p>
            <w:pPr>
              <w:pStyle w:val="14"/>
            </w:pPr>
            <w:r>
              <w:t>≥100招聘劳务派遣人员增加就业率</w:t>
            </w:r>
          </w:p>
        </w:tc>
        <w:tc>
          <w:tcPr>
            <w:tcW w:w="2466" w:type="dxa"/>
            <w:vAlign w:val="center"/>
          </w:tcPr>
          <w:p>
            <w:pPr>
              <w:pStyle w:val="14"/>
            </w:pPr>
            <w:r>
              <w:t>招聘报告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高效完成工作量</w:t>
            </w:r>
          </w:p>
        </w:tc>
        <w:tc>
          <w:tcPr>
            <w:tcW w:w="2466" w:type="dxa"/>
            <w:vAlign w:val="center"/>
          </w:tcPr>
          <w:p>
            <w:pPr>
              <w:pStyle w:val="14"/>
            </w:pPr>
            <w:r>
              <w:t>高效完成工作量完成工作</w:t>
            </w:r>
          </w:p>
        </w:tc>
        <w:tc>
          <w:tcPr>
            <w:tcW w:w="2466" w:type="dxa"/>
            <w:vAlign w:val="center"/>
          </w:tcPr>
          <w:p>
            <w:pPr>
              <w:pStyle w:val="14"/>
            </w:pPr>
            <w:r>
              <w:t>≥100高效完成工作量完成工作</w:t>
            </w:r>
          </w:p>
        </w:tc>
        <w:tc>
          <w:tcPr>
            <w:tcW w:w="2466" w:type="dxa"/>
            <w:vAlign w:val="center"/>
          </w:tcPr>
          <w:p>
            <w:pPr>
              <w:pStyle w:val="14"/>
            </w:pPr>
            <w:r>
              <w:t>安排工作量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日常出行率</w:t>
            </w:r>
          </w:p>
        </w:tc>
        <w:tc>
          <w:tcPr>
            <w:tcW w:w="2466" w:type="dxa"/>
            <w:vAlign w:val="center"/>
          </w:tcPr>
          <w:p>
            <w:pPr>
              <w:pStyle w:val="14"/>
            </w:pPr>
            <w:r>
              <w:t>日常出行使用司机</w:t>
            </w:r>
          </w:p>
        </w:tc>
        <w:tc>
          <w:tcPr>
            <w:tcW w:w="2466" w:type="dxa"/>
            <w:vAlign w:val="center"/>
          </w:tcPr>
          <w:p>
            <w:pPr>
              <w:pStyle w:val="14"/>
            </w:pPr>
            <w:r>
              <w:t>≥80日常出行使用司机</w:t>
            </w:r>
          </w:p>
        </w:tc>
        <w:tc>
          <w:tcPr>
            <w:tcW w:w="2466" w:type="dxa"/>
            <w:vAlign w:val="center"/>
          </w:tcPr>
          <w:p>
            <w:pPr>
              <w:pStyle w:val="14"/>
            </w:pPr>
            <w:r>
              <w:t>平台派车单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受益人员满意度</w:t>
            </w:r>
          </w:p>
        </w:tc>
        <w:tc>
          <w:tcPr>
            <w:tcW w:w="2466" w:type="dxa"/>
            <w:vAlign w:val="center"/>
          </w:tcPr>
          <w:p>
            <w:pPr>
              <w:pStyle w:val="14"/>
            </w:pPr>
            <w:r>
              <w:t>反映参加受益人员满意情况</w:t>
            </w:r>
          </w:p>
          <w:p>
            <w:pPr>
              <w:pStyle w:val="14"/>
            </w:pPr>
          </w:p>
        </w:tc>
        <w:tc>
          <w:tcPr>
            <w:tcW w:w="2466" w:type="dxa"/>
            <w:vAlign w:val="center"/>
          </w:tcPr>
          <w:p>
            <w:pPr>
              <w:pStyle w:val="14"/>
            </w:pPr>
            <w:r>
              <w:t>≥90反映参加受益人员满意情况</w:t>
            </w:r>
          </w:p>
          <w:p>
            <w:pPr>
              <w:pStyle w:val="14"/>
            </w:pPr>
          </w:p>
        </w:tc>
        <w:tc>
          <w:tcPr>
            <w:tcW w:w="2466" w:type="dxa"/>
            <w:vAlign w:val="center"/>
          </w:tcPr>
          <w:p>
            <w:pPr>
              <w:pStyle w:val="14"/>
            </w:pPr>
            <w:r>
              <w:t>投诉率</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5、领导干部健康服务经费绩效目标表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1.保障领导干部身体健康</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体检劳模人数</w:t>
            </w:r>
          </w:p>
        </w:tc>
        <w:tc>
          <w:tcPr>
            <w:tcW w:w="2466" w:type="dxa"/>
            <w:vAlign w:val="center"/>
          </w:tcPr>
          <w:p>
            <w:pPr>
              <w:pStyle w:val="14"/>
            </w:pPr>
            <w:r>
              <w:t>体检劳模人数</w:t>
            </w:r>
          </w:p>
        </w:tc>
        <w:tc>
          <w:tcPr>
            <w:tcW w:w="2466" w:type="dxa"/>
            <w:vAlign w:val="center"/>
          </w:tcPr>
          <w:p>
            <w:pPr>
              <w:pStyle w:val="14"/>
            </w:pPr>
            <w:r>
              <w:t>≥100体检劳模人数</w:t>
            </w:r>
          </w:p>
        </w:tc>
        <w:tc>
          <w:tcPr>
            <w:tcW w:w="2466" w:type="dxa"/>
            <w:vAlign w:val="center"/>
          </w:tcPr>
          <w:p>
            <w:pPr>
              <w:pStyle w:val="14"/>
            </w:pPr>
            <w:r>
              <w:t>体检报告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体检结果准确率</w:t>
            </w:r>
          </w:p>
        </w:tc>
        <w:tc>
          <w:tcPr>
            <w:tcW w:w="2466" w:type="dxa"/>
            <w:vAlign w:val="center"/>
          </w:tcPr>
          <w:p>
            <w:pPr>
              <w:pStyle w:val="14"/>
            </w:pPr>
            <w:r>
              <w:t>体检结果准确率</w:t>
            </w:r>
          </w:p>
        </w:tc>
        <w:tc>
          <w:tcPr>
            <w:tcW w:w="2466" w:type="dxa"/>
            <w:vAlign w:val="center"/>
          </w:tcPr>
          <w:p>
            <w:pPr>
              <w:pStyle w:val="14"/>
            </w:pPr>
            <w:r>
              <w:t>≥100体检结果准确率</w:t>
            </w:r>
          </w:p>
        </w:tc>
        <w:tc>
          <w:tcPr>
            <w:tcW w:w="2466" w:type="dxa"/>
            <w:vAlign w:val="center"/>
          </w:tcPr>
          <w:p>
            <w:pPr>
              <w:pStyle w:val="14"/>
            </w:pPr>
            <w:r>
              <w:t>体检报告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体检工作完成是否及时</w:t>
            </w:r>
          </w:p>
        </w:tc>
        <w:tc>
          <w:tcPr>
            <w:tcW w:w="2466" w:type="dxa"/>
            <w:vAlign w:val="center"/>
          </w:tcPr>
          <w:p>
            <w:pPr>
              <w:pStyle w:val="14"/>
            </w:pPr>
            <w:r>
              <w:t>体检工作完成是否及时</w:t>
            </w:r>
          </w:p>
        </w:tc>
        <w:tc>
          <w:tcPr>
            <w:tcW w:w="2466" w:type="dxa"/>
            <w:vAlign w:val="center"/>
          </w:tcPr>
          <w:p>
            <w:pPr>
              <w:pStyle w:val="14"/>
            </w:pPr>
            <w:r>
              <w:t>100体检工作完成是否及时</w:t>
            </w:r>
          </w:p>
        </w:tc>
        <w:tc>
          <w:tcPr>
            <w:tcW w:w="2466" w:type="dxa"/>
            <w:vAlign w:val="center"/>
          </w:tcPr>
          <w:p>
            <w:pPr>
              <w:pStyle w:val="14"/>
            </w:pPr>
            <w:r>
              <w:t>体检报告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劳模体检成本</w:t>
            </w:r>
          </w:p>
        </w:tc>
        <w:tc>
          <w:tcPr>
            <w:tcW w:w="2466" w:type="dxa"/>
            <w:vAlign w:val="center"/>
          </w:tcPr>
          <w:p>
            <w:pPr>
              <w:pStyle w:val="14"/>
            </w:pPr>
            <w:r>
              <w:t>劳模体检成本</w:t>
            </w:r>
          </w:p>
          <w:p>
            <w:pPr>
              <w:pStyle w:val="14"/>
            </w:pPr>
          </w:p>
        </w:tc>
        <w:tc>
          <w:tcPr>
            <w:tcW w:w="2466" w:type="dxa"/>
            <w:vAlign w:val="center"/>
          </w:tcPr>
          <w:p>
            <w:pPr>
              <w:pStyle w:val="14"/>
            </w:pPr>
            <w:r>
              <w:t>≤57118劳模体检成本</w:t>
            </w:r>
          </w:p>
          <w:p>
            <w:pPr>
              <w:pStyle w:val="14"/>
            </w:pPr>
          </w:p>
        </w:tc>
        <w:tc>
          <w:tcPr>
            <w:tcW w:w="2466" w:type="dxa"/>
            <w:vAlign w:val="center"/>
          </w:tcPr>
          <w:p>
            <w:pPr>
              <w:pStyle w:val="14"/>
            </w:pPr>
            <w:r>
              <w:t>发票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经济效益指标</w:t>
            </w:r>
          </w:p>
        </w:tc>
        <w:tc>
          <w:tcPr>
            <w:tcW w:w="2466" w:type="dxa"/>
            <w:vAlign w:val="center"/>
          </w:tcPr>
          <w:p>
            <w:pPr>
              <w:pStyle w:val="14"/>
            </w:pPr>
            <w:r>
              <w:t>资金使用合规性</w:t>
            </w:r>
          </w:p>
        </w:tc>
        <w:tc>
          <w:tcPr>
            <w:tcW w:w="2466" w:type="dxa"/>
            <w:vAlign w:val="center"/>
          </w:tcPr>
          <w:p>
            <w:pPr>
              <w:pStyle w:val="14"/>
            </w:pPr>
            <w:r>
              <w:t>资金使用合规性</w:t>
            </w:r>
          </w:p>
        </w:tc>
        <w:tc>
          <w:tcPr>
            <w:tcW w:w="2466" w:type="dxa"/>
            <w:vAlign w:val="center"/>
          </w:tcPr>
          <w:p>
            <w:pPr>
              <w:pStyle w:val="14"/>
            </w:pPr>
            <w:r>
              <w:t>≥100资金使用合规性</w:t>
            </w:r>
          </w:p>
        </w:tc>
        <w:tc>
          <w:tcPr>
            <w:tcW w:w="2466" w:type="dxa"/>
            <w:vAlign w:val="center"/>
          </w:tcPr>
          <w:p>
            <w:pPr>
              <w:pStyle w:val="14"/>
            </w:pPr>
            <w:r>
              <w:t>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 xml:space="preserve"> 确诊领导救治率</w:t>
            </w:r>
          </w:p>
        </w:tc>
        <w:tc>
          <w:tcPr>
            <w:tcW w:w="2466" w:type="dxa"/>
            <w:vAlign w:val="center"/>
          </w:tcPr>
          <w:p>
            <w:pPr>
              <w:pStyle w:val="14"/>
            </w:pPr>
            <w:r>
              <w:t xml:space="preserve"> 确诊领导救治率</w:t>
            </w:r>
          </w:p>
        </w:tc>
        <w:tc>
          <w:tcPr>
            <w:tcW w:w="2466" w:type="dxa"/>
            <w:vAlign w:val="center"/>
          </w:tcPr>
          <w:p>
            <w:pPr>
              <w:pStyle w:val="14"/>
            </w:pPr>
            <w:r>
              <w:t>≥90 确诊领导救治率</w:t>
            </w:r>
          </w:p>
        </w:tc>
        <w:tc>
          <w:tcPr>
            <w:tcW w:w="2466" w:type="dxa"/>
            <w:vAlign w:val="center"/>
          </w:tcPr>
          <w:p>
            <w:pPr>
              <w:pStyle w:val="14"/>
            </w:pPr>
            <w:r>
              <w:t>体检报告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制度执行有效性</w:t>
            </w:r>
          </w:p>
        </w:tc>
        <w:tc>
          <w:tcPr>
            <w:tcW w:w="2466" w:type="dxa"/>
            <w:vAlign w:val="center"/>
          </w:tcPr>
          <w:p>
            <w:pPr>
              <w:pStyle w:val="14"/>
            </w:pPr>
            <w:r>
              <w:t>制度执行有效性</w:t>
            </w:r>
          </w:p>
        </w:tc>
        <w:tc>
          <w:tcPr>
            <w:tcW w:w="2466" w:type="dxa"/>
            <w:vAlign w:val="center"/>
          </w:tcPr>
          <w:p>
            <w:pPr>
              <w:pStyle w:val="14"/>
            </w:pPr>
            <w:r>
              <w:t>≥100制度执行有效性</w:t>
            </w:r>
          </w:p>
        </w:tc>
        <w:tc>
          <w:tcPr>
            <w:tcW w:w="2466" w:type="dxa"/>
            <w:vAlign w:val="center"/>
          </w:tcPr>
          <w:p>
            <w:pPr>
              <w:pStyle w:val="14"/>
            </w:pPr>
            <w:r>
              <w:t>体检报告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领导健康有利于工作进展</w:t>
            </w:r>
          </w:p>
        </w:tc>
        <w:tc>
          <w:tcPr>
            <w:tcW w:w="2466" w:type="dxa"/>
            <w:vAlign w:val="center"/>
          </w:tcPr>
          <w:p>
            <w:pPr>
              <w:pStyle w:val="14"/>
            </w:pPr>
            <w:r>
              <w:t>领导健康有利于工作进展程度</w:t>
            </w:r>
          </w:p>
        </w:tc>
        <w:tc>
          <w:tcPr>
            <w:tcW w:w="2466" w:type="dxa"/>
            <w:vAlign w:val="center"/>
          </w:tcPr>
          <w:p>
            <w:pPr>
              <w:pStyle w:val="14"/>
            </w:pPr>
            <w:r>
              <w:t>≥80领导健康有利于工作进展程度</w:t>
            </w:r>
          </w:p>
        </w:tc>
        <w:tc>
          <w:tcPr>
            <w:tcW w:w="2466" w:type="dxa"/>
            <w:vAlign w:val="center"/>
          </w:tcPr>
          <w:p>
            <w:pPr>
              <w:pStyle w:val="14"/>
            </w:pPr>
            <w:r>
              <w:t>体检报告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 xml:space="preserve">领导满意度 </w:t>
            </w:r>
          </w:p>
        </w:tc>
        <w:tc>
          <w:tcPr>
            <w:tcW w:w="2466" w:type="dxa"/>
            <w:vAlign w:val="center"/>
          </w:tcPr>
          <w:p>
            <w:pPr>
              <w:pStyle w:val="14"/>
            </w:pPr>
            <w:r>
              <w:t xml:space="preserve">领导满意度 </w:t>
            </w:r>
          </w:p>
        </w:tc>
        <w:tc>
          <w:tcPr>
            <w:tcW w:w="2466" w:type="dxa"/>
            <w:vAlign w:val="center"/>
          </w:tcPr>
          <w:p>
            <w:pPr>
              <w:pStyle w:val="14"/>
            </w:pPr>
            <w:r>
              <w:t xml:space="preserve">≥90领导满意度 </w:t>
            </w:r>
          </w:p>
        </w:tc>
        <w:tc>
          <w:tcPr>
            <w:tcW w:w="2466" w:type="dxa"/>
            <w:vAlign w:val="center"/>
          </w:tcPr>
          <w:p>
            <w:pPr>
              <w:pStyle w:val="14"/>
            </w:pPr>
            <w:r>
              <w:t>投诉率</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6、食堂服务费绩效目标表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1.政府县委大院人员就餐</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就餐数量</w:t>
            </w:r>
          </w:p>
        </w:tc>
        <w:tc>
          <w:tcPr>
            <w:tcW w:w="2466" w:type="dxa"/>
            <w:vAlign w:val="center"/>
          </w:tcPr>
          <w:p>
            <w:pPr>
              <w:pStyle w:val="14"/>
            </w:pPr>
            <w:r>
              <w:t>全年就餐金额</w:t>
            </w:r>
          </w:p>
        </w:tc>
        <w:tc>
          <w:tcPr>
            <w:tcW w:w="2466" w:type="dxa"/>
            <w:vAlign w:val="center"/>
          </w:tcPr>
          <w:p>
            <w:pPr>
              <w:pStyle w:val="14"/>
            </w:pPr>
            <w:r>
              <w:t>≥100全年就餐金额</w:t>
            </w:r>
          </w:p>
        </w:tc>
        <w:tc>
          <w:tcPr>
            <w:tcW w:w="2466" w:type="dxa"/>
            <w:vAlign w:val="center"/>
          </w:tcPr>
          <w:p>
            <w:pPr>
              <w:pStyle w:val="14"/>
            </w:pPr>
            <w:r>
              <w:t>全年花费数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菜品出新率</w:t>
            </w:r>
          </w:p>
        </w:tc>
        <w:tc>
          <w:tcPr>
            <w:tcW w:w="2466" w:type="dxa"/>
            <w:vAlign w:val="center"/>
          </w:tcPr>
          <w:p>
            <w:pPr>
              <w:pStyle w:val="14"/>
            </w:pPr>
            <w:r>
              <w:t>每月都出新饭样</w:t>
            </w:r>
          </w:p>
        </w:tc>
        <w:tc>
          <w:tcPr>
            <w:tcW w:w="2466" w:type="dxa"/>
            <w:vAlign w:val="center"/>
          </w:tcPr>
          <w:p>
            <w:pPr>
              <w:pStyle w:val="14"/>
            </w:pPr>
            <w:r>
              <w:t>≥12每月都出新饭样</w:t>
            </w:r>
          </w:p>
        </w:tc>
        <w:tc>
          <w:tcPr>
            <w:tcW w:w="2466" w:type="dxa"/>
            <w:vAlign w:val="center"/>
          </w:tcPr>
          <w:p>
            <w:pPr>
              <w:pStyle w:val="14"/>
            </w:pPr>
            <w:r>
              <w:t>菜品数量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设备设施完好率</w:t>
            </w:r>
          </w:p>
        </w:tc>
        <w:tc>
          <w:tcPr>
            <w:tcW w:w="2466" w:type="dxa"/>
            <w:vAlign w:val="center"/>
          </w:tcPr>
          <w:p>
            <w:pPr>
              <w:pStyle w:val="14"/>
            </w:pPr>
            <w:r>
              <w:t>设备设施完好率大于等于80%</w:t>
            </w:r>
          </w:p>
        </w:tc>
        <w:tc>
          <w:tcPr>
            <w:tcW w:w="2466" w:type="dxa"/>
            <w:vAlign w:val="center"/>
          </w:tcPr>
          <w:p>
            <w:pPr>
              <w:pStyle w:val="14"/>
            </w:pPr>
            <w:r>
              <w:t>≥80设备设施完好率大于等于80%</w:t>
            </w:r>
          </w:p>
        </w:tc>
        <w:tc>
          <w:tcPr>
            <w:tcW w:w="2466" w:type="dxa"/>
            <w:vAlign w:val="center"/>
          </w:tcPr>
          <w:p>
            <w:pPr>
              <w:pStyle w:val="14"/>
            </w:pPr>
            <w:r>
              <w:t>设备购置情况表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全年指标花费</w:t>
            </w:r>
          </w:p>
        </w:tc>
        <w:tc>
          <w:tcPr>
            <w:tcW w:w="2466" w:type="dxa"/>
            <w:vAlign w:val="center"/>
          </w:tcPr>
          <w:p>
            <w:pPr>
              <w:pStyle w:val="14"/>
            </w:pPr>
            <w:r>
              <w:t>全年指标花费小于等于</w:t>
            </w:r>
          </w:p>
        </w:tc>
        <w:tc>
          <w:tcPr>
            <w:tcW w:w="2466" w:type="dxa"/>
            <w:vAlign w:val="center"/>
          </w:tcPr>
          <w:p>
            <w:pPr>
              <w:pStyle w:val="14"/>
            </w:pPr>
            <w:r>
              <w:t>≥100全年指标花费小于等于</w:t>
            </w:r>
          </w:p>
        </w:tc>
        <w:tc>
          <w:tcPr>
            <w:tcW w:w="2466" w:type="dxa"/>
            <w:vAlign w:val="center"/>
          </w:tcPr>
          <w:p>
            <w:pPr>
              <w:pStyle w:val="14"/>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经济效益指标</w:t>
            </w:r>
          </w:p>
        </w:tc>
        <w:tc>
          <w:tcPr>
            <w:tcW w:w="2466" w:type="dxa"/>
            <w:vAlign w:val="center"/>
          </w:tcPr>
          <w:p>
            <w:pPr>
              <w:pStyle w:val="14"/>
            </w:pPr>
            <w:r>
              <w:t>卫生清洁达标率</w:t>
            </w:r>
          </w:p>
        </w:tc>
        <w:tc>
          <w:tcPr>
            <w:tcW w:w="2466" w:type="dxa"/>
            <w:vAlign w:val="center"/>
          </w:tcPr>
          <w:p>
            <w:pPr>
              <w:pStyle w:val="14"/>
            </w:pPr>
            <w:r>
              <w:t>考核期内卫生达标100%</w:t>
            </w:r>
          </w:p>
        </w:tc>
        <w:tc>
          <w:tcPr>
            <w:tcW w:w="2466" w:type="dxa"/>
            <w:vAlign w:val="center"/>
          </w:tcPr>
          <w:p>
            <w:pPr>
              <w:pStyle w:val="14"/>
            </w:pPr>
            <w:r>
              <w:t>≥100考核期内卫生达标100%</w:t>
            </w:r>
          </w:p>
        </w:tc>
        <w:tc>
          <w:tcPr>
            <w:tcW w:w="2466" w:type="dxa"/>
            <w:vAlign w:val="center"/>
          </w:tcPr>
          <w:p>
            <w:pPr>
              <w:pStyle w:val="14"/>
            </w:pPr>
            <w:r>
              <w:t>考核表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经营GOP率</w:t>
            </w:r>
          </w:p>
        </w:tc>
        <w:tc>
          <w:tcPr>
            <w:tcW w:w="2466" w:type="dxa"/>
            <w:vAlign w:val="center"/>
          </w:tcPr>
          <w:p>
            <w:pPr>
              <w:pStyle w:val="14"/>
            </w:pPr>
            <w:r>
              <w:t>经营GOP大于等于100%</w:t>
            </w:r>
          </w:p>
        </w:tc>
        <w:tc>
          <w:tcPr>
            <w:tcW w:w="2466" w:type="dxa"/>
            <w:vAlign w:val="center"/>
          </w:tcPr>
          <w:p>
            <w:pPr>
              <w:pStyle w:val="14"/>
            </w:pPr>
            <w:r>
              <w:t>≥100经营GOP大于等于100%</w:t>
            </w:r>
          </w:p>
        </w:tc>
        <w:tc>
          <w:tcPr>
            <w:tcW w:w="2466" w:type="dxa"/>
            <w:vAlign w:val="center"/>
          </w:tcPr>
          <w:p>
            <w:pPr>
              <w:pStyle w:val="14"/>
            </w:pPr>
            <w:r>
              <w:t>年末总结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经营成本节约率</w:t>
            </w:r>
          </w:p>
        </w:tc>
        <w:tc>
          <w:tcPr>
            <w:tcW w:w="2466" w:type="dxa"/>
            <w:vAlign w:val="center"/>
          </w:tcPr>
          <w:p>
            <w:pPr>
              <w:pStyle w:val="14"/>
            </w:pPr>
            <w:r>
              <w:t>经营成本节约粮食率</w:t>
            </w:r>
          </w:p>
        </w:tc>
        <w:tc>
          <w:tcPr>
            <w:tcW w:w="2466" w:type="dxa"/>
            <w:vAlign w:val="center"/>
          </w:tcPr>
          <w:p>
            <w:pPr>
              <w:pStyle w:val="14"/>
            </w:pPr>
            <w:r>
              <w:t>≥100经营成本节约粮食率</w:t>
            </w:r>
          </w:p>
        </w:tc>
        <w:tc>
          <w:tcPr>
            <w:tcW w:w="2466" w:type="dxa"/>
            <w:vAlign w:val="center"/>
          </w:tcPr>
          <w:p>
            <w:pPr>
              <w:pStyle w:val="14"/>
            </w:pPr>
            <w:r>
              <w:t>检查不合格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饭菜投诉率</w:t>
            </w:r>
          </w:p>
        </w:tc>
        <w:tc>
          <w:tcPr>
            <w:tcW w:w="2466" w:type="dxa"/>
            <w:vAlign w:val="center"/>
          </w:tcPr>
          <w:p>
            <w:pPr>
              <w:pStyle w:val="14"/>
            </w:pPr>
            <w:r>
              <w:t>饭菜投诉率小于等于80%</w:t>
            </w:r>
          </w:p>
        </w:tc>
        <w:tc>
          <w:tcPr>
            <w:tcW w:w="2466" w:type="dxa"/>
            <w:vAlign w:val="center"/>
          </w:tcPr>
          <w:p>
            <w:pPr>
              <w:pStyle w:val="14"/>
            </w:pPr>
            <w:r>
              <w:t>≤80饭菜投诉率小于等于80%</w:t>
            </w:r>
          </w:p>
        </w:tc>
        <w:tc>
          <w:tcPr>
            <w:tcW w:w="2466" w:type="dxa"/>
            <w:vAlign w:val="center"/>
          </w:tcPr>
          <w:p>
            <w:pPr>
              <w:pStyle w:val="14"/>
            </w:pPr>
            <w:r>
              <w:t>投诉率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服务对象满意度</w:t>
            </w:r>
          </w:p>
        </w:tc>
        <w:tc>
          <w:tcPr>
            <w:tcW w:w="2466" w:type="dxa"/>
            <w:vAlign w:val="center"/>
          </w:tcPr>
          <w:p>
            <w:pPr>
              <w:pStyle w:val="14"/>
            </w:pPr>
            <w:r>
              <w:t>人员就餐满意度</w:t>
            </w:r>
          </w:p>
        </w:tc>
        <w:tc>
          <w:tcPr>
            <w:tcW w:w="2466" w:type="dxa"/>
            <w:vAlign w:val="center"/>
          </w:tcPr>
          <w:p>
            <w:pPr>
              <w:pStyle w:val="14"/>
            </w:pPr>
            <w:r>
              <w:t>≥90人员就餐满意度</w:t>
            </w:r>
          </w:p>
        </w:tc>
        <w:tc>
          <w:tcPr>
            <w:tcW w:w="2466" w:type="dxa"/>
            <w:vAlign w:val="center"/>
          </w:tcPr>
          <w:p>
            <w:pPr>
              <w:pStyle w:val="14"/>
            </w:pPr>
            <w:r>
              <w:t>投诉率</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7、退役军人岗位补贴绩效目标表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1.保证机关大院卫生情况</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发放补助人数</w:t>
            </w:r>
          </w:p>
        </w:tc>
        <w:tc>
          <w:tcPr>
            <w:tcW w:w="2466" w:type="dxa"/>
            <w:vAlign w:val="center"/>
          </w:tcPr>
          <w:p>
            <w:pPr>
              <w:pStyle w:val="14"/>
            </w:pPr>
            <w:r>
              <w:t>反映发放或补助人员数量情况</w:t>
            </w:r>
          </w:p>
        </w:tc>
        <w:tc>
          <w:tcPr>
            <w:tcW w:w="2466" w:type="dxa"/>
            <w:vAlign w:val="center"/>
          </w:tcPr>
          <w:p>
            <w:pPr>
              <w:pStyle w:val="14"/>
            </w:pPr>
            <w:r>
              <w:t>4反映发放或补助人员数量情况</w:t>
            </w:r>
          </w:p>
        </w:tc>
        <w:tc>
          <w:tcPr>
            <w:tcW w:w="2466" w:type="dxa"/>
            <w:vAlign w:val="center"/>
          </w:tcPr>
          <w:p>
            <w:pPr>
              <w:pStyle w:val="14"/>
            </w:pPr>
            <w:r>
              <w:t>退役军人人员表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发放（补助）次数</w:t>
            </w:r>
          </w:p>
        </w:tc>
        <w:tc>
          <w:tcPr>
            <w:tcW w:w="2466" w:type="dxa"/>
            <w:vAlign w:val="center"/>
          </w:tcPr>
          <w:p>
            <w:pPr>
              <w:pStyle w:val="14"/>
            </w:pPr>
            <w:r>
              <w:t>反映发放或补助频次情况</w:t>
            </w:r>
          </w:p>
        </w:tc>
        <w:tc>
          <w:tcPr>
            <w:tcW w:w="2466" w:type="dxa"/>
            <w:vAlign w:val="center"/>
          </w:tcPr>
          <w:p>
            <w:pPr>
              <w:pStyle w:val="14"/>
            </w:pPr>
            <w:r>
              <w:t>4反映发放或补助频次情况</w:t>
            </w:r>
          </w:p>
        </w:tc>
        <w:tc>
          <w:tcPr>
            <w:tcW w:w="2466" w:type="dxa"/>
            <w:vAlign w:val="center"/>
          </w:tcPr>
          <w:p>
            <w:pPr>
              <w:pStyle w:val="14"/>
            </w:pPr>
            <w:r>
              <w:t>工资发放表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资金发放（补助）及时性</w:t>
            </w:r>
          </w:p>
        </w:tc>
        <w:tc>
          <w:tcPr>
            <w:tcW w:w="2466" w:type="dxa"/>
            <w:vAlign w:val="center"/>
          </w:tcPr>
          <w:p>
            <w:pPr>
              <w:pStyle w:val="14"/>
            </w:pPr>
            <w:r>
              <w:t>反映资金发放（补助）及时性</w:t>
            </w:r>
          </w:p>
        </w:tc>
        <w:tc>
          <w:tcPr>
            <w:tcW w:w="2466" w:type="dxa"/>
            <w:vAlign w:val="center"/>
          </w:tcPr>
          <w:p>
            <w:pPr>
              <w:pStyle w:val="14"/>
            </w:pPr>
            <w:r>
              <w:t>≥100反映资金发放（补助）及时性</w:t>
            </w:r>
          </w:p>
        </w:tc>
        <w:tc>
          <w:tcPr>
            <w:tcW w:w="2466" w:type="dxa"/>
            <w:vAlign w:val="center"/>
          </w:tcPr>
          <w:p>
            <w:pPr>
              <w:pStyle w:val="14"/>
            </w:pPr>
            <w:r>
              <w:t>工资发放表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劳务派遣人员工资保险小于等于101747.34元</w:t>
            </w:r>
          </w:p>
          <w:p>
            <w:pPr>
              <w:pStyle w:val="14"/>
            </w:pPr>
          </w:p>
        </w:tc>
        <w:tc>
          <w:tcPr>
            <w:tcW w:w="2466" w:type="dxa"/>
            <w:vAlign w:val="center"/>
          </w:tcPr>
          <w:p>
            <w:pPr>
              <w:pStyle w:val="14"/>
            </w:pPr>
            <w:r>
              <w:t>劳务派遣人员工资保险小于等于101747.34</w:t>
            </w:r>
          </w:p>
        </w:tc>
        <w:tc>
          <w:tcPr>
            <w:tcW w:w="2466" w:type="dxa"/>
            <w:vAlign w:val="center"/>
          </w:tcPr>
          <w:p>
            <w:pPr>
              <w:pStyle w:val="14"/>
            </w:pPr>
            <w:r>
              <w:t>≤101747.34劳务派遣人员工资保险小于等于504295.63元</w:t>
            </w:r>
          </w:p>
        </w:tc>
        <w:tc>
          <w:tcPr>
            <w:tcW w:w="2466" w:type="dxa"/>
            <w:vAlign w:val="center"/>
          </w:tcPr>
          <w:p>
            <w:pPr>
              <w:pStyle w:val="14"/>
            </w:pPr>
            <w:r>
              <w:t>工资发放表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经济效益指标</w:t>
            </w:r>
          </w:p>
        </w:tc>
        <w:tc>
          <w:tcPr>
            <w:tcW w:w="2466" w:type="dxa"/>
            <w:vAlign w:val="center"/>
          </w:tcPr>
          <w:p>
            <w:pPr>
              <w:pStyle w:val="14"/>
            </w:pPr>
            <w:r>
              <w:t>招聘退役军人人员增加就业率</w:t>
            </w:r>
          </w:p>
        </w:tc>
        <w:tc>
          <w:tcPr>
            <w:tcW w:w="2466" w:type="dxa"/>
            <w:vAlign w:val="center"/>
          </w:tcPr>
          <w:p>
            <w:pPr>
              <w:pStyle w:val="14"/>
            </w:pPr>
            <w:r>
              <w:t>招聘退役军人人员增加就业率</w:t>
            </w:r>
          </w:p>
        </w:tc>
        <w:tc>
          <w:tcPr>
            <w:tcW w:w="2466" w:type="dxa"/>
            <w:vAlign w:val="center"/>
          </w:tcPr>
          <w:p>
            <w:pPr>
              <w:pStyle w:val="14"/>
            </w:pPr>
            <w:r>
              <w:t>≥100招聘退役军人人员增加就业率</w:t>
            </w:r>
          </w:p>
        </w:tc>
        <w:tc>
          <w:tcPr>
            <w:tcW w:w="2466" w:type="dxa"/>
            <w:vAlign w:val="center"/>
          </w:tcPr>
          <w:p>
            <w:pPr>
              <w:pStyle w:val="14"/>
            </w:pPr>
            <w:r>
              <w:t>退役军人人员表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招聘退役军人人员增加就业率</w:t>
            </w:r>
          </w:p>
        </w:tc>
        <w:tc>
          <w:tcPr>
            <w:tcW w:w="2466" w:type="dxa"/>
            <w:vAlign w:val="center"/>
          </w:tcPr>
          <w:p>
            <w:pPr>
              <w:pStyle w:val="14"/>
            </w:pPr>
            <w:r>
              <w:t>招聘退役军人人员增加就业率</w:t>
            </w:r>
          </w:p>
        </w:tc>
        <w:tc>
          <w:tcPr>
            <w:tcW w:w="2466" w:type="dxa"/>
            <w:vAlign w:val="center"/>
          </w:tcPr>
          <w:p>
            <w:pPr>
              <w:pStyle w:val="14"/>
            </w:pPr>
            <w:r>
              <w:t>≥100招聘退役军人人员增加就业率</w:t>
            </w:r>
          </w:p>
        </w:tc>
        <w:tc>
          <w:tcPr>
            <w:tcW w:w="2466" w:type="dxa"/>
            <w:vAlign w:val="center"/>
          </w:tcPr>
          <w:p>
            <w:pPr>
              <w:pStyle w:val="14"/>
            </w:pPr>
            <w:r>
              <w:t>退役军人人员表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高效完成工作量</w:t>
            </w:r>
          </w:p>
        </w:tc>
        <w:tc>
          <w:tcPr>
            <w:tcW w:w="2466" w:type="dxa"/>
            <w:vAlign w:val="center"/>
          </w:tcPr>
          <w:p>
            <w:pPr>
              <w:pStyle w:val="14"/>
            </w:pPr>
            <w:r>
              <w:t>高效完成工作量完成工作</w:t>
            </w:r>
          </w:p>
        </w:tc>
        <w:tc>
          <w:tcPr>
            <w:tcW w:w="2466" w:type="dxa"/>
            <w:vAlign w:val="center"/>
          </w:tcPr>
          <w:p>
            <w:pPr>
              <w:pStyle w:val="14"/>
            </w:pPr>
            <w:r>
              <w:t>≥100高效完成工作量完成工作</w:t>
            </w:r>
          </w:p>
        </w:tc>
        <w:tc>
          <w:tcPr>
            <w:tcW w:w="2466" w:type="dxa"/>
            <w:vAlign w:val="center"/>
          </w:tcPr>
          <w:p>
            <w:pPr>
              <w:pStyle w:val="14"/>
            </w:pPr>
            <w:r>
              <w:t>安排工作量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可持续性服务</w:t>
            </w:r>
          </w:p>
        </w:tc>
        <w:tc>
          <w:tcPr>
            <w:tcW w:w="2466" w:type="dxa"/>
            <w:vAlign w:val="center"/>
          </w:tcPr>
          <w:p>
            <w:pPr>
              <w:pStyle w:val="14"/>
            </w:pPr>
            <w:r>
              <w:t>可持续性服务</w:t>
            </w:r>
          </w:p>
        </w:tc>
        <w:tc>
          <w:tcPr>
            <w:tcW w:w="2466" w:type="dxa"/>
            <w:vAlign w:val="center"/>
          </w:tcPr>
          <w:p>
            <w:pPr>
              <w:pStyle w:val="14"/>
            </w:pPr>
            <w:r>
              <w:t>≥100可持续完成服务</w:t>
            </w:r>
          </w:p>
        </w:tc>
        <w:tc>
          <w:tcPr>
            <w:tcW w:w="2466" w:type="dxa"/>
            <w:vAlign w:val="center"/>
          </w:tcPr>
          <w:p>
            <w:pPr>
              <w:pStyle w:val="14"/>
            </w:pPr>
            <w:r>
              <w:t>可持续时间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受益人员满意度</w:t>
            </w:r>
          </w:p>
        </w:tc>
        <w:tc>
          <w:tcPr>
            <w:tcW w:w="2466" w:type="dxa"/>
            <w:vAlign w:val="center"/>
          </w:tcPr>
          <w:p>
            <w:pPr>
              <w:pStyle w:val="14"/>
            </w:pPr>
            <w:r>
              <w:t>反映参加受益人员满意情况</w:t>
            </w:r>
          </w:p>
          <w:p>
            <w:pPr>
              <w:pStyle w:val="14"/>
            </w:pPr>
          </w:p>
        </w:tc>
        <w:tc>
          <w:tcPr>
            <w:tcW w:w="2466" w:type="dxa"/>
            <w:vAlign w:val="center"/>
          </w:tcPr>
          <w:p>
            <w:pPr>
              <w:pStyle w:val="14"/>
            </w:pPr>
            <w:r>
              <w:t>≥80反映参加受益人员满意情况</w:t>
            </w:r>
          </w:p>
          <w:p>
            <w:pPr>
              <w:pStyle w:val="14"/>
            </w:pPr>
          </w:p>
        </w:tc>
        <w:tc>
          <w:tcPr>
            <w:tcW w:w="2466" w:type="dxa"/>
            <w:vAlign w:val="center"/>
          </w:tcPr>
          <w:p>
            <w:pPr>
              <w:pStyle w:val="14"/>
            </w:pPr>
            <w:r>
              <w:t>投诉率</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8、县委县政府后勤保障服务费绩效目标表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1.确保县委县政府、人大院后勤服务正常运行</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维修大院房屋的数量</w:t>
            </w:r>
          </w:p>
        </w:tc>
        <w:tc>
          <w:tcPr>
            <w:tcW w:w="2466" w:type="dxa"/>
            <w:vAlign w:val="center"/>
          </w:tcPr>
          <w:p>
            <w:pPr>
              <w:pStyle w:val="14"/>
            </w:pPr>
            <w:r>
              <w:t>维修房屋数量大于100%</w:t>
            </w:r>
          </w:p>
        </w:tc>
        <w:tc>
          <w:tcPr>
            <w:tcW w:w="2466" w:type="dxa"/>
            <w:vAlign w:val="center"/>
          </w:tcPr>
          <w:p>
            <w:pPr>
              <w:pStyle w:val="14"/>
            </w:pPr>
            <w:r>
              <w:t>≥100维修房屋数量大于100%</w:t>
            </w:r>
          </w:p>
        </w:tc>
        <w:tc>
          <w:tcPr>
            <w:tcW w:w="2466" w:type="dxa"/>
            <w:vAlign w:val="center"/>
          </w:tcPr>
          <w:p>
            <w:pPr>
              <w:pStyle w:val="14"/>
            </w:pPr>
            <w:r>
              <w:t>使用投诉率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物业后勤服务质量</w:t>
            </w:r>
          </w:p>
        </w:tc>
        <w:tc>
          <w:tcPr>
            <w:tcW w:w="2466" w:type="dxa"/>
            <w:vAlign w:val="center"/>
          </w:tcPr>
          <w:p>
            <w:pPr>
              <w:pStyle w:val="14"/>
            </w:pPr>
            <w:r>
              <w:t>物业服务质量大于90%</w:t>
            </w:r>
          </w:p>
        </w:tc>
        <w:tc>
          <w:tcPr>
            <w:tcW w:w="2466" w:type="dxa"/>
            <w:vAlign w:val="center"/>
          </w:tcPr>
          <w:p>
            <w:pPr>
              <w:pStyle w:val="14"/>
            </w:pPr>
            <w:r>
              <w:t>≥90物业服务质量大于90%</w:t>
            </w:r>
          </w:p>
        </w:tc>
        <w:tc>
          <w:tcPr>
            <w:tcW w:w="2466" w:type="dxa"/>
            <w:vAlign w:val="center"/>
          </w:tcPr>
          <w:p>
            <w:pPr>
              <w:pStyle w:val="14"/>
            </w:pPr>
            <w:r>
              <w:t>投诉率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邮电费使用率</w:t>
            </w:r>
          </w:p>
        </w:tc>
        <w:tc>
          <w:tcPr>
            <w:tcW w:w="2466" w:type="dxa"/>
            <w:vAlign w:val="center"/>
          </w:tcPr>
          <w:p>
            <w:pPr>
              <w:pStyle w:val="14"/>
            </w:pPr>
            <w:r>
              <w:t>邮电费使用率占全部费用支出量</w:t>
            </w:r>
          </w:p>
        </w:tc>
        <w:tc>
          <w:tcPr>
            <w:tcW w:w="2466" w:type="dxa"/>
            <w:vAlign w:val="center"/>
          </w:tcPr>
          <w:p>
            <w:pPr>
              <w:pStyle w:val="14"/>
            </w:pPr>
            <w:r>
              <w:t>≥100邮电费使用率占全部费用支出量</w:t>
            </w:r>
          </w:p>
        </w:tc>
        <w:tc>
          <w:tcPr>
            <w:tcW w:w="2466" w:type="dxa"/>
            <w:vAlign w:val="center"/>
          </w:tcPr>
          <w:p>
            <w:pPr>
              <w:pStyle w:val="14"/>
            </w:pPr>
            <w:r>
              <w:t>预算表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房屋维修维护费</w:t>
            </w:r>
          </w:p>
        </w:tc>
        <w:tc>
          <w:tcPr>
            <w:tcW w:w="2466" w:type="dxa"/>
            <w:vAlign w:val="center"/>
          </w:tcPr>
          <w:p>
            <w:pPr>
              <w:pStyle w:val="14"/>
            </w:pPr>
            <w:r>
              <w:t>房屋维修维护费小于等于</w:t>
            </w:r>
          </w:p>
        </w:tc>
        <w:tc>
          <w:tcPr>
            <w:tcW w:w="2466" w:type="dxa"/>
            <w:vAlign w:val="center"/>
          </w:tcPr>
          <w:p>
            <w:pPr>
              <w:pStyle w:val="14"/>
            </w:pPr>
            <w:r>
              <w:t>≥288850房屋维修维护费小于等于</w:t>
            </w:r>
          </w:p>
        </w:tc>
        <w:tc>
          <w:tcPr>
            <w:tcW w:w="2466" w:type="dxa"/>
            <w:vAlign w:val="center"/>
          </w:tcPr>
          <w:p>
            <w:pPr>
              <w:pStyle w:val="14"/>
            </w:pPr>
            <w:r>
              <w:t>结算金额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经济效益指标</w:t>
            </w:r>
          </w:p>
        </w:tc>
        <w:tc>
          <w:tcPr>
            <w:tcW w:w="2466" w:type="dxa"/>
            <w:vAlign w:val="center"/>
          </w:tcPr>
          <w:p>
            <w:pPr>
              <w:pStyle w:val="14"/>
            </w:pPr>
            <w:r>
              <w:t>设备购置影响率</w:t>
            </w:r>
          </w:p>
        </w:tc>
        <w:tc>
          <w:tcPr>
            <w:tcW w:w="2466" w:type="dxa"/>
            <w:vAlign w:val="center"/>
          </w:tcPr>
          <w:p>
            <w:pPr>
              <w:pStyle w:val="14"/>
            </w:pPr>
            <w:r>
              <w:t>办公设备购置占全部资产率</w:t>
            </w:r>
          </w:p>
        </w:tc>
        <w:tc>
          <w:tcPr>
            <w:tcW w:w="2466" w:type="dxa"/>
            <w:vAlign w:val="center"/>
          </w:tcPr>
          <w:p>
            <w:pPr>
              <w:pStyle w:val="14"/>
            </w:pPr>
            <w:r>
              <w:t>≥50办公设备购置占全部资产率</w:t>
            </w:r>
          </w:p>
        </w:tc>
        <w:tc>
          <w:tcPr>
            <w:tcW w:w="2466" w:type="dxa"/>
            <w:vAlign w:val="center"/>
          </w:tcPr>
          <w:p>
            <w:pPr>
              <w:pStyle w:val="14"/>
            </w:pPr>
            <w:r>
              <w:t>后期使用情况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维修效果</w:t>
            </w:r>
          </w:p>
        </w:tc>
        <w:tc>
          <w:tcPr>
            <w:tcW w:w="2466" w:type="dxa"/>
            <w:vAlign w:val="center"/>
          </w:tcPr>
          <w:p>
            <w:pPr>
              <w:pStyle w:val="14"/>
            </w:pPr>
            <w:r>
              <w:t>维修效果</w:t>
            </w:r>
          </w:p>
        </w:tc>
        <w:tc>
          <w:tcPr>
            <w:tcW w:w="2466" w:type="dxa"/>
            <w:vAlign w:val="center"/>
          </w:tcPr>
          <w:p>
            <w:pPr>
              <w:pStyle w:val="14"/>
            </w:pPr>
            <w:r>
              <w:t>≥100维修效果</w:t>
            </w:r>
          </w:p>
        </w:tc>
        <w:tc>
          <w:tcPr>
            <w:tcW w:w="2466" w:type="dxa"/>
            <w:vAlign w:val="center"/>
          </w:tcPr>
          <w:p>
            <w:pPr>
              <w:pStyle w:val="14"/>
            </w:pPr>
            <w:r>
              <w:t>后期使用情况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建设项目环评执行率%</w:t>
            </w:r>
          </w:p>
        </w:tc>
        <w:tc>
          <w:tcPr>
            <w:tcW w:w="2466" w:type="dxa"/>
            <w:vAlign w:val="center"/>
          </w:tcPr>
          <w:p>
            <w:pPr>
              <w:pStyle w:val="14"/>
            </w:pPr>
            <w:r>
              <w:t>建设项目环评执行率%</w:t>
            </w:r>
          </w:p>
        </w:tc>
        <w:tc>
          <w:tcPr>
            <w:tcW w:w="2466" w:type="dxa"/>
            <w:vAlign w:val="center"/>
          </w:tcPr>
          <w:p>
            <w:pPr>
              <w:pStyle w:val="14"/>
            </w:pPr>
            <w:r>
              <w:t>≥80建设项目环评执行率%</w:t>
            </w:r>
          </w:p>
        </w:tc>
        <w:tc>
          <w:tcPr>
            <w:tcW w:w="2466" w:type="dxa"/>
            <w:vAlign w:val="center"/>
          </w:tcPr>
          <w:p>
            <w:pPr>
              <w:pStyle w:val="14"/>
            </w:pPr>
            <w:r>
              <w:t>检测不合格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维修房屋后使用安全期限</w:t>
            </w:r>
          </w:p>
        </w:tc>
        <w:tc>
          <w:tcPr>
            <w:tcW w:w="2466" w:type="dxa"/>
            <w:vAlign w:val="center"/>
          </w:tcPr>
          <w:p>
            <w:pPr>
              <w:pStyle w:val="14"/>
            </w:pPr>
            <w:r>
              <w:t>维修房屋后使用安全期限</w:t>
            </w:r>
          </w:p>
        </w:tc>
        <w:tc>
          <w:tcPr>
            <w:tcW w:w="2466" w:type="dxa"/>
            <w:vAlign w:val="center"/>
          </w:tcPr>
          <w:p>
            <w:pPr>
              <w:pStyle w:val="14"/>
            </w:pPr>
            <w:r>
              <w:t>≥100维修房屋后使用安全期限</w:t>
            </w:r>
          </w:p>
        </w:tc>
        <w:tc>
          <w:tcPr>
            <w:tcW w:w="2466" w:type="dxa"/>
            <w:vAlign w:val="center"/>
          </w:tcPr>
          <w:p>
            <w:pPr>
              <w:pStyle w:val="14"/>
            </w:pPr>
            <w: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服务对象满意度</w:t>
            </w:r>
          </w:p>
        </w:tc>
        <w:tc>
          <w:tcPr>
            <w:tcW w:w="2466" w:type="dxa"/>
            <w:vAlign w:val="center"/>
          </w:tcPr>
          <w:p>
            <w:pPr>
              <w:pStyle w:val="14"/>
            </w:pPr>
            <w:r>
              <w:t>维修房屋后使用的满意度</w:t>
            </w:r>
          </w:p>
        </w:tc>
        <w:tc>
          <w:tcPr>
            <w:tcW w:w="2466" w:type="dxa"/>
            <w:vAlign w:val="center"/>
          </w:tcPr>
          <w:p>
            <w:pPr>
              <w:pStyle w:val="14"/>
            </w:pPr>
            <w:r>
              <w:t>≥90维修房屋后使用的满意度</w:t>
            </w:r>
          </w:p>
        </w:tc>
        <w:tc>
          <w:tcPr>
            <w:tcW w:w="2466" w:type="dxa"/>
            <w:vAlign w:val="center"/>
          </w:tcPr>
          <w:p>
            <w:pPr>
              <w:pStyle w:val="14"/>
            </w:pPr>
            <w:r>
              <w:t>投诉率</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9、县直党政机关办公用房维修基金绩效目标表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1.确保县县直党政机关办公用房维修</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维修大院房屋的数量</w:t>
            </w:r>
          </w:p>
        </w:tc>
        <w:tc>
          <w:tcPr>
            <w:tcW w:w="2466" w:type="dxa"/>
            <w:vAlign w:val="center"/>
          </w:tcPr>
          <w:p>
            <w:pPr>
              <w:pStyle w:val="14"/>
            </w:pPr>
            <w:r>
              <w:t>维修房屋数量大于100%</w:t>
            </w:r>
          </w:p>
        </w:tc>
        <w:tc>
          <w:tcPr>
            <w:tcW w:w="2466" w:type="dxa"/>
            <w:vAlign w:val="center"/>
          </w:tcPr>
          <w:p>
            <w:pPr>
              <w:pStyle w:val="14"/>
            </w:pPr>
            <w:r>
              <w:t>≥100维修房屋数量大于100%</w:t>
            </w:r>
          </w:p>
        </w:tc>
        <w:tc>
          <w:tcPr>
            <w:tcW w:w="2466" w:type="dxa"/>
            <w:vAlign w:val="center"/>
          </w:tcPr>
          <w:p>
            <w:pPr>
              <w:pStyle w:val="14"/>
            </w:pPr>
            <w:r>
              <w:t>使用投诉率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物业后勤服务质量</w:t>
            </w:r>
          </w:p>
        </w:tc>
        <w:tc>
          <w:tcPr>
            <w:tcW w:w="2466" w:type="dxa"/>
            <w:vAlign w:val="center"/>
          </w:tcPr>
          <w:p>
            <w:pPr>
              <w:pStyle w:val="14"/>
            </w:pPr>
            <w:r>
              <w:t>物业服务质量大于90%</w:t>
            </w:r>
          </w:p>
        </w:tc>
        <w:tc>
          <w:tcPr>
            <w:tcW w:w="2466" w:type="dxa"/>
            <w:vAlign w:val="center"/>
          </w:tcPr>
          <w:p>
            <w:pPr>
              <w:pStyle w:val="14"/>
            </w:pPr>
            <w:r>
              <w:t>≥90物业服务质量大于90%</w:t>
            </w:r>
          </w:p>
        </w:tc>
        <w:tc>
          <w:tcPr>
            <w:tcW w:w="2466" w:type="dxa"/>
            <w:vAlign w:val="center"/>
          </w:tcPr>
          <w:p>
            <w:pPr>
              <w:pStyle w:val="14"/>
            </w:pPr>
            <w:r>
              <w:t>投诉率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邮电费使用率</w:t>
            </w:r>
          </w:p>
        </w:tc>
        <w:tc>
          <w:tcPr>
            <w:tcW w:w="2466" w:type="dxa"/>
            <w:vAlign w:val="center"/>
          </w:tcPr>
          <w:p>
            <w:pPr>
              <w:pStyle w:val="14"/>
            </w:pPr>
            <w:r>
              <w:t>邮电费使用率占全部费用支出量</w:t>
            </w:r>
          </w:p>
        </w:tc>
        <w:tc>
          <w:tcPr>
            <w:tcW w:w="2466" w:type="dxa"/>
            <w:vAlign w:val="center"/>
          </w:tcPr>
          <w:p>
            <w:pPr>
              <w:pStyle w:val="14"/>
            </w:pPr>
            <w:r>
              <w:t>≤100邮电费使用率占全部费用支出量</w:t>
            </w:r>
          </w:p>
        </w:tc>
        <w:tc>
          <w:tcPr>
            <w:tcW w:w="2466" w:type="dxa"/>
            <w:vAlign w:val="center"/>
          </w:tcPr>
          <w:p>
            <w:pPr>
              <w:pStyle w:val="14"/>
            </w:pPr>
            <w:r>
              <w:t>预算表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房屋维修维护费</w:t>
            </w:r>
          </w:p>
        </w:tc>
        <w:tc>
          <w:tcPr>
            <w:tcW w:w="2466" w:type="dxa"/>
            <w:vAlign w:val="center"/>
          </w:tcPr>
          <w:p>
            <w:pPr>
              <w:pStyle w:val="14"/>
            </w:pPr>
            <w:r>
              <w:t>房屋维修维护费小于等于</w:t>
            </w:r>
          </w:p>
        </w:tc>
        <w:tc>
          <w:tcPr>
            <w:tcW w:w="2466" w:type="dxa"/>
            <w:vAlign w:val="center"/>
          </w:tcPr>
          <w:p>
            <w:pPr>
              <w:pStyle w:val="14"/>
            </w:pPr>
            <w:r>
              <w:t>≤5000000房屋维修维护费小于等于</w:t>
            </w:r>
          </w:p>
        </w:tc>
        <w:tc>
          <w:tcPr>
            <w:tcW w:w="2466" w:type="dxa"/>
            <w:vAlign w:val="center"/>
          </w:tcPr>
          <w:p>
            <w:pPr>
              <w:pStyle w:val="14"/>
            </w:pPr>
            <w:r>
              <w:t>结算金额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经济效益指标</w:t>
            </w:r>
          </w:p>
        </w:tc>
        <w:tc>
          <w:tcPr>
            <w:tcW w:w="2466" w:type="dxa"/>
            <w:vAlign w:val="center"/>
          </w:tcPr>
          <w:p>
            <w:pPr>
              <w:pStyle w:val="14"/>
            </w:pPr>
            <w:r>
              <w:t>设备购置影响率</w:t>
            </w:r>
          </w:p>
        </w:tc>
        <w:tc>
          <w:tcPr>
            <w:tcW w:w="2466" w:type="dxa"/>
            <w:vAlign w:val="center"/>
          </w:tcPr>
          <w:p>
            <w:pPr>
              <w:pStyle w:val="14"/>
            </w:pPr>
            <w:r>
              <w:t>办公设备购置占全部资产率</w:t>
            </w:r>
          </w:p>
        </w:tc>
        <w:tc>
          <w:tcPr>
            <w:tcW w:w="2466" w:type="dxa"/>
            <w:vAlign w:val="center"/>
          </w:tcPr>
          <w:p>
            <w:pPr>
              <w:pStyle w:val="14"/>
            </w:pPr>
            <w:r>
              <w:t>≤50办公设备购置占全部资产率</w:t>
            </w:r>
          </w:p>
        </w:tc>
        <w:tc>
          <w:tcPr>
            <w:tcW w:w="2466" w:type="dxa"/>
            <w:vAlign w:val="center"/>
          </w:tcPr>
          <w:p>
            <w:pPr>
              <w:pStyle w:val="14"/>
            </w:pPr>
            <w:r>
              <w:t>后期使用情况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维修效果</w:t>
            </w:r>
          </w:p>
        </w:tc>
        <w:tc>
          <w:tcPr>
            <w:tcW w:w="2466" w:type="dxa"/>
            <w:vAlign w:val="center"/>
          </w:tcPr>
          <w:p>
            <w:pPr>
              <w:pStyle w:val="14"/>
            </w:pPr>
            <w:r>
              <w:t>维修效果</w:t>
            </w:r>
          </w:p>
        </w:tc>
        <w:tc>
          <w:tcPr>
            <w:tcW w:w="2466" w:type="dxa"/>
            <w:vAlign w:val="center"/>
          </w:tcPr>
          <w:p>
            <w:pPr>
              <w:pStyle w:val="14"/>
            </w:pPr>
            <w:r>
              <w:t>≥100维修效果</w:t>
            </w:r>
          </w:p>
        </w:tc>
        <w:tc>
          <w:tcPr>
            <w:tcW w:w="2466" w:type="dxa"/>
            <w:vAlign w:val="center"/>
          </w:tcPr>
          <w:p>
            <w:pPr>
              <w:pStyle w:val="14"/>
            </w:pPr>
            <w:r>
              <w:t>后期使用情况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建设项目环评执行率%</w:t>
            </w:r>
          </w:p>
        </w:tc>
        <w:tc>
          <w:tcPr>
            <w:tcW w:w="2466" w:type="dxa"/>
            <w:vAlign w:val="center"/>
          </w:tcPr>
          <w:p>
            <w:pPr>
              <w:pStyle w:val="14"/>
            </w:pPr>
            <w:r>
              <w:t>建设项目环评执行率%</w:t>
            </w:r>
          </w:p>
        </w:tc>
        <w:tc>
          <w:tcPr>
            <w:tcW w:w="2466" w:type="dxa"/>
            <w:vAlign w:val="center"/>
          </w:tcPr>
          <w:p>
            <w:pPr>
              <w:pStyle w:val="14"/>
            </w:pPr>
            <w:r>
              <w:t>≥80建设项目环评执行率%</w:t>
            </w:r>
          </w:p>
        </w:tc>
        <w:tc>
          <w:tcPr>
            <w:tcW w:w="2466" w:type="dxa"/>
            <w:vAlign w:val="center"/>
          </w:tcPr>
          <w:p>
            <w:pPr>
              <w:pStyle w:val="14"/>
            </w:pPr>
            <w:r>
              <w:t>检测不合格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维修房屋后使用安全期限</w:t>
            </w:r>
          </w:p>
        </w:tc>
        <w:tc>
          <w:tcPr>
            <w:tcW w:w="2466" w:type="dxa"/>
            <w:vAlign w:val="center"/>
          </w:tcPr>
          <w:p>
            <w:pPr>
              <w:pStyle w:val="14"/>
            </w:pPr>
            <w:r>
              <w:t>维修房屋后使用安全期限</w:t>
            </w:r>
          </w:p>
        </w:tc>
        <w:tc>
          <w:tcPr>
            <w:tcW w:w="2466" w:type="dxa"/>
            <w:vAlign w:val="center"/>
          </w:tcPr>
          <w:p>
            <w:pPr>
              <w:pStyle w:val="14"/>
            </w:pPr>
            <w:r>
              <w:t>≥100维修房屋后使用安全期限</w:t>
            </w:r>
          </w:p>
        </w:tc>
        <w:tc>
          <w:tcPr>
            <w:tcW w:w="2466" w:type="dxa"/>
            <w:vAlign w:val="center"/>
          </w:tcPr>
          <w:p>
            <w:pPr>
              <w:pStyle w:val="14"/>
            </w:pPr>
            <w: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服务对象满意度</w:t>
            </w:r>
          </w:p>
        </w:tc>
        <w:tc>
          <w:tcPr>
            <w:tcW w:w="2466" w:type="dxa"/>
            <w:vAlign w:val="center"/>
          </w:tcPr>
          <w:p>
            <w:pPr>
              <w:pStyle w:val="14"/>
            </w:pPr>
            <w:r>
              <w:t>维修房屋后使用的满意度</w:t>
            </w:r>
          </w:p>
        </w:tc>
        <w:tc>
          <w:tcPr>
            <w:tcW w:w="2466" w:type="dxa"/>
            <w:vAlign w:val="center"/>
          </w:tcPr>
          <w:p>
            <w:pPr>
              <w:pStyle w:val="14"/>
            </w:pPr>
            <w:r>
              <w:t>≥90维修房屋后使用的满意度</w:t>
            </w:r>
          </w:p>
        </w:tc>
        <w:tc>
          <w:tcPr>
            <w:tcW w:w="2466" w:type="dxa"/>
            <w:vAlign w:val="center"/>
          </w:tcPr>
          <w:p>
            <w:pPr>
              <w:pStyle w:val="14"/>
            </w:pPr>
            <w:r>
              <w:t>投诉率</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10、租赁费绩效目标表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1.保障公车服务平台的正常运行和车辆定位，保障视频会议室正常运行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购买公车软件率</w:t>
            </w:r>
          </w:p>
        </w:tc>
        <w:tc>
          <w:tcPr>
            <w:tcW w:w="2466" w:type="dxa"/>
            <w:vAlign w:val="center"/>
          </w:tcPr>
          <w:p>
            <w:pPr>
              <w:pStyle w:val="14"/>
            </w:pPr>
            <w:r>
              <w:t>购买公务用车软件率</w:t>
            </w:r>
          </w:p>
        </w:tc>
        <w:tc>
          <w:tcPr>
            <w:tcW w:w="2466" w:type="dxa"/>
            <w:vAlign w:val="center"/>
          </w:tcPr>
          <w:p>
            <w:pPr>
              <w:pStyle w:val="14"/>
            </w:pPr>
            <w:r>
              <w:t>≥100购买公务用车软件率</w:t>
            </w:r>
          </w:p>
        </w:tc>
        <w:tc>
          <w:tcPr>
            <w:tcW w:w="2466" w:type="dxa"/>
            <w:vAlign w:val="center"/>
          </w:tcPr>
          <w:p>
            <w:pPr>
              <w:pStyle w:val="14"/>
            </w:pPr>
            <w:r>
              <w:t>公车统计表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GPS安装率</w:t>
            </w:r>
          </w:p>
        </w:tc>
        <w:tc>
          <w:tcPr>
            <w:tcW w:w="2466" w:type="dxa"/>
            <w:vAlign w:val="center"/>
          </w:tcPr>
          <w:p>
            <w:pPr>
              <w:pStyle w:val="14"/>
            </w:pPr>
            <w:r>
              <w:t>全部公车安装GPS率</w:t>
            </w:r>
          </w:p>
        </w:tc>
        <w:tc>
          <w:tcPr>
            <w:tcW w:w="2466" w:type="dxa"/>
            <w:vAlign w:val="center"/>
          </w:tcPr>
          <w:p>
            <w:pPr>
              <w:pStyle w:val="14"/>
            </w:pPr>
            <w:r>
              <w:t>≥100全部公车安装GPS率</w:t>
            </w:r>
          </w:p>
        </w:tc>
        <w:tc>
          <w:tcPr>
            <w:tcW w:w="2466" w:type="dxa"/>
            <w:vAlign w:val="center"/>
          </w:tcPr>
          <w:p>
            <w:pPr>
              <w:pStyle w:val="14"/>
            </w:pPr>
            <w:r>
              <w:t>公车统计表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视频会议室网络服务费支出率</w:t>
            </w:r>
          </w:p>
        </w:tc>
        <w:tc>
          <w:tcPr>
            <w:tcW w:w="2466" w:type="dxa"/>
            <w:vAlign w:val="center"/>
          </w:tcPr>
          <w:p>
            <w:pPr>
              <w:pStyle w:val="14"/>
            </w:pPr>
            <w:r>
              <w:t>视屏会议系统网络服务费占全年计划支出费用的比例</w:t>
            </w:r>
          </w:p>
        </w:tc>
        <w:tc>
          <w:tcPr>
            <w:tcW w:w="2466" w:type="dxa"/>
            <w:vAlign w:val="center"/>
          </w:tcPr>
          <w:p>
            <w:pPr>
              <w:pStyle w:val="14"/>
            </w:pPr>
            <w:r>
              <w:t>≥100视屏会议系统网络服务费占全年计划支出费用的比例</w:t>
            </w:r>
          </w:p>
        </w:tc>
        <w:tc>
          <w:tcPr>
            <w:tcW w:w="2466" w:type="dxa"/>
            <w:vAlign w:val="center"/>
          </w:tcPr>
          <w:p>
            <w:pPr>
              <w:pStyle w:val="14"/>
            </w:pPr>
            <w:r>
              <w:t>支出统计表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使用公车满意的单位量占全部使用公车单位总量的比例</w:t>
            </w:r>
          </w:p>
        </w:tc>
        <w:tc>
          <w:tcPr>
            <w:tcW w:w="2466" w:type="dxa"/>
            <w:vAlign w:val="center"/>
          </w:tcPr>
          <w:p>
            <w:pPr>
              <w:pStyle w:val="14"/>
            </w:pPr>
            <w:r>
              <w:t>使用公车满意的单位量占全部使用公车单位总量的比例</w:t>
            </w:r>
          </w:p>
        </w:tc>
        <w:tc>
          <w:tcPr>
            <w:tcW w:w="2466" w:type="dxa"/>
            <w:vAlign w:val="center"/>
          </w:tcPr>
          <w:p>
            <w:pPr>
              <w:pStyle w:val="14"/>
            </w:pPr>
            <w:r>
              <w:t>≥100使用公车满意的单位量占全部使用公车单位总量的比例</w:t>
            </w:r>
          </w:p>
        </w:tc>
        <w:tc>
          <w:tcPr>
            <w:tcW w:w="2466" w:type="dxa"/>
            <w:vAlign w:val="center"/>
          </w:tcPr>
          <w:p>
            <w:pPr>
              <w:pStyle w:val="14"/>
            </w:pPr>
            <w:r>
              <w:t>公车投诉率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经济效益指标</w:t>
            </w:r>
          </w:p>
        </w:tc>
        <w:tc>
          <w:tcPr>
            <w:tcW w:w="2466" w:type="dxa"/>
            <w:vAlign w:val="center"/>
          </w:tcPr>
          <w:p>
            <w:pPr>
              <w:pStyle w:val="14"/>
            </w:pPr>
            <w:r>
              <w:t>公车和视频会议系统平稳使用率</w:t>
            </w:r>
          </w:p>
        </w:tc>
        <w:tc>
          <w:tcPr>
            <w:tcW w:w="2466" w:type="dxa"/>
            <w:vAlign w:val="center"/>
          </w:tcPr>
          <w:p>
            <w:pPr>
              <w:pStyle w:val="14"/>
            </w:pPr>
            <w:r>
              <w:t>公车和视频会议系统平稳使用率</w:t>
            </w:r>
          </w:p>
        </w:tc>
        <w:tc>
          <w:tcPr>
            <w:tcW w:w="2466" w:type="dxa"/>
            <w:vAlign w:val="center"/>
          </w:tcPr>
          <w:p>
            <w:pPr>
              <w:pStyle w:val="14"/>
            </w:pPr>
            <w:r>
              <w:t>≥100公车和视频会议系统平稳使用率</w:t>
            </w:r>
          </w:p>
        </w:tc>
        <w:tc>
          <w:tcPr>
            <w:tcW w:w="2466" w:type="dxa"/>
            <w:vAlign w:val="center"/>
          </w:tcPr>
          <w:p>
            <w:pPr>
              <w:pStyle w:val="14"/>
            </w:pPr>
            <w:r>
              <w:t>使用维修率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调度平台的正常运行</w:t>
            </w:r>
          </w:p>
        </w:tc>
        <w:tc>
          <w:tcPr>
            <w:tcW w:w="2466" w:type="dxa"/>
            <w:vAlign w:val="center"/>
          </w:tcPr>
          <w:p>
            <w:pPr>
              <w:pStyle w:val="14"/>
            </w:pPr>
            <w:r>
              <w:t>调度平台的正常运行率</w:t>
            </w:r>
          </w:p>
        </w:tc>
        <w:tc>
          <w:tcPr>
            <w:tcW w:w="2466" w:type="dxa"/>
            <w:vAlign w:val="center"/>
          </w:tcPr>
          <w:p>
            <w:pPr>
              <w:pStyle w:val="14"/>
            </w:pPr>
            <w:r>
              <w:t>≥100调度平台的正常运行率</w:t>
            </w:r>
          </w:p>
        </w:tc>
        <w:tc>
          <w:tcPr>
            <w:tcW w:w="2466" w:type="dxa"/>
            <w:vAlign w:val="center"/>
          </w:tcPr>
          <w:p>
            <w:pPr>
              <w:pStyle w:val="14"/>
            </w:pPr>
            <w:r>
              <w:t>平台使用维修率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车辆卫星定位准确</w:t>
            </w:r>
          </w:p>
        </w:tc>
        <w:tc>
          <w:tcPr>
            <w:tcW w:w="2466" w:type="dxa"/>
            <w:vAlign w:val="center"/>
          </w:tcPr>
          <w:p>
            <w:pPr>
              <w:pStyle w:val="14"/>
            </w:pPr>
            <w:r>
              <w:t>全县公车卫星定位系统</w:t>
            </w:r>
          </w:p>
        </w:tc>
        <w:tc>
          <w:tcPr>
            <w:tcW w:w="2466" w:type="dxa"/>
            <w:vAlign w:val="center"/>
          </w:tcPr>
          <w:p>
            <w:pPr>
              <w:pStyle w:val="14"/>
            </w:pPr>
            <w:r>
              <w:t>≥100全县公车卫星定位系统</w:t>
            </w:r>
          </w:p>
        </w:tc>
        <w:tc>
          <w:tcPr>
            <w:tcW w:w="2466" w:type="dxa"/>
            <w:vAlign w:val="center"/>
          </w:tcPr>
          <w:p>
            <w:pPr>
              <w:pStyle w:val="14"/>
            </w:pPr>
            <w:r>
              <w:t>调度平台公车行驶路线轨迹回放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会议室使用满意度</w:t>
            </w:r>
          </w:p>
        </w:tc>
        <w:tc>
          <w:tcPr>
            <w:tcW w:w="2466" w:type="dxa"/>
            <w:vAlign w:val="center"/>
          </w:tcPr>
          <w:p>
            <w:pPr>
              <w:pStyle w:val="14"/>
            </w:pPr>
            <w:r>
              <w:t>省市召开视频会议，视频会议室的使用情况</w:t>
            </w:r>
          </w:p>
        </w:tc>
        <w:tc>
          <w:tcPr>
            <w:tcW w:w="2466" w:type="dxa"/>
            <w:vAlign w:val="center"/>
          </w:tcPr>
          <w:p>
            <w:pPr>
              <w:pStyle w:val="14"/>
            </w:pPr>
            <w:r>
              <w:t>≥100省市召开视频会议，视频会议室的使用情况</w:t>
            </w:r>
          </w:p>
        </w:tc>
        <w:tc>
          <w:tcPr>
            <w:tcW w:w="2466" w:type="dxa"/>
            <w:vAlign w:val="center"/>
          </w:tcPr>
          <w:p>
            <w:pPr>
              <w:pStyle w:val="14"/>
            </w:pPr>
            <w:r>
              <w:t>会议使用满意次数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服务对象满意度</w:t>
            </w:r>
          </w:p>
        </w:tc>
        <w:tc>
          <w:tcPr>
            <w:tcW w:w="2466" w:type="dxa"/>
            <w:vAlign w:val="center"/>
          </w:tcPr>
          <w:p>
            <w:pPr>
              <w:pStyle w:val="14"/>
            </w:pPr>
            <w:r>
              <w:t>领导使用公车的满意度</w:t>
            </w:r>
          </w:p>
        </w:tc>
        <w:tc>
          <w:tcPr>
            <w:tcW w:w="2466" w:type="dxa"/>
            <w:vAlign w:val="center"/>
          </w:tcPr>
          <w:p>
            <w:pPr>
              <w:pStyle w:val="14"/>
            </w:pPr>
            <w:r>
              <w:t>≥100领导使用公车的满意度</w:t>
            </w:r>
          </w:p>
        </w:tc>
        <w:tc>
          <w:tcPr>
            <w:tcW w:w="2466" w:type="dxa"/>
            <w:vAlign w:val="center"/>
          </w:tcPr>
          <w:p>
            <w:pPr>
              <w:pStyle w:val="14"/>
            </w:pPr>
            <w:r>
              <w:t>使用公车投诉率</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500" w:lineRule="exact"/>
        <w:ind w:firstLine="560"/>
        <w:jc w:val="left"/>
        <w:outlineLvl w:val="9"/>
      </w:pPr>
      <w:r>
        <w:rPr>
          <w:rFonts w:ascii="Times New Roman" w:hAnsi="Times New Roman" w:eastAsia="方正仿宋_GBK" w:cs="Times New Roman"/>
          <w:b w:val="0"/>
          <w:color w:val="000000"/>
          <w:sz w:val="28"/>
        </w:rPr>
        <w:t>2023年，隆尧县机关事务管理局安排政府采购预算705.00万元。具体内容见下表。</w:t>
      </w:r>
    </w:p>
    <w:p>
      <w:pPr>
        <w:spacing w:before="0" w:after="0" w:line="240" w:lineRule="auto"/>
        <w:ind w:firstLine="0"/>
        <w:jc w:val="center"/>
        <w:outlineLvl w:val="9"/>
        <w:rPr>
          <w:rFonts w:ascii="方正小标宋_GBK" w:hAnsi="方正小标宋_GBK" w:eastAsia="方正小标宋_GBK" w:cs="方正小标宋_GBK"/>
          <w:color w:val="000000"/>
          <w:sz w:val="36"/>
        </w:rPr>
      </w:pPr>
      <w:r>
        <w:rPr>
          <w:rFonts w:ascii="方正小标宋_GBK" w:hAnsi="方正小标宋_GBK" w:eastAsia="方正小标宋_GBK" w:cs="方正小标宋_GBK"/>
          <w:color w:val="000000"/>
          <w:sz w:val="36"/>
        </w:rPr>
        <w:t>单位政府采购预算</w:t>
      </w:r>
    </w:p>
    <w:p>
      <w:pPr>
        <w:rPr>
          <w:rFonts w:ascii="方正小标宋_GBK" w:hAnsi="方正小标宋_GBK" w:eastAsia="方正小标宋_GBK" w:cs="方正小标宋_GBK"/>
          <w:color w:val="000000"/>
          <w:sz w:val="36"/>
        </w:rPr>
      </w:pPr>
      <w:r>
        <w:t>201004隆尧县机关事务管理局</w:t>
      </w:r>
      <w:r>
        <w:rPr>
          <w:rFonts w:hint="eastAsia" w:eastAsia="宋体"/>
          <w:lang w:val="en-US" w:eastAsia="zh-CN"/>
        </w:rPr>
        <w:t xml:space="preserve">                                                                                                                                                                      </w:t>
      </w:r>
      <w:r>
        <w:t>单位：万元</w:t>
      </w:r>
    </w:p>
    <w:tbl>
      <w:tblPr>
        <w:tblStyle w:val="6"/>
        <w:tblW w:w="1478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24" w:type="dxa"/>
            <w:vAlign w:val="center"/>
          </w:tcPr>
          <w:p>
            <w:pPr>
              <w:pStyle w:val="12"/>
            </w:pPr>
            <w:r>
              <w:t>政府采购项目来源</w:t>
            </w:r>
          </w:p>
        </w:tc>
        <w:tc>
          <w:tcPr>
            <w:tcW w:w="924" w:type="dxa"/>
          </w:tcPr>
          <w:p/>
        </w:tc>
        <w:tc>
          <w:tcPr>
            <w:tcW w:w="924" w:type="dxa"/>
            <w:vMerge w:val="restart"/>
            <w:vAlign w:val="center"/>
          </w:tcPr>
          <w:p>
            <w:pPr>
              <w:pStyle w:val="12"/>
            </w:pPr>
            <w:r>
              <w:t>采购物品名称</w:t>
            </w:r>
          </w:p>
        </w:tc>
        <w:tc>
          <w:tcPr>
            <w:tcW w:w="924" w:type="dxa"/>
            <w:vMerge w:val="restart"/>
            <w:vAlign w:val="center"/>
          </w:tcPr>
          <w:p>
            <w:pPr>
              <w:pStyle w:val="12"/>
            </w:pPr>
            <w:r>
              <w:t>政府采购目录序号</w:t>
            </w:r>
          </w:p>
        </w:tc>
        <w:tc>
          <w:tcPr>
            <w:tcW w:w="924" w:type="dxa"/>
            <w:vMerge w:val="restart"/>
            <w:vAlign w:val="center"/>
          </w:tcPr>
          <w:p>
            <w:pPr>
              <w:pStyle w:val="12"/>
            </w:pPr>
            <w:r>
              <w:t>计量  单位</w:t>
            </w:r>
          </w:p>
        </w:tc>
        <w:tc>
          <w:tcPr>
            <w:tcW w:w="924" w:type="dxa"/>
            <w:vMerge w:val="restart"/>
            <w:vAlign w:val="center"/>
          </w:tcPr>
          <w:p>
            <w:pPr>
              <w:pStyle w:val="12"/>
            </w:pPr>
            <w:r>
              <w:t>数量</w:t>
            </w:r>
          </w:p>
        </w:tc>
        <w:tc>
          <w:tcPr>
            <w:tcW w:w="924" w:type="dxa"/>
            <w:vMerge w:val="restart"/>
            <w:vAlign w:val="center"/>
          </w:tcPr>
          <w:p>
            <w:pPr>
              <w:pStyle w:val="12"/>
            </w:pPr>
            <w:r>
              <w:t>单价</w:t>
            </w:r>
          </w:p>
        </w:tc>
        <w:tc>
          <w:tcPr>
            <w:tcW w:w="924" w:type="dxa"/>
            <w:vAlign w:val="center"/>
          </w:tcPr>
          <w:p>
            <w:pPr>
              <w:pStyle w:val="12"/>
            </w:pPr>
            <w:r>
              <w:t>政府采购金额（当年部门预算安排资金）</w:t>
            </w:r>
          </w:p>
        </w:tc>
        <w:tc>
          <w:tcPr>
            <w:tcW w:w="924" w:type="dxa"/>
          </w:tcPr>
          <w:p/>
        </w:tc>
        <w:tc>
          <w:tcPr>
            <w:tcW w:w="924" w:type="dxa"/>
          </w:tcPr>
          <w:p/>
        </w:tc>
        <w:tc>
          <w:tcPr>
            <w:tcW w:w="924" w:type="dxa"/>
          </w:tcPr>
          <w:p/>
        </w:tc>
        <w:tc>
          <w:tcPr>
            <w:tcW w:w="924" w:type="dxa"/>
          </w:tcPr>
          <w:p/>
        </w:tc>
        <w:tc>
          <w:tcPr>
            <w:tcW w:w="924" w:type="dxa"/>
          </w:tcPr>
          <w:p/>
        </w:tc>
        <w:tc>
          <w:tcPr>
            <w:tcW w:w="924" w:type="dxa"/>
          </w:tcPr>
          <w:p/>
        </w:tc>
        <w:tc>
          <w:tcPr>
            <w:tcW w:w="924" w:type="dxa"/>
          </w:tcPr>
          <w:p/>
        </w:tc>
        <w:tc>
          <w:tcPr>
            <w:tcW w:w="924" w:type="dxa"/>
            <w:vMerge w:val="restart"/>
            <w:vAlign w:val="center"/>
          </w:tcPr>
          <w:p>
            <w:pPr>
              <w:pStyle w:val="12"/>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24" w:type="dxa"/>
            <w:vAlign w:val="center"/>
          </w:tcPr>
          <w:p>
            <w:pPr>
              <w:pStyle w:val="12"/>
            </w:pPr>
            <w:r>
              <w:t>项目名称</w:t>
            </w:r>
          </w:p>
        </w:tc>
        <w:tc>
          <w:tcPr>
            <w:tcW w:w="924" w:type="dxa"/>
            <w:vAlign w:val="center"/>
          </w:tcPr>
          <w:p>
            <w:pPr>
              <w:pStyle w:val="12"/>
            </w:pPr>
            <w:r>
              <w:t>预算    资金</w:t>
            </w: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Align w:val="center"/>
          </w:tcPr>
          <w:p>
            <w:pPr>
              <w:pStyle w:val="12"/>
            </w:pPr>
            <w:r>
              <w:t>合计</w:t>
            </w:r>
          </w:p>
        </w:tc>
        <w:tc>
          <w:tcPr>
            <w:tcW w:w="924" w:type="dxa"/>
            <w:vAlign w:val="center"/>
          </w:tcPr>
          <w:p>
            <w:pPr>
              <w:pStyle w:val="12"/>
            </w:pPr>
            <w:r>
              <w:t>一般公共预算拨款</w:t>
            </w:r>
          </w:p>
        </w:tc>
        <w:tc>
          <w:tcPr>
            <w:tcW w:w="924" w:type="dxa"/>
            <w:vAlign w:val="center"/>
          </w:tcPr>
          <w:p>
            <w:pPr>
              <w:pStyle w:val="12"/>
            </w:pPr>
            <w:r>
              <w:t>基金预算拨款</w:t>
            </w:r>
          </w:p>
        </w:tc>
        <w:tc>
          <w:tcPr>
            <w:tcW w:w="924" w:type="dxa"/>
            <w:vAlign w:val="center"/>
          </w:tcPr>
          <w:p>
            <w:pPr>
              <w:pStyle w:val="12"/>
            </w:pPr>
            <w:r>
              <w:t>国有资本经营预算拨款</w:t>
            </w:r>
          </w:p>
        </w:tc>
        <w:tc>
          <w:tcPr>
            <w:tcW w:w="924" w:type="dxa"/>
            <w:vAlign w:val="center"/>
          </w:tcPr>
          <w:p>
            <w:pPr>
              <w:pStyle w:val="12"/>
            </w:pPr>
            <w:r>
              <w:t>财政专户核拨</w:t>
            </w:r>
          </w:p>
        </w:tc>
        <w:tc>
          <w:tcPr>
            <w:tcW w:w="924" w:type="dxa"/>
            <w:vAlign w:val="center"/>
          </w:tcPr>
          <w:p>
            <w:pPr>
              <w:pStyle w:val="12"/>
            </w:pPr>
            <w:r>
              <w:t>单位    资金</w:t>
            </w:r>
          </w:p>
        </w:tc>
        <w:tc>
          <w:tcPr>
            <w:tcW w:w="924" w:type="dxa"/>
            <w:vAlign w:val="center"/>
          </w:tcPr>
          <w:p>
            <w:pPr>
              <w:pStyle w:val="12"/>
            </w:pPr>
            <w:r>
              <w:t>财政拨    款结转</w:t>
            </w:r>
          </w:p>
        </w:tc>
        <w:tc>
          <w:tcPr>
            <w:tcW w:w="924" w:type="dxa"/>
            <w:vAlign w:val="center"/>
          </w:tcPr>
          <w:p>
            <w:pPr>
              <w:pStyle w:val="12"/>
            </w:pPr>
            <w:r>
              <w:t>非财政    拨款结    转结余</w:t>
            </w:r>
          </w:p>
        </w:tc>
        <w:tc>
          <w:tcPr>
            <w:tcW w:w="92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6"/>
            </w:pPr>
            <w:r>
              <w:t>合  计</w:t>
            </w:r>
          </w:p>
        </w:tc>
        <w:tc>
          <w:tcPr>
            <w:tcW w:w="924" w:type="dxa"/>
            <w:vAlign w:val="center"/>
          </w:tcPr>
          <w:p>
            <w:pPr>
              <w:pStyle w:val="17"/>
            </w:pPr>
          </w:p>
        </w:tc>
        <w:tc>
          <w:tcPr>
            <w:tcW w:w="924" w:type="dxa"/>
            <w:vAlign w:val="center"/>
          </w:tcPr>
          <w:p>
            <w:pPr>
              <w:pStyle w:val="18"/>
            </w:pPr>
          </w:p>
        </w:tc>
        <w:tc>
          <w:tcPr>
            <w:tcW w:w="924" w:type="dxa"/>
            <w:vAlign w:val="center"/>
          </w:tcPr>
          <w:p>
            <w:pPr>
              <w:pStyle w:val="18"/>
            </w:pPr>
          </w:p>
        </w:tc>
        <w:tc>
          <w:tcPr>
            <w:tcW w:w="924" w:type="dxa"/>
            <w:vAlign w:val="center"/>
          </w:tcPr>
          <w:p>
            <w:pPr>
              <w:pStyle w:val="16"/>
            </w:pPr>
          </w:p>
        </w:tc>
        <w:tc>
          <w:tcPr>
            <w:tcW w:w="924" w:type="dxa"/>
            <w:vAlign w:val="center"/>
          </w:tcPr>
          <w:p>
            <w:pPr>
              <w:pStyle w:val="17"/>
            </w:pPr>
          </w:p>
        </w:tc>
        <w:tc>
          <w:tcPr>
            <w:tcW w:w="924" w:type="dxa"/>
            <w:vAlign w:val="center"/>
          </w:tcPr>
          <w:p>
            <w:pPr>
              <w:pStyle w:val="17"/>
            </w:pPr>
          </w:p>
        </w:tc>
        <w:tc>
          <w:tcPr>
            <w:tcW w:w="924" w:type="dxa"/>
            <w:vAlign w:val="center"/>
          </w:tcPr>
          <w:p>
            <w:pPr>
              <w:pStyle w:val="17"/>
            </w:pPr>
            <w:r>
              <w:t>705.00</w:t>
            </w:r>
          </w:p>
        </w:tc>
        <w:tc>
          <w:tcPr>
            <w:tcW w:w="924" w:type="dxa"/>
            <w:vAlign w:val="center"/>
          </w:tcPr>
          <w:p>
            <w:pPr>
              <w:pStyle w:val="17"/>
            </w:pPr>
            <w:r>
              <w:t>705.00</w:t>
            </w:r>
          </w:p>
        </w:tc>
        <w:tc>
          <w:tcPr>
            <w:tcW w:w="924" w:type="dxa"/>
            <w:vAlign w:val="center"/>
          </w:tcPr>
          <w:p>
            <w:pPr>
              <w:pStyle w:val="17"/>
            </w:pPr>
          </w:p>
        </w:tc>
        <w:tc>
          <w:tcPr>
            <w:tcW w:w="924" w:type="dxa"/>
            <w:vAlign w:val="center"/>
          </w:tcPr>
          <w:p>
            <w:pPr>
              <w:pStyle w:val="17"/>
            </w:pPr>
          </w:p>
        </w:tc>
        <w:tc>
          <w:tcPr>
            <w:tcW w:w="924" w:type="dxa"/>
            <w:vAlign w:val="center"/>
          </w:tcPr>
          <w:p>
            <w:pPr>
              <w:pStyle w:val="17"/>
            </w:pPr>
          </w:p>
        </w:tc>
        <w:tc>
          <w:tcPr>
            <w:tcW w:w="924" w:type="dxa"/>
            <w:vAlign w:val="center"/>
          </w:tcPr>
          <w:p>
            <w:pPr>
              <w:pStyle w:val="17"/>
            </w:pPr>
          </w:p>
        </w:tc>
        <w:tc>
          <w:tcPr>
            <w:tcW w:w="924" w:type="dxa"/>
            <w:vAlign w:val="center"/>
          </w:tcPr>
          <w:p>
            <w:pPr>
              <w:pStyle w:val="17"/>
            </w:pPr>
          </w:p>
        </w:tc>
        <w:tc>
          <w:tcPr>
            <w:tcW w:w="924" w:type="dxa"/>
            <w:vAlign w:val="center"/>
          </w:tcPr>
          <w:p>
            <w:pPr>
              <w:pStyle w:val="17"/>
            </w:pPr>
          </w:p>
        </w:tc>
        <w:tc>
          <w:tcPr>
            <w:tcW w:w="924" w:type="dxa"/>
            <w:vAlign w:val="center"/>
          </w:tcPr>
          <w:p>
            <w:pPr>
              <w:pStyle w:val="17"/>
            </w:pPr>
            <w:r>
              <w:t>705.00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924" w:type="dxa"/>
            <w:vAlign w:val="center"/>
          </w:tcPr>
          <w:p>
            <w:pPr>
              <w:pStyle w:val="16"/>
            </w:pPr>
            <w:r>
              <w:t>隆尧县机关事务管理局小计</w:t>
            </w:r>
          </w:p>
        </w:tc>
        <w:tc>
          <w:tcPr>
            <w:tcW w:w="924" w:type="dxa"/>
            <w:vAlign w:val="center"/>
          </w:tcPr>
          <w:p>
            <w:pPr>
              <w:pStyle w:val="17"/>
            </w:pPr>
          </w:p>
        </w:tc>
        <w:tc>
          <w:tcPr>
            <w:tcW w:w="924" w:type="dxa"/>
            <w:vAlign w:val="center"/>
          </w:tcPr>
          <w:p>
            <w:pPr>
              <w:pStyle w:val="18"/>
            </w:pPr>
          </w:p>
        </w:tc>
        <w:tc>
          <w:tcPr>
            <w:tcW w:w="924" w:type="dxa"/>
            <w:vAlign w:val="center"/>
          </w:tcPr>
          <w:p>
            <w:pPr>
              <w:pStyle w:val="18"/>
            </w:pPr>
          </w:p>
        </w:tc>
        <w:tc>
          <w:tcPr>
            <w:tcW w:w="924" w:type="dxa"/>
            <w:vAlign w:val="center"/>
          </w:tcPr>
          <w:p>
            <w:pPr>
              <w:pStyle w:val="16"/>
            </w:pPr>
          </w:p>
        </w:tc>
        <w:tc>
          <w:tcPr>
            <w:tcW w:w="924" w:type="dxa"/>
            <w:vAlign w:val="center"/>
          </w:tcPr>
          <w:p>
            <w:pPr>
              <w:pStyle w:val="17"/>
            </w:pPr>
          </w:p>
        </w:tc>
        <w:tc>
          <w:tcPr>
            <w:tcW w:w="924" w:type="dxa"/>
            <w:vAlign w:val="center"/>
          </w:tcPr>
          <w:p>
            <w:pPr>
              <w:pStyle w:val="17"/>
            </w:pPr>
          </w:p>
        </w:tc>
        <w:tc>
          <w:tcPr>
            <w:tcW w:w="924" w:type="dxa"/>
            <w:vAlign w:val="center"/>
          </w:tcPr>
          <w:p>
            <w:pPr>
              <w:pStyle w:val="17"/>
            </w:pPr>
            <w:r>
              <w:t>705.00</w:t>
            </w:r>
          </w:p>
        </w:tc>
        <w:tc>
          <w:tcPr>
            <w:tcW w:w="924" w:type="dxa"/>
            <w:vAlign w:val="center"/>
          </w:tcPr>
          <w:p>
            <w:pPr>
              <w:pStyle w:val="17"/>
            </w:pPr>
            <w:r>
              <w:t>705.00</w:t>
            </w:r>
          </w:p>
        </w:tc>
        <w:tc>
          <w:tcPr>
            <w:tcW w:w="924" w:type="dxa"/>
            <w:vAlign w:val="center"/>
          </w:tcPr>
          <w:p>
            <w:pPr>
              <w:pStyle w:val="17"/>
            </w:pPr>
          </w:p>
        </w:tc>
        <w:tc>
          <w:tcPr>
            <w:tcW w:w="924" w:type="dxa"/>
            <w:vAlign w:val="center"/>
          </w:tcPr>
          <w:p>
            <w:pPr>
              <w:pStyle w:val="17"/>
            </w:pPr>
          </w:p>
        </w:tc>
        <w:tc>
          <w:tcPr>
            <w:tcW w:w="924" w:type="dxa"/>
            <w:vAlign w:val="center"/>
          </w:tcPr>
          <w:p>
            <w:pPr>
              <w:pStyle w:val="17"/>
            </w:pPr>
          </w:p>
        </w:tc>
        <w:tc>
          <w:tcPr>
            <w:tcW w:w="924" w:type="dxa"/>
            <w:vAlign w:val="center"/>
          </w:tcPr>
          <w:p>
            <w:pPr>
              <w:pStyle w:val="17"/>
            </w:pPr>
          </w:p>
        </w:tc>
        <w:tc>
          <w:tcPr>
            <w:tcW w:w="924" w:type="dxa"/>
            <w:vAlign w:val="center"/>
          </w:tcPr>
          <w:p>
            <w:pPr>
              <w:pStyle w:val="17"/>
            </w:pPr>
          </w:p>
        </w:tc>
        <w:tc>
          <w:tcPr>
            <w:tcW w:w="924" w:type="dxa"/>
            <w:vAlign w:val="center"/>
          </w:tcPr>
          <w:p>
            <w:pPr>
              <w:pStyle w:val="17"/>
            </w:pPr>
          </w:p>
        </w:tc>
        <w:tc>
          <w:tcPr>
            <w:tcW w:w="924" w:type="dxa"/>
            <w:vAlign w:val="center"/>
          </w:tcPr>
          <w:p>
            <w:pPr>
              <w:pStyle w:val="17"/>
            </w:pPr>
            <w:r>
              <w:t>705.00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4"/>
            </w:pPr>
            <w:r>
              <w:t>电动汽车购置</w:t>
            </w:r>
          </w:p>
        </w:tc>
        <w:tc>
          <w:tcPr>
            <w:tcW w:w="924" w:type="dxa"/>
            <w:vAlign w:val="center"/>
          </w:tcPr>
          <w:p>
            <w:pPr>
              <w:pStyle w:val="13"/>
            </w:pPr>
            <w:r>
              <w:t>100.00</w:t>
            </w:r>
          </w:p>
        </w:tc>
        <w:tc>
          <w:tcPr>
            <w:tcW w:w="924" w:type="dxa"/>
            <w:vAlign w:val="center"/>
          </w:tcPr>
          <w:p>
            <w:pPr>
              <w:pStyle w:val="14"/>
            </w:pPr>
            <w:r>
              <w:t>其他乘用车</w:t>
            </w:r>
          </w:p>
        </w:tc>
        <w:tc>
          <w:tcPr>
            <w:tcW w:w="924" w:type="dxa"/>
            <w:vAlign w:val="center"/>
          </w:tcPr>
          <w:p>
            <w:pPr>
              <w:pStyle w:val="14"/>
            </w:pPr>
            <w:r>
              <w:t>A02030599</w:t>
            </w:r>
          </w:p>
        </w:tc>
        <w:tc>
          <w:tcPr>
            <w:tcW w:w="924" w:type="dxa"/>
            <w:vAlign w:val="center"/>
          </w:tcPr>
          <w:p>
            <w:pPr>
              <w:pStyle w:val="15"/>
            </w:pPr>
            <w:r>
              <w:t>辆</w:t>
            </w:r>
          </w:p>
        </w:tc>
        <w:tc>
          <w:tcPr>
            <w:tcW w:w="924" w:type="dxa"/>
            <w:vAlign w:val="center"/>
          </w:tcPr>
          <w:p>
            <w:pPr>
              <w:pStyle w:val="13"/>
            </w:pPr>
            <w:r>
              <w:t>8</w:t>
            </w:r>
          </w:p>
        </w:tc>
        <w:tc>
          <w:tcPr>
            <w:tcW w:w="924" w:type="dxa"/>
            <w:vAlign w:val="center"/>
          </w:tcPr>
          <w:p>
            <w:pPr>
              <w:pStyle w:val="13"/>
            </w:pPr>
            <w:r>
              <w:t>12.50</w:t>
            </w:r>
          </w:p>
        </w:tc>
        <w:tc>
          <w:tcPr>
            <w:tcW w:w="924" w:type="dxa"/>
            <w:vAlign w:val="center"/>
          </w:tcPr>
          <w:p>
            <w:pPr>
              <w:pStyle w:val="13"/>
            </w:pPr>
            <w:r>
              <w:t>100.00</w:t>
            </w:r>
          </w:p>
        </w:tc>
        <w:tc>
          <w:tcPr>
            <w:tcW w:w="924" w:type="dxa"/>
            <w:vAlign w:val="center"/>
          </w:tcPr>
          <w:p>
            <w:pPr>
              <w:pStyle w:val="13"/>
            </w:pPr>
            <w:r>
              <w:t>100.00</w:t>
            </w: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4"/>
            </w:pPr>
            <w:r>
              <w:t>公务用车运行维护费</w:t>
            </w:r>
          </w:p>
        </w:tc>
        <w:tc>
          <w:tcPr>
            <w:tcW w:w="924" w:type="dxa"/>
            <w:vAlign w:val="center"/>
          </w:tcPr>
          <w:p>
            <w:pPr>
              <w:pStyle w:val="13"/>
            </w:pPr>
            <w:r>
              <w:t>155.00</w:t>
            </w:r>
          </w:p>
        </w:tc>
        <w:tc>
          <w:tcPr>
            <w:tcW w:w="924" w:type="dxa"/>
            <w:vAlign w:val="center"/>
          </w:tcPr>
          <w:p>
            <w:pPr>
              <w:pStyle w:val="14"/>
            </w:pPr>
            <w:r>
              <w:t>其他商业保险服务</w:t>
            </w:r>
          </w:p>
        </w:tc>
        <w:tc>
          <w:tcPr>
            <w:tcW w:w="924" w:type="dxa"/>
            <w:vAlign w:val="center"/>
          </w:tcPr>
          <w:p>
            <w:pPr>
              <w:pStyle w:val="14"/>
            </w:pPr>
            <w:r>
              <w:t>C18040199</w:t>
            </w:r>
          </w:p>
        </w:tc>
        <w:tc>
          <w:tcPr>
            <w:tcW w:w="924" w:type="dxa"/>
            <w:vAlign w:val="center"/>
          </w:tcPr>
          <w:p>
            <w:pPr>
              <w:pStyle w:val="15"/>
            </w:pPr>
            <w:r>
              <w:t>辆</w:t>
            </w:r>
          </w:p>
        </w:tc>
        <w:tc>
          <w:tcPr>
            <w:tcW w:w="924" w:type="dxa"/>
            <w:vAlign w:val="center"/>
          </w:tcPr>
          <w:p>
            <w:pPr>
              <w:pStyle w:val="13"/>
            </w:pPr>
            <w:r>
              <w:t>78</w:t>
            </w:r>
          </w:p>
        </w:tc>
        <w:tc>
          <w:tcPr>
            <w:tcW w:w="924" w:type="dxa"/>
            <w:vAlign w:val="center"/>
          </w:tcPr>
          <w:p>
            <w:pPr>
              <w:pStyle w:val="13"/>
            </w:pPr>
            <w:r>
              <w:t>0.30</w:t>
            </w:r>
          </w:p>
        </w:tc>
        <w:tc>
          <w:tcPr>
            <w:tcW w:w="924" w:type="dxa"/>
            <w:vAlign w:val="center"/>
          </w:tcPr>
          <w:p>
            <w:pPr>
              <w:pStyle w:val="13"/>
            </w:pPr>
            <w:r>
              <w:t>23.40</w:t>
            </w:r>
          </w:p>
        </w:tc>
        <w:tc>
          <w:tcPr>
            <w:tcW w:w="924" w:type="dxa"/>
            <w:vAlign w:val="center"/>
          </w:tcPr>
          <w:p>
            <w:pPr>
              <w:pStyle w:val="13"/>
            </w:pPr>
            <w:r>
              <w:t>23.40</w:t>
            </w: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r>
              <w:t>23.40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4"/>
            </w:pPr>
            <w:r>
              <w:t>公务用车运行维护费</w:t>
            </w:r>
          </w:p>
        </w:tc>
        <w:tc>
          <w:tcPr>
            <w:tcW w:w="924" w:type="dxa"/>
            <w:vAlign w:val="center"/>
          </w:tcPr>
          <w:p>
            <w:pPr>
              <w:pStyle w:val="13"/>
            </w:pPr>
            <w:r>
              <w:t>155.00</w:t>
            </w:r>
          </w:p>
        </w:tc>
        <w:tc>
          <w:tcPr>
            <w:tcW w:w="924" w:type="dxa"/>
            <w:vAlign w:val="center"/>
          </w:tcPr>
          <w:p>
            <w:pPr>
              <w:pStyle w:val="14"/>
            </w:pPr>
            <w:r>
              <w:t>车辆维修和保养服务</w:t>
            </w:r>
          </w:p>
        </w:tc>
        <w:tc>
          <w:tcPr>
            <w:tcW w:w="924" w:type="dxa"/>
            <w:vAlign w:val="center"/>
          </w:tcPr>
          <w:p>
            <w:pPr>
              <w:pStyle w:val="14"/>
            </w:pPr>
            <w:r>
              <w:t>C23120301</w:t>
            </w:r>
          </w:p>
        </w:tc>
        <w:tc>
          <w:tcPr>
            <w:tcW w:w="924" w:type="dxa"/>
            <w:vAlign w:val="center"/>
          </w:tcPr>
          <w:p>
            <w:pPr>
              <w:pStyle w:val="15"/>
            </w:pPr>
            <w:r>
              <w:t>辆</w:t>
            </w:r>
          </w:p>
        </w:tc>
        <w:tc>
          <w:tcPr>
            <w:tcW w:w="924" w:type="dxa"/>
            <w:vAlign w:val="center"/>
          </w:tcPr>
          <w:p>
            <w:pPr>
              <w:pStyle w:val="13"/>
            </w:pPr>
            <w:r>
              <w:t>78</w:t>
            </w:r>
          </w:p>
        </w:tc>
        <w:tc>
          <w:tcPr>
            <w:tcW w:w="924" w:type="dxa"/>
            <w:vAlign w:val="center"/>
          </w:tcPr>
          <w:p>
            <w:pPr>
              <w:pStyle w:val="13"/>
            </w:pPr>
            <w:r>
              <w:t>0.50</w:t>
            </w:r>
          </w:p>
        </w:tc>
        <w:tc>
          <w:tcPr>
            <w:tcW w:w="924" w:type="dxa"/>
            <w:vAlign w:val="center"/>
          </w:tcPr>
          <w:p>
            <w:pPr>
              <w:pStyle w:val="13"/>
            </w:pPr>
            <w:r>
              <w:t>39.00</w:t>
            </w:r>
          </w:p>
        </w:tc>
        <w:tc>
          <w:tcPr>
            <w:tcW w:w="924" w:type="dxa"/>
            <w:vAlign w:val="center"/>
          </w:tcPr>
          <w:p>
            <w:pPr>
              <w:pStyle w:val="13"/>
            </w:pPr>
            <w:r>
              <w:t>39.00</w:t>
            </w: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r>
              <w:t>39.00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924" w:type="dxa"/>
            <w:vAlign w:val="center"/>
          </w:tcPr>
          <w:p>
            <w:pPr>
              <w:pStyle w:val="14"/>
            </w:pPr>
            <w:r>
              <w:t>公务用车运行维护费</w:t>
            </w:r>
          </w:p>
        </w:tc>
        <w:tc>
          <w:tcPr>
            <w:tcW w:w="924" w:type="dxa"/>
            <w:vAlign w:val="center"/>
          </w:tcPr>
          <w:p>
            <w:pPr>
              <w:pStyle w:val="13"/>
            </w:pPr>
            <w:r>
              <w:t>155.00</w:t>
            </w:r>
          </w:p>
        </w:tc>
        <w:tc>
          <w:tcPr>
            <w:tcW w:w="924" w:type="dxa"/>
            <w:vAlign w:val="center"/>
          </w:tcPr>
          <w:p>
            <w:pPr>
              <w:pStyle w:val="14"/>
            </w:pPr>
            <w:r>
              <w:t>车辆加油、添加燃料服务</w:t>
            </w:r>
          </w:p>
        </w:tc>
        <w:tc>
          <w:tcPr>
            <w:tcW w:w="924" w:type="dxa"/>
            <w:vAlign w:val="center"/>
          </w:tcPr>
          <w:p>
            <w:pPr>
              <w:pStyle w:val="14"/>
            </w:pPr>
            <w:r>
              <w:t>C23120302</w:t>
            </w:r>
          </w:p>
        </w:tc>
        <w:tc>
          <w:tcPr>
            <w:tcW w:w="924" w:type="dxa"/>
            <w:vAlign w:val="center"/>
          </w:tcPr>
          <w:p>
            <w:pPr>
              <w:pStyle w:val="15"/>
            </w:pPr>
            <w:r>
              <w:t>辆</w:t>
            </w:r>
          </w:p>
        </w:tc>
        <w:tc>
          <w:tcPr>
            <w:tcW w:w="924" w:type="dxa"/>
            <w:vAlign w:val="center"/>
          </w:tcPr>
          <w:p>
            <w:pPr>
              <w:pStyle w:val="13"/>
            </w:pPr>
            <w:r>
              <w:t>115750</w:t>
            </w:r>
          </w:p>
        </w:tc>
        <w:tc>
          <w:tcPr>
            <w:tcW w:w="924" w:type="dxa"/>
            <w:vAlign w:val="center"/>
          </w:tcPr>
          <w:p>
            <w:pPr>
              <w:pStyle w:val="13"/>
            </w:pPr>
            <w:r>
              <w:t>0.00</w:t>
            </w:r>
          </w:p>
        </w:tc>
        <w:tc>
          <w:tcPr>
            <w:tcW w:w="924" w:type="dxa"/>
            <w:vAlign w:val="center"/>
          </w:tcPr>
          <w:p>
            <w:pPr>
              <w:pStyle w:val="13"/>
            </w:pPr>
            <w:r>
              <w:t>92.60</w:t>
            </w:r>
          </w:p>
        </w:tc>
        <w:tc>
          <w:tcPr>
            <w:tcW w:w="924" w:type="dxa"/>
            <w:vAlign w:val="center"/>
          </w:tcPr>
          <w:p>
            <w:pPr>
              <w:pStyle w:val="13"/>
            </w:pPr>
            <w:r>
              <w:t>92.60</w:t>
            </w: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r>
              <w:t>92.60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4"/>
            </w:pPr>
            <w:r>
              <w:t>县直党政机关办公用房维修基金</w:t>
            </w:r>
          </w:p>
        </w:tc>
        <w:tc>
          <w:tcPr>
            <w:tcW w:w="924" w:type="dxa"/>
            <w:vAlign w:val="center"/>
          </w:tcPr>
          <w:p>
            <w:pPr>
              <w:pStyle w:val="13"/>
            </w:pPr>
            <w:r>
              <w:t>450.00</w:t>
            </w:r>
          </w:p>
        </w:tc>
        <w:tc>
          <w:tcPr>
            <w:tcW w:w="924" w:type="dxa"/>
            <w:vAlign w:val="center"/>
          </w:tcPr>
          <w:p>
            <w:pPr>
              <w:pStyle w:val="14"/>
            </w:pPr>
            <w:r>
              <w:t>办公用房施工</w:t>
            </w:r>
          </w:p>
        </w:tc>
        <w:tc>
          <w:tcPr>
            <w:tcW w:w="924" w:type="dxa"/>
            <w:vAlign w:val="center"/>
          </w:tcPr>
          <w:p>
            <w:pPr>
              <w:pStyle w:val="14"/>
            </w:pPr>
            <w:r>
              <w:t>B01010000</w:t>
            </w:r>
          </w:p>
        </w:tc>
        <w:tc>
          <w:tcPr>
            <w:tcW w:w="924" w:type="dxa"/>
            <w:vAlign w:val="center"/>
          </w:tcPr>
          <w:p>
            <w:pPr>
              <w:pStyle w:val="15"/>
            </w:pPr>
            <w:r>
              <w:t>个</w:t>
            </w:r>
          </w:p>
        </w:tc>
        <w:tc>
          <w:tcPr>
            <w:tcW w:w="924" w:type="dxa"/>
            <w:vAlign w:val="center"/>
          </w:tcPr>
          <w:p>
            <w:pPr>
              <w:pStyle w:val="13"/>
            </w:pPr>
            <w:r>
              <w:t>1</w:t>
            </w:r>
          </w:p>
        </w:tc>
        <w:tc>
          <w:tcPr>
            <w:tcW w:w="924" w:type="dxa"/>
            <w:vAlign w:val="center"/>
          </w:tcPr>
          <w:p>
            <w:pPr>
              <w:pStyle w:val="13"/>
            </w:pPr>
            <w:r>
              <w:t>450.00</w:t>
            </w:r>
          </w:p>
        </w:tc>
        <w:tc>
          <w:tcPr>
            <w:tcW w:w="924" w:type="dxa"/>
            <w:vAlign w:val="center"/>
          </w:tcPr>
          <w:p>
            <w:pPr>
              <w:pStyle w:val="13"/>
            </w:pPr>
            <w:r>
              <w:t>450.00</w:t>
            </w:r>
          </w:p>
        </w:tc>
        <w:tc>
          <w:tcPr>
            <w:tcW w:w="924" w:type="dxa"/>
            <w:vAlign w:val="center"/>
          </w:tcPr>
          <w:p>
            <w:pPr>
              <w:pStyle w:val="13"/>
            </w:pPr>
            <w:r>
              <w:t>450.00</w:t>
            </w: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r>
              <w:t>450.00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隆尧县机关事务管理局上年末固定资产金额为2281.30万元（详见下表）。本年度拟购置固定资产总额为100.00万元，已按要求列入政府采购预算，详见政府采购预算表。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11"/>
            </w:pPr>
            <w:r>
              <w:t>201004隆尧县机关事务管理局</w:t>
            </w:r>
          </w:p>
        </w:tc>
        <w:tc>
          <w:tcPr>
            <w:tcW w:w="4933" w:type="dxa"/>
            <w:tcBorders>
              <w:top w:val="single" w:color="FFFFFF" w:sz="6" w:space="0"/>
              <w:left w:val="single" w:color="FFFFFF" w:sz="6" w:space="0"/>
              <w:right w:val="single" w:color="FFFFFF" w:sz="6" w:space="0"/>
            </w:tcBorders>
            <w:vAlign w:val="center"/>
          </w:tcPr>
          <w:p>
            <w:pPr>
              <w:pStyle w:val="9"/>
            </w:pPr>
            <w:r>
              <w:t>截止时间：2022-12-31</w:t>
            </w:r>
          </w:p>
        </w:tc>
        <w:tc>
          <w:tcPr>
            <w:tcW w:w="4933" w:type="dxa"/>
            <w:tcBorders>
              <w:top w:val="single" w:color="FFFFFF" w:sz="6" w:space="0"/>
              <w:left w:val="single" w:color="FFFFFF" w:sz="6" w:space="0"/>
              <w:right w:val="single" w:color="FFFFFF" w:sz="6" w:space="0"/>
            </w:tcBorders>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pPr>
              <w:pStyle w:val="12"/>
            </w:pPr>
            <w:r>
              <w:t>项   目</w:t>
            </w:r>
          </w:p>
        </w:tc>
        <w:tc>
          <w:tcPr>
            <w:tcW w:w="4933" w:type="dxa"/>
            <w:vAlign w:val="center"/>
          </w:tcPr>
          <w:p>
            <w:pPr>
              <w:pStyle w:val="12"/>
            </w:pPr>
            <w:r>
              <w:t>数量</w:t>
            </w:r>
          </w:p>
        </w:tc>
        <w:tc>
          <w:tcPr>
            <w:tcW w:w="4933"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r>
              <w:t>资产总额</w:t>
            </w:r>
          </w:p>
        </w:tc>
        <w:tc>
          <w:tcPr>
            <w:tcW w:w="4933" w:type="dxa"/>
            <w:vAlign w:val="center"/>
          </w:tcPr>
          <w:p>
            <w:pPr>
              <w:pStyle w:val="15"/>
            </w:pPr>
          </w:p>
        </w:tc>
        <w:tc>
          <w:tcPr>
            <w:tcW w:w="4933" w:type="dxa"/>
            <w:vAlign w:val="center"/>
          </w:tcPr>
          <w:p>
            <w:pPr>
              <w:pStyle w:val="13"/>
            </w:pPr>
            <w:r>
              <w:t>2281.30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4933" w:type="dxa"/>
            <w:vAlign w:val="center"/>
          </w:tcPr>
          <w:p>
            <w:pPr>
              <w:pStyle w:val="14"/>
            </w:pPr>
            <w:r>
              <w:t>1、房屋（平方米）</w:t>
            </w:r>
          </w:p>
        </w:tc>
        <w:tc>
          <w:tcPr>
            <w:tcW w:w="4933" w:type="dxa"/>
            <w:vAlign w:val="center"/>
          </w:tcPr>
          <w:p>
            <w:pPr>
              <w:pStyle w:val="15"/>
            </w:pPr>
            <w:r>
              <w:t>25861.38</w:t>
            </w:r>
          </w:p>
        </w:tc>
        <w:tc>
          <w:tcPr>
            <w:tcW w:w="4933" w:type="dxa"/>
            <w:vAlign w:val="center"/>
          </w:tcPr>
          <w:p>
            <w:pPr>
              <w:pStyle w:val="13"/>
            </w:pPr>
            <w:r>
              <w:t>1114.64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r>
              <w:t>　　其中：办公用房（平方米）</w:t>
            </w:r>
          </w:p>
        </w:tc>
        <w:tc>
          <w:tcPr>
            <w:tcW w:w="4933" w:type="dxa"/>
            <w:vAlign w:val="center"/>
          </w:tcPr>
          <w:p>
            <w:pPr>
              <w:pStyle w:val="15"/>
            </w:pPr>
            <w:r>
              <w:t>189.75</w:t>
            </w:r>
          </w:p>
        </w:tc>
        <w:tc>
          <w:tcPr>
            <w:tcW w:w="493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r>
              <w:t>2、车辆（台、辆）</w:t>
            </w:r>
          </w:p>
        </w:tc>
        <w:tc>
          <w:tcPr>
            <w:tcW w:w="4933" w:type="dxa"/>
            <w:vAlign w:val="center"/>
          </w:tcPr>
          <w:p>
            <w:pPr>
              <w:pStyle w:val="15"/>
            </w:pPr>
            <w:r>
              <w:t>83</w:t>
            </w:r>
          </w:p>
        </w:tc>
        <w:tc>
          <w:tcPr>
            <w:tcW w:w="4933" w:type="dxa"/>
            <w:vAlign w:val="center"/>
          </w:tcPr>
          <w:p>
            <w:pPr>
              <w:pStyle w:val="13"/>
            </w:pPr>
            <w:r>
              <w:t>1066.79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r>
              <w:t>3、单价在20万元以上的设备</w:t>
            </w:r>
          </w:p>
        </w:tc>
        <w:tc>
          <w:tcPr>
            <w:tcW w:w="4933" w:type="dxa"/>
            <w:vAlign w:val="center"/>
          </w:tcPr>
          <w:p>
            <w:pPr>
              <w:pStyle w:val="15"/>
            </w:pPr>
          </w:p>
        </w:tc>
        <w:tc>
          <w:tcPr>
            <w:tcW w:w="493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4933" w:type="dxa"/>
            <w:vAlign w:val="center"/>
          </w:tcPr>
          <w:p>
            <w:pPr>
              <w:pStyle w:val="14"/>
            </w:pPr>
            <w:r>
              <w:t>4、其他固定资产</w:t>
            </w:r>
          </w:p>
        </w:tc>
        <w:tc>
          <w:tcPr>
            <w:tcW w:w="4933" w:type="dxa"/>
            <w:vAlign w:val="center"/>
          </w:tcPr>
          <w:p>
            <w:pPr>
              <w:pStyle w:val="15"/>
            </w:pPr>
            <w:r>
              <w:t>484</w:t>
            </w:r>
          </w:p>
        </w:tc>
        <w:tc>
          <w:tcPr>
            <w:tcW w:w="4933" w:type="dxa"/>
            <w:vAlign w:val="center"/>
          </w:tcPr>
          <w:p>
            <w:pPr>
              <w:pStyle w:val="13"/>
            </w:pPr>
            <w:r>
              <w:t>99.87</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eastAsia="zh-CN"/>
        </w:rPr>
        <w:t>县级</w:t>
      </w:r>
      <w:r>
        <w:rPr>
          <w:rFonts w:ascii="Times New Roman" w:hAnsi="Times New Roman" w:eastAsia="方正仿宋_GBK" w:cs="Times New Roman"/>
          <w:b w:val="0"/>
          <w:color w:val="000000"/>
          <w:sz w:val="28"/>
        </w:rPr>
        <w:t>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eastAsia="zh-CN"/>
        </w:rPr>
        <w:t>县级</w:t>
      </w:r>
      <w:r>
        <w:rPr>
          <w:rFonts w:ascii="Times New Roman" w:hAnsi="Times New Roman" w:eastAsia="方正仿宋_GBK" w:cs="Times New Roman"/>
          <w:b w:val="0"/>
          <w:color w:val="000000"/>
          <w:sz w:val="28"/>
        </w:rPr>
        <w:t>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2000609000000000000"/>
    <w:charset w:val="02"/>
    <w:family w:val="roman"/>
    <w:pitch w:val="default"/>
    <w:sig w:usb0="800000AF" w:usb1="4000204A" w:usb2="00000000" w:usb3="00000000" w:csb0="20000000" w:csb1="00000000"/>
  </w:font>
  <w:font w:name="Calibri">
    <w:altName w:val="微软雅黑"/>
    <w:panose1 w:val="020F0502020204030204"/>
    <w:charset w:val="00"/>
    <w:family w:val="swiss"/>
    <w:pitch w:val="default"/>
    <w:sig w:usb0="00000000" w:usb1="00000000" w:usb2="00000001" w:usb3="00000000" w:csb0="0000019F" w:csb1="00000000"/>
  </w:font>
  <w:font w:name="微软雅黑">
    <w:panose1 w:val="020B0503020204020204"/>
    <w:charset w:val="86"/>
    <w:family w:val="auto"/>
    <w:pitch w:val="default"/>
    <w:sig w:usb0="80000287" w:usb1="2A0F3C52" w:usb2="00000016" w:usb3="00000000" w:csb0="0004001F" w:csb1="00000000"/>
  </w:font>
  <w:font w:name="方正仿宋_GBK">
    <w:panose1 w:val="02000000000000000000"/>
    <w:charset w:val="86"/>
    <w:family w:val="auto"/>
    <w:pitch w:val="default"/>
    <w:sig w:usb0="00000001" w:usb1="08000000" w:usb2="00000000" w:usb3="00000000" w:csb0="00040000"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00000001" w:usb1="08000000" w:usb2="00000000" w:usb3="00000000" w:csb0="00040000" w:csb1="00000000"/>
  </w:font>
  <w:font w:name="方正楷体_GBK">
    <w:panose1 w:val="02000000000000000000"/>
    <w:charset w:val="86"/>
    <w:family w:val="auto"/>
    <w:pitch w:val="default"/>
    <w:sig w:usb0="00000001" w:usb1="08000000" w:usb2="00000000" w:usb3="00000000" w:csb0="00040000" w:csb1="00000000"/>
  </w:font>
  <w:font w:name="DejaVu Sans">
    <w:panose1 w:val="020B0603030804020204"/>
    <w:charset w:val="00"/>
    <w:family w:val="auto"/>
    <w:pitch w:val="default"/>
    <w:sig w:usb0="E7006EFF" w:usb1="D200FDFF" w:usb2="0A246029" w:usb3="0400200C" w:csb0="600001FF" w:csb1="D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2A27"/>
    <w:rsid w:val="09A6656C"/>
    <w:rsid w:val="0CC2407E"/>
    <w:rsid w:val="23672339"/>
    <w:rsid w:val="29B63604"/>
    <w:rsid w:val="2B540D2D"/>
    <w:rsid w:val="331B09FB"/>
    <w:rsid w:val="35C2110E"/>
    <w:rsid w:val="3C556611"/>
    <w:rsid w:val="419B3502"/>
    <w:rsid w:val="45DA26B0"/>
    <w:rsid w:val="47B220C3"/>
    <w:rsid w:val="53AF010C"/>
    <w:rsid w:val="575D4AA9"/>
    <w:rsid w:val="5C0C301B"/>
    <w:rsid w:val="5D896CCD"/>
    <w:rsid w:val="5EFF6FAF"/>
    <w:rsid w:val="BD7BA33D"/>
    <w:rsid w:val="FD783892"/>
    <w:rsid w:val="FDFB8903"/>
    <w:rsid w:val="FEFFACE1"/>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8">
    <w:name w:val="Default Paragraph Font"/>
    <w:unhideWhenUsed/>
    <w:qFormat/>
    <w:uiPriority w:val="1"/>
  </w:style>
  <w:style w:type="table" w:default="1" w:styleId="6">
    <w:name w:val="Normal Table"/>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table" w:styleId="7">
    <w:name w:val="Table Grid"/>
    <w:basedOn w:val="6"/>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7">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9">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footer1.xml" Type="http://schemas.openxmlformats.org/officeDocument/2006/relationships/footer"/><Relationship Id="rId4" Target="footer2.xml" Type="http://schemas.openxmlformats.org/officeDocument/2006/relationships/footer"/><Relationship Id="rId5" Target="theme/theme1.xml" Type="http://schemas.openxmlformats.org/officeDocument/2006/relationships/theme"/><Relationship Id="rId6" Target="fontTable.xml" Type="http://schemas.openxmlformats.org/officeDocument/2006/relationships/fontTable"/></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0</Pages>
  <Words>0</Words>
  <Characters>0</Characters>
  <Lines>0</Lines>
  <Paragraphs>0</Paragraphs>
  <TotalTime>1</TotalTime>
  <ScaleCrop>false</ScaleCrop>
  <LinksUpToDate>false</LinksUpToDate>
  <CharactersWithSpaces>0</CharactersWithSpaces>
  <Application>WPS Office_11.8.2.1120_F1E327BC-269C-435d-A152-05C5408002CA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2023-01-19T23:10:00Z</dcterms:created>
  <dc:creator>Administrator.USER-20151009QP</dc:creator>
  <cp:lastModifiedBy>work</cp:lastModifiedBy>
  <dcterms:modified xsi:type="dcterms:W3CDTF">2023-09-06T17:26:49Z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2052-11.8.2.1120</vt:lpwstr>
  </property>
  <property fmtid="{D5CDD505-2E9C-101B-9397-08002B2CF9AE}" pid="3" name="ICV">
    <vt:lpwstr>53F719F15A8610D8BF45F864A9C6C750</vt:lpwstr>
  </property>
</Properties>
</file>