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2</w:t>
      </w:r>
    </w:p>
    <w:p>
      <w:pPr>
        <w:pStyle w:val="3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3</w:t>
      </w:r>
    </w:p>
    <w:p>
      <w:pPr>
        <w:pStyle w:val="3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5</w:t>
      </w:r>
    </w:p>
    <w:p>
      <w:pPr>
        <w:pStyle w:val="3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6</w:t>
      </w:r>
    </w:p>
    <w:p>
      <w:pPr>
        <w:pStyle w:val="3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7</w:t>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8</w:t>
      </w:r>
    </w:p>
    <w:p>
      <w:pPr>
        <w:pStyle w:val="3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pPr>
        <w:pStyle w:val="3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pPr>
        <w:pStyle w:val="3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pPr>
        <w:pStyle w:val="3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2</w:t>
      </w:r>
    </w:p>
    <w:p>
      <w:pPr>
        <w:pStyle w:val="3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3</w:t>
      </w:r>
    </w:p>
    <w:p>
      <w:pPr>
        <w:pStyle w:val="3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3</w:t>
      </w:r>
    </w:p>
    <w:p>
      <w:pPr>
        <w:pStyle w:val="3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4</w:t>
      </w:r>
    </w:p>
    <w:p>
      <w:pPr>
        <w:pStyle w:val="3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4</w:t>
      </w:r>
    </w:p>
    <w:p>
      <w:r>
        <w:fldChar w:fldCharType="end"/>
      </w: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213中国共产党隆尧县委员会统一战线工作部</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596.20</w:t>
            </w:r>
          </w:p>
        </w:tc>
        <w:tc>
          <w:tcPr>
            <w:tcW w:w="4535" w:type="dxa"/>
            <w:vAlign w:val="center"/>
          </w:tcPr>
          <w:p>
            <w:pPr>
              <w:pStyle w:val="12"/>
            </w:pPr>
            <w:r>
              <w:t>一、一般公共服务支出</w:t>
            </w:r>
          </w:p>
        </w:tc>
        <w:tc>
          <w:tcPr>
            <w:tcW w:w="2126" w:type="dxa"/>
            <w:vAlign w:val="center"/>
          </w:tcPr>
          <w:p>
            <w:pPr>
              <w:pStyle w:val="11"/>
            </w:pPr>
            <w:r>
              <w:t>219.82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348.56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596.20</w:t>
            </w:r>
          </w:p>
        </w:tc>
        <w:tc>
          <w:tcPr>
            <w:tcW w:w="4535" w:type="dxa"/>
            <w:vAlign w:val="center"/>
          </w:tcPr>
          <w:p>
            <w:pPr>
              <w:pStyle w:val="14"/>
            </w:pPr>
            <w:r>
              <w:t>本年支出合计</w:t>
            </w:r>
          </w:p>
        </w:tc>
        <w:tc>
          <w:tcPr>
            <w:tcW w:w="2126" w:type="dxa"/>
            <w:vAlign w:val="center"/>
          </w:tcPr>
          <w:p>
            <w:pPr>
              <w:pStyle w:val="15"/>
            </w:pPr>
            <w:r>
              <w:t>596.20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596.20</w:t>
            </w:r>
          </w:p>
        </w:tc>
        <w:tc>
          <w:tcPr>
            <w:tcW w:w="4535" w:type="dxa"/>
            <w:vAlign w:val="center"/>
          </w:tcPr>
          <w:p>
            <w:pPr>
              <w:pStyle w:val="14"/>
            </w:pPr>
            <w:r>
              <w:t>支出总计</w:t>
            </w:r>
          </w:p>
        </w:tc>
        <w:tc>
          <w:tcPr>
            <w:tcW w:w="2126" w:type="dxa"/>
            <w:vAlign w:val="center"/>
          </w:tcPr>
          <w:p>
            <w:pPr>
              <w:pStyle w:val="15"/>
            </w:pPr>
            <w:r>
              <w:t>596.20</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213中国共产党隆尧县委员会统一战线工作部</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596.20</w:t>
            </w:r>
          </w:p>
        </w:tc>
        <w:tc>
          <w:tcPr>
            <w:tcW w:w="1134" w:type="dxa"/>
            <w:vAlign w:val="center"/>
          </w:tcPr>
          <w:p>
            <w:pPr>
              <w:pStyle w:val="15"/>
            </w:pPr>
            <w:r>
              <w:t>596.20</w:t>
            </w:r>
          </w:p>
        </w:tc>
        <w:tc>
          <w:tcPr>
            <w:tcW w:w="1134" w:type="dxa"/>
            <w:vAlign w:val="center"/>
          </w:tcPr>
          <w:p>
            <w:pPr>
              <w:pStyle w:val="15"/>
            </w:pPr>
            <w:r>
              <w:t>596.20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219.82</w:t>
            </w:r>
          </w:p>
        </w:tc>
        <w:tc>
          <w:tcPr>
            <w:tcW w:w="1134" w:type="dxa"/>
            <w:vAlign w:val="center"/>
          </w:tcPr>
          <w:p>
            <w:pPr>
              <w:pStyle w:val="11"/>
            </w:pPr>
            <w:r>
              <w:t>219.82</w:t>
            </w:r>
          </w:p>
        </w:tc>
        <w:tc>
          <w:tcPr>
            <w:tcW w:w="1134" w:type="dxa"/>
            <w:vAlign w:val="center"/>
          </w:tcPr>
          <w:p>
            <w:pPr>
              <w:pStyle w:val="11"/>
            </w:pPr>
            <w:r>
              <w:t>219.82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20128</w:t>
            </w:r>
          </w:p>
        </w:tc>
        <w:tc>
          <w:tcPr>
            <w:tcW w:w="1559" w:type="dxa"/>
            <w:vAlign w:val="center"/>
          </w:tcPr>
          <w:p>
            <w:pPr>
              <w:pStyle w:val="12"/>
            </w:pPr>
            <w:r>
              <w:t>民主党派及工商联事务</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2012801</w:t>
            </w:r>
          </w:p>
        </w:tc>
        <w:tc>
          <w:tcPr>
            <w:tcW w:w="1559" w:type="dxa"/>
            <w:vAlign w:val="center"/>
          </w:tcPr>
          <w:p>
            <w:pPr>
              <w:pStyle w:val="12"/>
            </w:pPr>
            <w:r>
              <w:t>行政运行</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20134</w:t>
            </w:r>
          </w:p>
        </w:tc>
        <w:tc>
          <w:tcPr>
            <w:tcW w:w="1559" w:type="dxa"/>
            <w:vAlign w:val="center"/>
          </w:tcPr>
          <w:p>
            <w:pPr>
              <w:pStyle w:val="12"/>
            </w:pPr>
            <w:r>
              <w:t>统战事务</w:t>
            </w:r>
          </w:p>
        </w:tc>
        <w:tc>
          <w:tcPr>
            <w:tcW w:w="1134" w:type="dxa"/>
            <w:vAlign w:val="center"/>
          </w:tcPr>
          <w:p>
            <w:pPr>
              <w:pStyle w:val="11"/>
            </w:pPr>
            <w:r>
              <w:t>196.82</w:t>
            </w:r>
          </w:p>
        </w:tc>
        <w:tc>
          <w:tcPr>
            <w:tcW w:w="1134" w:type="dxa"/>
            <w:vAlign w:val="center"/>
          </w:tcPr>
          <w:p>
            <w:pPr>
              <w:pStyle w:val="11"/>
            </w:pPr>
            <w:r>
              <w:t>196.82</w:t>
            </w:r>
          </w:p>
        </w:tc>
        <w:tc>
          <w:tcPr>
            <w:tcW w:w="1134" w:type="dxa"/>
            <w:vAlign w:val="center"/>
          </w:tcPr>
          <w:p>
            <w:pPr>
              <w:pStyle w:val="11"/>
            </w:pPr>
            <w:r>
              <w:t>196.82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2013401</w:t>
            </w:r>
          </w:p>
        </w:tc>
        <w:tc>
          <w:tcPr>
            <w:tcW w:w="1559" w:type="dxa"/>
            <w:vAlign w:val="center"/>
          </w:tcPr>
          <w:p>
            <w:pPr>
              <w:pStyle w:val="12"/>
            </w:pPr>
            <w:r>
              <w:t>行政运行</w:t>
            </w:r>
          </w:p>
        </w:tc>
        <w:tc>
          <w:tcPr>
            <w:tcW w:w="1134" w:type="dxa"/>
            <w:vAlign w:val="center"/>
          </w:tcPr>
          <w:p>
            <w:pPr>
              <w:pStyle w:val="11"/>
            </w:pPr>
            <w:r>
              <w:t>168.27</w:t>
            </w:r>
          </w:p>
        </w:tc>
        <w:tc>
          <w:tcPr>
            <w:tcW w:w="1134" w:type="dxa"/>
            <w:vAlign w:val="center"/>
          </w:tcPr>
          <w:p>
            <w:pPr>
              <w:pStyle w:val="11"/>
            </w:pPr>
            <w:r>
              <w:t>168.27</w:t>
            </w:r>
          </w:p>
        </w:tc>
        <w:tc>
          <w:tcPr>
            <w:tcW w:w="1134" w:type="dxa"/>
            <w:vAlign w:val="center"/>
          </w:tcPr>
          <w:p>
            <w:pPr>
              <w:pStyle w:val="11"/>
            </w:pPr>
            <w:r>
              <w:t>168.27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2013404</w:t>
            </w:r>
          </w:p>
        </w:tc>
        <w:tc>
          <w:tcPr>
            <w:tcW w:w="1559" w:type="dxa"/>
            <w:vAlign w:val="center"/>
          </w:tcPr>
          <w:p>
            <w:pPr>
              <w:pStyle w:val="12"/>
            </w:pPr>
            <w:r>
              <w:t>宗教事务</w:t>
            </w:r>
          </w:p>
        </w:tc>
        <w:tc>
          <w:tcPr>
            <w:tcW w:w="1134" w:type="dxa"/>
            <w:vAlign w:val="center"/>
          </w:tcPr>
          <w:p>
            <w:pPr>
              <w:pStyle w:val="11"/>
            </w:pPr>
            <w:r>
              <w:t>28.55</w:t>
            </w:r>
          </w:p>
        </w:tc>
        <w:tc>
          <w:tcPr>
            <w:tcW w:w="1134" w:type="dxa"/>
            <w:vAlign w:val="center"/>
          </w:tcPr>
          <w:p>
            <w:pPr>
              <w:pStyle w:val="11"/>
            </w:pPr>
            <w:r>
              <w:t>28.55</w:t>
            </w:r>
          </w:p>
        </w:tc>
        <w:tc>
          <w:tcPr>
            <w:tcW w:w="1134" w:type="dxa"/>
            <w:vAlign w:val="center"/>
          </w:tcPr>
          <w:p>
            <w:pPr>
              <w:pStyle w:val="11"/>
            </w:pPr>
            <w:r>
              <w:t>28.55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11.46</w:t>
            </w:r>
          </w:p>
        </w:tc>
        <w:tc>
          <w:tcPr>
            <w:tcW w:w="1134" w:type="dxa"/>
            <w:vAlign w:val="center"/>
          </w:tcPr>
          <w:p>
            <w:pPr>
              <w:pStyle w:val="11"/>
            </w:pPr>
            <w:r>
              <w:t>11.46</w:t>
            </w:r>
          </w:p>
        </w:tc>
        <w:tc>
          <w:tcPr>
            <w:tcW w:w="1134" w:type="dxa"/>
            <w:vAlign w:val="center"/>
          </w:tcPr>
          <w:p>
            <w:pPr>
              <w:pStyle w:val="11"/>
            </w:pPr>
            <w:r>
              <w:t>11.46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11.46</w:t>
            </w:r>
          </w:p>
        </w:tc>
        <w:tc>
          <w:tcPr>
            <w:tcW w:w="1134" w:type="dxa"/>
            <w:vAlign w:val="center"/>
          </w:tcPr>
          <w:p>
            <w:pPr>
              <w:pStyle w:val="11"/>
            </w:pPr>
            <w:r>
              <w:t>11.46</w:t>
            </w:r>
          </w:p>
        </w:tc>
        <w:tc>
          <w:tcPr>
            <w:tcW w:w="1134" w:type="dxa"/>
            <w:vAlign w:val="center"/>
          </w:tcPr>
          <w:p>
            <w:pPr>
              <w:pStyle w:val="11"/>
            </w:pPr>
            <w:r>
              <w:t>11.46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11.46</w:t>
            </w:r>
          </w:p>
        </w:tc>
        <w:tc>
          <w:tcPr>
            <w:tcW w:w="1134" w:type="dxa"/>
            <w:vAlign w:val="center"/>
          </w:tcPr>
          <w:p>
            <w:pPr>
              <w:pStyle w:val="11"/>
            </w:pPr>
            <w:r>
              <w:t>11.46</w:t>
            </w:r>
          </w:p>
        </w:tc>
        <w:tc>
          <w:tcPr>
            <w:tcW w:w="1134" w:type="dxa"/>
            <w:vAlign w:val="center"/>
          </w:tcPr>
          <w:p>
            <w:pPr>
              <w:pStyle w:val="11"/>
            </w:pPr>
            <w:r>
              <w:t>11.46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5.78</w:t>
            </w:r>
          </w:p>
        </w:tc>
        <w:tc>
          <w:tcPr>
            <w:tcW w:w="1134" w:type="dxa"/>
            <w:vAlign w:val="center"/>
          </w:tcPr>
          <w:p>
            <w:pPr>
              <w:pStyle w:val="11"/>
            </w:pPr>
            <w:r>
              <w:t>5.78</w:t>
            </w:r>
          </w:p>
        </w:tc>
        <w:tc>
          <w:tcPr>
            <w:tcW w:w="1134" w:type="dxa"/>
            <w:vAlign w:val="center"/>
          </w:tcPr>
          <w:p>
            <w:pPr>
              <w:pStyle w:val="11"/>
            </w:pPr>
            <w:r>
              <w:t>5.78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5.78</w:t>
            </w:r>
          </w:p>
        </w:tc>
        <w:tc>
          <w:tcPr>
            <w:tcW w:w="1134" w:type="dxa"/>
            <w:vAlign w:val="center"/>
          </w:tcPr>
          <w:p>
            <w:pPr>
              <w:pStyle w:val="11"/>
            </w:pPr>
            <w:r>
              <w:t>5.78</w:t>
            </w:r>
          </w:p>
        </w:tc>
        <w:tc>
          <w:tcPr>
            <w:tcW w:w="1134" w:type="dxa"/>
            <w:vAlign w:val="center"/>
          </w:tcPr>
          <w:p>
            <w:pPr>
              <w:pStyle w:val="11"/>
            </w:pPr>
            <w:r>
              <w:t>5.78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5.78</w:t>
            </w:r>
          </w:p>
        </w:tc>
        <w:tc>
          <w:tcPr>
            <w:tcW w:w="1134" w:type="dxa"/>
            <w:vAlign w:val="center"/>
          </w:tcPr>
          <w:p>
            <w:pPr>
              <w:pStyle w:val="11"/>
            </w:pPr>
            <w:r>
              <w:t>5.78</w:t>
            </w:r>
          </w:p>
        </w:tc>
        <w:tc>
          <w:tcPr>
            <w:tcW w:w="1134" w:type="dxa"/>
            <w:vAlign w:val="center"/>
          </w:tcPr>
          <w:p>
            <w:pPr>
              <w:pStyle w:val="11"/>
            </w:pPr>
            <w:r>
              <w:t>5.78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348.56</w:t>
            </w:r>
          </w:p>
        </w:tc>
        <w:tc>
          <w:tcPr>
            <w:tcW w:w="1134" w:type="dxa"/>
            <w:vAlign w:val="center"/>
          </w:tcPr>
          <w:p>
            <w:pPr>
              <w:pStyle w:val="11"/>
            </w:pPr>
            <w:r>
              <w:t>348.56</w:t>
            </w:r>
          </w:p>
        </w:tc>
        <w:tc>
          <w:tcPr>
            <w:tcW w:w="1134" w:type="dxa"/>
            <w:vAlign w:val="center"/>
          </w:tcPr>
          <w:p>
            <w:pPr>
              <w:pStyle w:val="11"/>
            </w:pPr>
            <w:r>
              <w:t>348.56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21602</w:t>
            </w:r>
          </w:p>
        </w:tc>
        <w:tc>
          <w:tcPr>
            <w:tcW w:w="1559" w:type="dxa"/>
            <w:vAlign w:val="center"/>
          </w:tcPr>
          <w:p>
            <w:pPr>
              <w:pStyle w:val="12"/>
            </w:pPr>
            <w:r>
              <w:t>商业流通事务</w:t>
            </w:r>
          </w:p>
        </w:tc>
        <w:tc>
          <w:tcPr>
            <w:tcW w:w="1134" w:type="dxa"/>
            <w:vAlign w:val="center"/>
          </w:tcPr>
          <w:p>
            <w:pPr>
              <w:pStyle w:val="11"/>
            </w:pPr>
            <w:r>
              <w:t>348.56</w:t>
            </w:r>
          </w:p>
        </w:tc>
        <w:tc>
          <w:tcPr>
            <w:tcW w:w="1134" w:type="dxa"/>
            <w:vAlign w:val="center"/>
          </w:tcPr>
          <w:p>
            <w:pPr>
              <w:pStyle w:val="11"/>
            </w:pPr>
            <w:r>
              <w:t>348.56</w:t>
            </w:r>
          </w:p>
        </w:tc>
        <w:tc>
          <w:tcPr>
            <w:tcW w:w="1134" w:type="dxa"/>
            <w:vAlign w:val="center"/>
          </w:tcPr>
          <w:p>
            <w:pPr>
              <w:pStyle w:val="11"/>
            </w:pPr>
            <w:r>
              <w:t>348.56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2160219</w:t>
            </w:r>
          </w:p>
        </w:tc>
        <w:tc>
          <w:tcPr>
            <w:tcW w:w="1559" w:type="dxa"/>
            <w:vAlign w:val="center"/>
          </w:tcPr>
          <w:p>
            <w:pPr>
              <w:pStyle w:val="12"/>
            </w:pPr>
            <w:r>
              <w:t>民贸民品贷款贴息</w:t>
            </w:r>
          </w:p>
        </w:tc>
        <w:tc>
          <w:tcPr>
            <w:tcW w:w="1134" w:type="dxa"/>
            <w:vAlign w:val="center"/>
          </w:tcPr>
          <w:p>
            <w:pPr>
              <w:pStyle w:val="11"/>
            </w:pPr>
            <w:r>
              <w:t>348.56</w:t>
            </w:r>
          </w:p>
        </w:tc>
        <w:tc>
          <w:tcPr>
            <w:tcW w:w="1134" w:type="dxa"/>
            <w:vAlign w:val="center"/>
          </w:tcPr>
          <w:p>
            <w:pPr>
              <w:pStyle w:val="11"/>
            </w:pPr>
            <w:r>
              <w:t>348.56</w:t>
            </w:r>
          </w:p>
        </w:tc>
        <w:tc>
          <w:tcPr>
            <w:tcW w:w="1134" w:type="dxa"/>
            <w:vAlign w:val="center"/>
          </w:tcPr>
          <w:p>
            <w:pPr>
              <w:pStyle w:val="11"/>
            </w:pPr>
            <w:r>
              <w:t>348.56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10.58</w:t>
            </w:r>
          </w:p>
        </w:tc>
        <w:tc>
          <w:tcPr>
            <w:tcW w:w="1134" w:type="dxa"/>
            <w:vAlign w:val="center"/>
          </w:tcPr>
          <w:p>
            <w:pPr>
              <w:pStyle w:val="11"/>
            </w:pPr>
            <w:r>
              <w:t>10.58</w:t>
            </w:r>
          </w:p>
        </w:tc>
        <w:tc>
          <w:tcPr>
            <w:tcW w:w="1134" w:type="dxa"/>
            <w:vAlign w:val="center"/>
          </w:tcPr>
          <w:p>
            <w:pPr>
              <w:pStyle w:val="11"/>
            </w:pPr>
            <w:r>
              <w:t>10.58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10.58</w:t>
            </w:r>
          </w:p>
        </w:tc>
        <w:tc>
          <w:tcPr>
            <w:tcW w:w="1134" w:type="dxa"/>
            <w:vAlign w:val="center"/>
          </w:tcPr>
          <w:p>
            <w:pPr>
              <w:pStyle w:val="11"/>
            </w:pPr>
            <w:r>
              <w:t>10.58</w:t>
            </w:r>
          </w:p>
        </w:tc>
        <w:tc>
          <w:tcPr>
            <w:tcW w:w="1134" w:type="dxa"/>
            <w:vAlign w:val="center"/>
          </w:tcPr>
          <w:p>
            <w:pPr>
              <w:pStyle w:val="11"/>
            </w:pPr>
            <w:r>
              <w:t>10.58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10.58</w:t>
            </w:r>
          </w:p>
        </w:tc>
        <w:tc>
          <w:tcPr>
            <w:tcW w:w="1134" w:type="dxa"/>
            <w:vAlign w:val="center"/>
          </w:tcPr>
          <w:p>
            <w:pPr>
              <w:pStyle w:val="11"/>
            </w:pPr>
            <w:r>
              <w:t>10.58</w:t>
            </w:r>
          </w:p>
        </w:tc>
        <w:tc>
          <w:tcPr>
            <w:tcW w:w="1134" w:type="dxa"/>
            <w:vAlign w:val="center"/>
          </w:tcPr>
          <w:p>
            <w:pPr>
              <w:pStyle w:val="11"/>
            </w:pPr>
            <w:r>
              <w:t>10.58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213中国共产党隆尧县委员会统一战线工作部</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596.20</w:t>
            </w:r>
          </w:p>
        </w:tc>
        <w:tc>
          <w:tcPr>
            <w:tcW w:w="1361" w:type="dxa"/>
            <w:vAlign w:val="center"/>
          </w:tcPr>
          <w:p>
            <w:pPr>
              <w:pStyle w:val="15"/>
            </w:pPr>
            <w:r>
              <w:t>143.91</w:t>
            </w:r>
          </w:p>
        </w:tc>
        <w:tc>
          <w:tcPr>
            <w:tcW w:w="1361" w:type="dxa"/>
            <w:vAlign w:val="center"/>
          </w:tcPr>
          <w:p>
            <w:pPr>
              <w:pStyle w:val="15"/>
            </w:pPr>
            <w:r>
              <w:t>452.29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6" w:type="dxa"/>
            <w:vAlign w:val="center"/>
          </w:tcPr>
          <w:p>
            <w:pPr>
              <w:pStyle w:val="12"/>
            </w:pPr>
            <w:r>
              <w:t>一般公共服务支出</w:t>
            </w:r>
          </w:p>
        </w:tc>
        <w:tc>
          <w:tcPr>
            <w:tcW w:w="1361" w:type="dxa"/>
            <w:vAlign w:val="center"/>
          </w:tcPr>
          <w:p>
            <w:pPr>
              <w:pStyle w:val="11"/>
            </w:pPr>
            <w:r>
              <w:t>219.82</w:t>
            </w:r>
          </w:p>
        </w:tc>
        <w:tc>
          <w:tcPr>
            <w:tcW w:w="1361" w:type="dxa"/>
            <w:vAlign w:val="center"/>
          </w:tcPr>
          <w:p>
            <w:pPr>
              <w:pStyle w:val="11"/>
            </w:pPr>
            <w:r>
              <w:t>116.09</w:t>
            </w:r>
          </w:p>
        </w:tc>
        <w:tc>
          <w:tcPr>
            <w:tcW w:w="1361" w:type="dxa"/>
            <w:vAlign w:val="center"/>
          </w:tcPr>
          <w:p>
            <w:pPr>
              <w:pStyle w:val="11"/>
            </w:pPr>
            <w:r>
              <w:t>103.73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20128</w:t>
            </w:r>
          </w:p>
        </w:tc>
        <w:tc>
          <w:tcPr>
            <w:tcW w:w="4536" w:type="dxa"/>
            <w:vAlign w:val="center"/>
          </w:tcPr>
          <w:p>
            <w:pPr>
              <w:pStyle w:val="12"/>
            </w:pPr>
            <w:r>
              <w:t>民主党派及工商联事务</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2012801</w:t>
            </w:r>
          </w:p>
        </w:tc>
        <w:tc>
          <w:tcPr>
            <w:tcW w:w="4536" w:type="dxa"/>
            <w:vAlign w:val="center"/>
          </w:tcPr>
          <w:p>
            <w:pPr>
              <w:pStyle w:val="12"/>
            </w:pPr>
            <w:r>
              <w:t>行政运行</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20134</w:t>
            </w:r>
          </w:p>
        </w:tc>
        <w:tc>
          <w:tcPr>
            <w:tcW w:w="4536" w:type="dxa"/>
            <w:vAlign w:val="center"/>
          </w:tcPr>
          <w:p>
            <w:pPr>
              <w:pStyle w:val="12"/>
            </w:pPr>
            <w:r>
              <w:t>统战事务</w:t>
            </w:r>
          </w:p>
        </w:tc>
        <w:tc>
          <w:tcPr>
            <w:tcW w:w="1361" w:type="dxa"/>
            <w:vAlign w:val="center"/>
          </w:tcPr>
          <w:p>
            <w:pPr>
              <w:pStyle w:val="11"/>
            </w:pPr>
            <w:r>
              <w:t>196.82</w:t>
            </w:r>
          </w:p>
        </w:tc>
        <w:tc>
          <w:tcPr>
            <w:tcW w:w="1361" w:type="dxa"/>
            <w:vAlign w:val="center"/>
          </w:tcPr>
          <w:p>
            <w:pPr>
              <w:pStyle w:val="11"/>
            </w:pPr>
            <w:r>
              <w:t>116.09</w:t>
            </w:r>
          </w:p>
        </w:tc>
        <w:tc>
          <w:tcPr>
            <w:tcW w:w="1361" w:type="dxa"/>
            <w:vAlign w:val="center"/>
          </w:tcPr>
          <w:p>
            <w:pPr>
              <w:pStyle w:val="11"/>
            </w:pPr>
            <w:r>
              <w:t>80.73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2013401</w:t>
            </w:r>
          </w:p>
        </w:tc>
        <w:tc>
          <w:tcPr>
            <w:tcW w:w="4536" w:type="dxa"/>
            <w:vAlign w:val="center"/>
          </w:tcPr>
          <w:p>
            <w:pPr>
              <w:pStyle w:val="12"/>
            </w:pPr>
            <w:r>
              <w:t>行政运行</w:t>
            </w:r>
          </w:p>
        </w:tc>
        <w:tc>
          <w:tcPr>
            <w:tcW w:w="1361" w:type="dxa"/>
            <w:vAlign w:val="center"/>
          </w:tcPr>
          <w:p>
            <w:pPr>
              <w:pStyle w:val="11"/>
            </w:pPr>
            <w:r>
              <w:t>168.27</w:t>
            </w:r>
          </w:p>
        </w:tc>
        <w:tc>
          <w:tcPr>
            <w:tcW w:w="1361" w:type="dxa"/>
            <w:vAlign w:val="center"/>
          </w:tcPr>
          <w:p>
            <w:pPr>
              <w:pStyle w:val="11"/>
            </w:pPr>
            <w:r>
              <w:t>116.09</w:t>
            </w:r>
          </w:p>
        </w:tc>
        <w:tc>
          <w:tcPr>
            <w:tcW w:w="1361" w:type="dxa"/>
            <w:vAlign w:val="center"/>
          </w:tcPr>
          <w:p>
            <w:pPr>
              <w:pStyle w:val="11"/>
            </w:pPr>
            <w:r>
              <w:t>52.18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2013404</w:t>
            </w:r>
          </w:p>
        </w:tc>
        <w:tc>
          <w:tcPr>
            <w:tcW w:w="4536" w:type="dxa"/>
            <w:vAlign w:val="center"/>
          </w:tcPr>
          <w:p>
            <w:pPr>
              <w:pStyle w:val="12"/>
            </w:pPr>
            <w:r>
              <w:t>宗教事务</w:t>
            </w:r>
          </w:p>
        </w:tc>
        <w:tc>
          <w:tcPr>
            <w:tcW w:w="1361" w:type="dxa"/>
            <w:vAlign w:val="center"/>
          </w:tcPr>
          <w:p>
            <w:pPr>
              <w:pStyle w:val="11"/>
            </w:pPr>
            <w:r>
              <w:t>28.55</w:t>
            </w:r>
          </w:p>
        </w:tc>
        <w:tc>
          <w:tcPr>
            <w:tcW w:w="1361" w:type="dxa"/>
            <w:vAlign w:val="center"/>
          </w:tcPr>
          <w:p>
            <w:pPr>
              <w:pStyle w:val="11"/>
            </w:pPr>
          </w:p>
        </w:tc>
        <w:tc>
          <w:tcPr>
            <w:tcW w:w="1361" w:type="dxa"/>
            <w:vAlign w:val="center"/>
          </w:tcPr>
          <w:p>
            <w:pPr>
              <w:pStyle w:val="11"/>
            </w:pPr>
            <w:r>
              <w:t>28.55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11.46</w:t>
            </w:r>
          </w:p>
        </w:tc>
        <w:tc>
          <w:tcPr>
            <w:tcW w:w="1361" w:type="dxa"/>
            <w:vAlign w:val="center"/>
          </w:tcPr>
          <w:p>
            <w:pPr>
              <w:pStyle w:val="11"/>
            </w:pPr>
            <w:r>
              <w:t>11.46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11.46</w:t>
            </w:r>
          </w:p>
        </w:tc>
        <w:tc>
          <w:tcPr>
            <w:tcW w:w="1361" w:type="dxa"/>
            <w:vAlign w:val="center"/>
          </w:tcPr>
          <w:p>
            <w:pPr>
              <w:pStyle w:val="11"/>
            </w:pPr>
            <w:r>
              <w:t>11.46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11.46</w:t>
            </w:r>
          </w:p>
        </w:tc>
        <w:tc>
          <w:tcPr>
            <w:tcW w:w="1361" w:type="dxa"/>
            <w:vAlign w:val="center"/>
          </w:tcPr>
          <w:p>
            <w:pPr>
              <w:pStyle w:val="11"/>
            </w:pPr>
            <w:r>
              <w:t>11.46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5.78</w:t>
            </w:r>
          </w:p>
        </w:tc>
        <w:tc>
          <w:tcPr>
            <w:tcW w:w="1361" w:type="dxa"/>
            <w:vAlign w:val="center"/>
          </w:tcPr>
          <w:p>
            <w:pPr>
              <w:pStyle w:val="11"/>
            </w:pPr>
            <w:r>
              <w:t>5.78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5.78</w:t>
            </w:r>
          </w:p>
        </w:tc>
        <w:tc>
          <w:tcPr>
            <w:tcW w:w="1361" w:type="dxa"/>
            <w:vAlign w:val="center"/>
          </w:tcPr>
          <w:p>
            <w:pPr>
              <w:pStyle w:val="11"/>
            </w:pPr>
            <w:r>
              <w:t>5.78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5.78</w:t>
            </w:r>
          </w:p>
        </w:tc>
        <w:tc>
          <w:tcPr>
            <w:tcW w:w="1361" w:type="dxa"/>
            <w:vAlign w:val="center"/>
          </w:tcPr>
          <w:p>
            <w:pPr>
              <w:pStyle w:val="11"/>
            </w:pPr>
            <w:r>
              <w:t>5.78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216</w:t>
            </w:r>
          </w:p>
        </w:tc>
        <w:tc>
          <w:tcPr>
            <w:tcW w:w="4536" w:type="dxa"/>
            <w:vAlign w:val="center"/>
          </w:tcPr>
          <w:p>
            <w:pPr>
              <w:pStyle w:val="12"/>
            </w:pPr>
            <w:r>
              <w:t>商业服务业等支出</w:t>
            </w:r>
          </w:p>
        </w:tc>
        <w:tc>
          <w:tcPr>
            <w:tcW w:w="1361" w:type="dxa"/>
            <w:vAlign w:val="center"/>
          </w:tcPr>
          <w:p>
            <w:pPr>
              <w:pStyle w:val="11"/>
            </w:pPr>
            <w:r>
              <w:t>348.56</w:t>
            </w:r>
          </w:p>
        </w:tc>
        <w:tc>
          <w:tcPr>
            <w:tcW w:w="1361" w:type="dxa"/>
            <w:vAlign w:val="center"/>
          </w:tcPr>
          <w:p>
            <w:pPr>
              <w:pStyle w:val="11"/>
            </w:pPr>
          </w:p>
        </w:tc>
        <w:tc>
          <w:tcPr>
            <w:tcW w:w="1361" w:type="dxa"/>
            <w:vAlign w:val="center"/>
          </w:tcPr>
          <w:p>
            <w:pPr>
              <w:pStyle w:val="11"/>
            </w:pPr>
            <w:r>
              <w:t>348.56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21602</w:t>
            </w:r>
          </w:p>
        </w:tc>
        <w:tc>
          <w:tcPr>
            <w:tcW w:w="4536" w:type="dxa"/>
            <w:vAlign w:val="center"/>
          </w:tcPr>
          <w:p>
            <w:pPr>
              <w:pStyle w:val="12"/>
            </w:pPr>
            <w:r>
              <w:t>商业流通事务</w:t>
            </w:r>
          </w:p>
        </w:tc>
        <w:tc>
          <w:tcPr>
            <w:tcW w:w="1361" w:type="dxa"/>
            <w:vAlign w:val="center"/>
          </w:tcPr>
          <w:p>
            <w:pPr>
              <w:pStyle w:val="11"/>
            </w:pPr>
            <w:r>
              <w:t>348.56</w:t>
            </w:r>
          </w:p>
        </w:tc>
        <w:tc>
          <w:tcPr>
            <w:tcW w:w="1361" w:type="dxa"/>
            <w:vAlign w:val="center"/>
          </w:tcPr>
          <w:p>
            <w:pPr>
              <w:pStyle w:val="11"/>
            </w:pPr>
          </w:p>
        </w:tc>
        <w:tc>
          <w:tcPr>
            <w:tcW w:w="1361" w:type="dxa"/>
            <w:vAlign w:val="center"/>
          </w:tcPr>
          <w:p>
            <w:pPr>
              <w:pStyle w:val="11"/>
            </w:pPr>
            <w:r>
              <w:t>348.56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2160219</w:t>
            </w:r>
          </w:p>
        </w:tc>
        <w:tc>
          <w:tcPr>
            <w:tcW w:w="4536" w:type="dxa"/>
            <w:vAlign w:val="center"/>
          </w:tcPr>
          <w:p>
            <w:pPr>
              <w:pStyle w:val="12"/>
            </w:pPr>
            <w:r>
              <w:t>民贸民品贷款贴息</w:t>
            </w:r>
          </w:p>
        </w:tc>
        <w:tc>
          <w:tcPr>
            <w:tcW w:w="1361" w:type="dxa"/>
            <w:vAlign w:val="center"/>
          </w:tcPr>
          <w:p>
            <w:pPr>
              <w:pStyle w:val="11"/>
            </w:pPr>
            <w:r>
              <w:t>348.56</w:t>
            </w:r>
          </w:p>
        </w:tc>
        <w:tc>
          <w:tcPr>
            <w:tcW w:w="1361" w:type="dxa"/>
            <w:vAlign w:val="center"/>
          </w:tcPr>
          <w:p>
            <w:pPr>
              <w:pStyle w:val="11"/>
            </w:pPr>
          </w:p>
        </w:tc>
        <w:tc>
          <w:tcPr>
            <w:tcW w:w="1361" w:type="dxa"/>
            <w:vAlign w:val="center"/>
          </w:tcPr>
          <w:p>
            <w:pPr>
              <w:pStyle w:val="11"/>
            </w:pPr>
            <w:r>
              <w:t>348.56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10.58</w:t>
            </w:r>
          </w:p>
        </w:tc>
        <w:tc>
          <w:tcPr>
            <w:tcW w:w="1361" w:type="dxa"/>
            <w:vAlign w:val="center"/>
          </w:tcPr>
          <w:p>
            <w:pPr>
              <w:pStyle w:val="11"/>
            </w:pPr>
            <w:r>
              <w:t>10.58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10.58</w:t>
            </w:r>
          </w:p>
        </w:tc>
        <w:tc>
          <w:tcPr>
            <w:tcW w:w="1361" w:type="dxa"/>
            <w:vAlign w:val="center"/>
          </w:tcPr>
          <w:p>
            <w:pPr>
              <w:pStyle w:val="11"/>
            </w:pPr>
            <w:r>
              <w:t>10.58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10.58</w:t>
            </w:r>
          </w:p>
        </w:tc>
        <w:tc>
          <w:tcPr>
            <w:tcW w:w="1361" w:type="dxa"/>
            <w:vAlign w:val="center"/>
          </w:tcPr>
          <w:p>
            <w:pPr>
              <w:pStyle w:val="11"/>
            </w:pPr>
            <w:r>
              <w:t>10.58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213中国共产党隆尧县委员会统一战线工作部</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596.20</w:t>
            </w:r>
          </w:p>
        </w:tc>
        <w:tc>
          <w:tcPr>
            <w:tcW w:w="3402" w:type="dxa"/>
            <w:vAlign w:val="center"/>
          </w:tcPr>
          <w:p>
            <w:pPr>
              <w:pStyle w:val="12"/>
            </w:pPr>
            <w:r>
              <w:t>一、一般公共服务支出</w:t>
            </w:r>
          </w:p>
        </w:tc>
        <w:tc>
          <w:tcPr>
            <w:tcW w:w="1474" w:type="dxa"/>
            <w:vAlign w:val="center"/>
          </w:tcPr>
          <w:p>
            <w:pPr>
              <w:pStyle w:val="11"/>
            </w:pPr>
            <w:r>
              <w:t>219.82</w:t>
            </w:r>
          </w:p>
        </w:tc>
        <w:tc>
          <w:tcPr>
            <w:tcW w:w="1474" w:type="dxa"/>
            <w:vAlign w:val="center"/>
          </w:tcPr>
          <w:p>
            <w:pPr>
              <w:pStyle w:val="11"/>
            </w:pPr>
            <w:r>
              <w:t>219.82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11.46</w:t>
            </w:r>
          </w:p>
        </w:tc>
        <w:tc>
          <w:tcPr>
            <w:tcW w:w="1474" w:type="dxa"/>
            <w:vAlign w:val="center"/>
          </w:tcPr>
          <w:p>
            <w:pPr>
              <w:pStyle w:val="11"/>
            </w:pPr>
            <w:r>
              <w:t>11.46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5.78</w:t>
            </w:r>
          </w:p>
        </w:tc>
        <w:tc>
          <w:tcPr>
            <w:tcW w:w="1474" w:type="dxa"/>
            <w:vAlign w:val="center"/>
          </w:tcPr>
          <w:p>
            <w:pPr>
              <w:pStyle w:val="11"/>
            </w:pPr>
            <w:r>
              <w:t>5.78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348.56</w:t>
            </w:r>
          </w:p>
        </w:tc>
        <w:tc>
          <w:tcPr>
            <w:tcW w:w="1474" w:type="dxa"/>
            <w:vAlign w:val="center"/>
          </w:tcPr>
          <w:p>
            <w:pPr>
              <w:pStyle w:val="11"/>
            </w:pPr>
            <w:r>
              <w:t>348.56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10.58</w:t>
            </w:r>
          </w:p>
        </w:tc>
        <w:tc>
          <w:tcPr>
            <w:tcW w:w="1474" w:type="dxa"/>
            <w:vAlign w:val="center"/>
          </w:tcPr>
          <w:p>
            <w:pPr>
              <w:pStyle w:val="11"/>
            </w:pPr>
            <w:r>
              <w:t>10.58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596.20</w:t>
            </w:r>
          </w:p>
        </w:tc>
        <w:tc>
          <w:tcPr>
            <w:tcW w:w="3402" w:type="dxa"/>
            <w:vAlign w:val="center"/>
          </w:tcPr>
          <w:p>
            <w:pPr>
              <w:pStyle w:val="14"/>
            </w:pPr>
            <w:r>
              <w:t>本年支出合计</w:t>
            </w:r>
          </w:p>
        </w:tc>
        <w:tc>
          <w:tcPr>
            <w:tcW w:w="1474" w:type="dxa"/>
            <w:vAlign w:val="center"/>
          </w:tcPr>
          <w:p>
            <w:pPr>
              <w:pStyle w:val="15"/>
            </w:pPr>
            <w:r>
              <w:t>596.20</w:t>
            </w:r>
          </w:p>
        </w:tc>
        <w:tc>
          <w:tcPr>
            <w:tcW w:w="1474" w:type="dxa"/>
            <w:vAlign w:val="center"/>
          </w:tcPr>
          <w:p>
            <w:pPr>
              <w:pStyle w:val="15"/>
            </w:pPr>
            <w:r>
              <w:t>596.20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596.20</w:t>
            </w:r>
          </w:p>
        </w:tc>
        <w:tc>
          <w:tcPr>
            <w:tcW w:w="3402" w:type="dxa"/>
            <w:vAlign w:val="center"/>
          </w:tcPr>
          <w:p>
            <w:pPr>
              <w:pStyle w:val="14"/>
            </w:pPr>
            <w:r>
              <w:t>支出总计</w:t>
            </w:r>
          </w:p>
        </w:tc>
        <w:tc>
          <w:tcPr>
            <w:tcW w:w="1474" w:type="dxa"/>
            <w:vAlign w:val="center"/>
          </w:tcPr>
          <w:p>
            <w:pPr>
              <w:pStyle w:val="15"/>
            </w:pPr>
            <w:r>
              <w:t>596.20</w:t>
            </w:r>
          </w:p>
        </w:tc>
        <w:tc>
          <w:tcPr>
            <w:tcW w:w="1474" w:type="dxa"/>
            <w:vAlign w:val="center"/>
          </w:tcPr>
          <w:p>
            <w:pPr>
              <w:pStyle w:val="15"/>
            </w:pPr>
            <w:r>
              <w:t>596.20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213中国共产党隆尧县委员会统一战线工作部</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596.20</w:t>
            </w:r>
          </w:p>
        </w:tc>
        <w:tc>
          <w:tcPr>
            <w:tcW w:w="2551" w:type="dxa"/>
            <w:vAlign w:val="center"/>
          </w:tcPr>
          <w:p>
            <w:pPr>
              <w:pStyle w:val="15"/>
            </w:pPr>
            <w:r>
              <w:t>143.91</w:t>
            </w:r>
          </w:p>
        </w:tc>
        <w:tc>
          <w:tcPr>
            <w:tcW w:w="2551" w:type="dxa"/>
            <w:vAlign w:val="center"/>
          </w:tcPr>
          <w:p>
            <w:pPr>
              <w:pStyle w:val="15"/>
            </w:pPr>
            <w:r>
              <w:t>452.29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219.82</w:t>
            </w:r>
          </w:p>
        </w:tc>
        <w:tc>
          <w:tcPr>
            <w:tcW w:w="2551" w:type="dxa"/>
            <w:vAlign w:val="center"/>
          </w:tcPr>
          <w:p>
            <w:pPr>
              <w:pStyle w:val="11"/>
            </w:pPr>
            <w:r>
              <w:t>116.09</w:t>
            </w:r>
          </w:p>
        </w:tc>
        <w:tc>
          <w:tcPr>
            <w:tcW w:w="2551" w:type="dxa"/>
            <w:vAlign w:val="center"/>
          </w:tcPr>
          <w:p>
            <w:pPr>
              <w:pStyle w:val="11"/>
            </w:pPr>
            <w:r>
              <w:t>103.73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20128</w:t>
            </w:r>
          </w:p>
        </w:tc>
        <w:tc>
          <w:tcPr>
            <w:tcW w:w="4535" w:type="dxa"/>
            <w:vAlign w:val="center"/>
          </w:tcPr>
          <w:p>
            <w:pPr>
              <w:pStyle w:val="12"/>
            </w:pPr>
            <w:r>
              <w:t>民主党派及工商联事务</w:t>
            </w:r>
          </w:p>
        </w:tc>
        <w:tc>
          <w:tcPr>
            <w:tcW w:w="2551" w:type="dxa"/>
            <w:vAlign w:val="center"/>
          </w:tcPr>
          <w:p>
            <w:pPr>
              <w:pStyle w:val="11"/>
            </w:pPr>
            <w:r>
              <w:t>23.00</w:t>
            </w:r>
          </w:p>
        </w:tc>
        <w:tc>
          <w:tcPr>
            <w:tcW w:w="2551" w:type="dxa"/>
            <w:vAlign w:val="center"/>
          </w:tcPr>
          <w:p>
            <w:pPr>
              <w:pStyle w:val="11"/>
            </w:pPr>
          </w:p>
        </w:tc>
        <w:tc>
          <w:tcPr>
            <w:tcW w:w="2551" w:type="dxa"/>
            <w:vAlign w:val="center"/>
          </w:tcPr>
          <w:p>
            <w:pPr>
              <w:pStyle w:val="11"/>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2012801</w:t>
            </w:r>
          </w:p>
        </w:tc>
        <w:tc>
          <w:tcPr>
            <w:tcW w:w="4535" w:type="dxa"/>
            <w:vAlign w:val="center"/>
          </w:tcPr>
          <w:p>
            <w:pPr>
              <w:pStyle w:val="12"/>
            </w:pPr>
            <w:r>
              <w:t>行政运行</w:t>
            </w:r>
          </w:p>
        </w:tc>
        <w:tc>
          <w:tcPr>
            <w:tcW w:w="2551" w:type="dxa"/>
            <w:vAlign w:val="center"/>
          </w:tcPr>
          <w:p>
            <w:pPr>
              <w:pStyle w:val="11"/>
            </w:pPr>
            <w:r>
              <w:t>23.00</w:t>
            </w:r>
          </w:p>
        </w:tc>
        <w:tc>
          <w:tcPr>
            <w:tcW w:w="2551" w:type="dxa"/>
            <w:vAlign w:val="center"/>
          </w:tcPr>
          <w:p>
            <w:pPr>
              <w:pStyle w:val="11"/>
            </w:pPr>
          </w:p>
        </w:tc>
        <w:tc>
          <w:tcPr>
            <w:tcW w:w="2551" w:type="dxa"/>
            <w:vAlign w:val="center"/>
          </w:tcPr>
          <w:p>
            <w:pPr>
              <w:pStyle w:val="11"/>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20134</w:t>
            </w:r>
          </w:p>
        </w:tc>
        <w:tc>
          <w:tcPr>
            <w:tcW w:w="4535" w:type="dxa"/>
            <w:vAlign w:val="center"/>
          </w:tcPr>
          <w:p>
            <w:pPr>
              <w:pStyle w:val="12"/>
            </w:pPr>
            <w:r>
              <w:t>统战事务</w:t>
            </w:r>
          </w:p>
        </w:tc>
        <w:tc>
          <w:tcPr>
            <w:tcW w:w="2551" w:type="dxa"/>
            <w:vAlign w:val="center"/>
          </w:tcPr>
          <w:p>
            <w:pPr>
              <w:pStyle w:val="11"/>
            </w:pPr>
            <w:r>
              <w:t>196.82</w:t>
            </w:r>
          </w:p>
        </w:tc>
        <w:tc>
          <w:tcPr>
            <w:tcW w:w="2551" w:type="dxa"/>
            <w:vAlign w:val="center"/>
          </w:tcPr>
          <w:p>
            <w:pPr>
              <w:pStyle w:val="11"/>
            </w:pPr>
            <w:r>
              <w:t>116.09</w:t>
            </w:r>
          </w:p>
        </w:tc>
        <w:tc>
          <w:tcPr>
            <w:tcW w:w="2551" w:type="dxa"/>
            <w:vAlign w:val="center"/>
          </w:tcPr>
          <w:p>
            <w:pPr>
              <w:pStyle w:val="11"/>
            </w:pPr>
            <w:r>
              <w:t>80.73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2013401</w:t>
            </w:r>
          </w:p>
        </w:tc>
        <w:tc>
          <w:tcPr>
            <w:tcW w:w="4535" w:type="dxa"/>
            <w:vAlign w:val="center"/>
          </w:tcPr>
          <w:p>
            <w:pPr>
              <w:pStyle w:val="12"/>
            </w:pPr>
            <w:r>
              <w:t>行政运行</w:t>
            </w:r>
          </w:p>
        </w:tc>
        <w:tc>
          <w:tcPr>
            <w:tcW w:w="2551" w:type="dxa"/>
            <w:vAlign w:val="center"/>
          </w:tcPr>
          <w:p>
            <w:pPr>
              <w:pStyle w:val="11"/>
            </w:pPr>
            <w:r>
              <w:t>168.27</w:t>
            </w:r>
          </w:p>
        </w:tc>
        <w:tc>
          <w:tcPr>
            <w:tcW w:w="2551" w:type="dxa"/>
            <w:vAlign w:val="center"/>
          </w:tcPr>
          <w:p>
            <w:pPr>
              <w:pStyle w:val="11"/>
            </w:pPr>
            <w:r>
              <w:t>116.09</w:t>
            </w:r>
          </w:p>
        </w:tc>
        <w:tc>
          <w:tcPr>
            <w:tcW w:w="2551" w:type="dxa"/>
            <w:vAlign w:val="center"/>
          </w:tcPr>
          <w:p>
            <w:pPr>
              <w:pStyle w:val="11"/>
            </w:pPr>
            <w:r>
              <w:t>52.18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2013404</w:t>
            </w:r>
          </w:p>
        </w:tc>
        <w:tc>
          <w:tcPr>
            <w:tcW w:w="4535" w:type="dxa"/>
            <w:vAlign w:val="center"/>
          </w:tcPr>
          <w:p>
            <w:pPr>
              <w:pStyle w:val="12"/>
            </w:pPr>
            <w:r>
              <w:t>宗教事务</w:t>
            </w:r>
          </w:p>
        </w:tc>
        <w:tc>
          <w:tcPr>
            <w:tcW w:w="2551" w:type="dxa"/>
            <w:vAlign w:val="center"/>
          </w:tcPr>
          <w:p>
            <w:pPr>
              <w:pStyle w:val="11"/>
            </w:pPr>
            <w:r>
              <w:t>28.55</w:t>
            </w:r>
          </w:p>
        </w:tc>
        <w:tc>
          <w:tcPr>
            <w:tcW w:w="2551" w:type="dxa"/>
            <w:vAlign w:val="center"/>
          </w:tcPr>
          <w:p>
            <w:pPr>
              <w:pStyle w:val="11"/>
            </w:pPr>
          </w:p>
        </w:tc>
        <w:tc>
          <w:tcPr>
            <w:tcW w:w="2551" w:type="dxa"/>
            <w:vAlign w:val="center"/>
          </w:tcPr>
          <w:p>
            <w:pPr>
              <w:pStyle w:val="11"/>
            </w:pPr>
            <w:r>
              <w:t>28.55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11.46</w:t>
            </w:r>
          </w:p>
        </w:tc>
        <w:tc>
          <w:tcPr>
            <w:tcW w:w="2551" w:type="dxa"/>
            <w:vAlign w:val="center"/>
          </w:tcPr>
          <w:p>
            <w:pPr>
              <w:pStyle w:val="11"/>
            </w:pPr>
            <w:r>
              <w:t>11.46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11.46</w:t>
            </w:r>
          </w:p>
        </w:tc>
        <w:tc>
          <w:tcPr>
            <w:tcW w:w="2551" w:type="dxa"/>
            <w:vAlign w:val="center"/>
          </w:tcPr>
          <w:p>
            <w:pPr>
              <w:pStyle w:val="11"/>
            </w:pPr>
            <w:r>
              <w:t>11.46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11.46</w:t>
            </w:r>
          </w:p>
        </w:tc>
        <w:tc>
          <w:tcPr>
            <w:tcW w:w="2551" w:type="dxa"/>
            <w:vAlign w:val="center"/>
          </w:tcPr>
          <w:p>
            <w:pPr>
              <w:pStyle w:val="11"/>
            </w:pPr>
            <w:r>
              <w:t>11.46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5.78</w:t>
            </w:r>
          </w:p>
        </w:tc>
        <w:tc>
          <w:tcPr>
            <w:tcW w:w="2551" w:type="dxa"/>
            <w:vAlign w:val="center"/>
          </w:tcPr>
          <w:p>
            <w:pPr>
              <w:pStyle w:val="11"/>
            </w:pPr>
            <w:r>
              <w:t>5.78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5.78</w:t>
            </w:r>
          </w:p>
        </w:tc>
        <w:tc>
          <w:tcPr>
            <w:tcW w:w="2551" w:type="dxa"/>
            <w:vAlign w:val="center"/>
          </w:tcPr>
          <w:p>
            <w:pPr>
              <w:pStyle w:val="11"/>
            </w:pPr>
            <w:r>
              <w:t>5.78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5.78</w:t>
            </w:r>
          </w:p>
        </w:tc>
        <w:tc>
          <w:tcPr>
            <w:tcW w:w="2551" w:type="dxa"/>
            <w:vAlign w:val="center"/>
          </w:tcPr>
          <w:p>
            <w:pPr>
              <w:pStyle w:val="11"/>
            </w:pPr>
            <w:r>
              <w:t>5.78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348.56</w:t>
            </w:r>
          </w:p>
        </w:tc>
        <w:tc>
          <w:tcPr>
            <w:tcW w:w="2551" w:type="dxa"/>
            <w:vAlign w:val="center"/>
          </w:tcPr>
          <w:p>
            <w:pPr>
              <w:pStyle w:val="11"/>
            </w:pPr>
          </w:p>
        </w:tc>
        <w:tc>
          <w:tcPr>
            <w:tcW w:w="2551" w:type="dxa"/>
            <w:vAlign w:val="center"/>
          </w:tcPr>
          <w:p>
            <w:pPr>
              <w:pStyle w:val="11"/>
            </w:pPr>
            <w:r>
              <w:t>348.56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21602</w:t>
            </w:r>
          </w:p>
        </w:tc>
        <w:tc>
          <w:tcPr>
            <w:tcW w:w="4535" w:type="dxa"/>
            <w:vAlign w:val="center"/>
          </w:tcPr>
          <w:p>
            <w:pPr>
              <w:pStyle w:val="12"/>
            </w:pPr>
            <w:r>
              <w:t>商业流通事务</w:t>
            </w:r>
          </w:p>
        </w:tc>
        <w:tc>
          <w:tcPr>
            <w:tcW w:w="2551" w:type="dxa"/>
            <w:vAlign w:val="center"/>
          </w:tcPr>
          <w:p>
            <w:pPr>
              <w:pStyle w:val="11"/>
            </w:pPr>
            <w:r>
              <w:t>348.56</w:t>
            </w:r>
          </w:p>
        </w:tc>
        <w:tc>
          <w:tcPr>
            <w:tcW w:w="2551" w:type="dxa"/>
            <w:vAlign w:val="center"/>
          </w:tcPr>
          <w:p>
            <w:pPr>
              <w:pStyle w:val="11"/>
            </w:pPr>
          </w:p>
        </w:tc>
        <w:tc>
          <w:tcPr>
            <w:tcW w:w="2551" w:type="dxa"/>
            <w:vAlign w:val="center"/>
          </w:tcPr>
          <w:p>
            <w:pPr>
              <w:pStyle w:val="11"/>
            </w:pPr>
            <w:r>
              <w:t>348.56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2160219</w:t>
            </w:r>
          </w:p>
        </w:tc>
        <w:tc>
          <w:tcPr>
            <w:tcW w:w="4535" w:type="dxa"/>
            <w:vAlign w:val="center"/>
          </w:tcPr>
          <w:p>
            <w:pPr>
              <w:pStyle w:val="12"/>
            </w:pPr>
            <w:r>
              <w:t>民贸民品贷款贴息</w:t>
            </w:r>
          </w:p>
        </w:tc>
        <w:tc>
          <w:tcPr>
            <w:tcW w:w="2551" w:type="dxa"/>
            <w:vAlign w:val="center"/>
          </w:tcPr>
          <w:p>
            <w:pPr>
              <w:pStyle w:val="11"/>
            </w:pPr>
            <w:r>
              <w:t>348.56</w:t>
            </w:r>
          </w:p>
        </w:tc>
        <w:tc>
          <w:tcPr>
            <w:tcW w:w="2551" w:type="dxa"/>
            <w:vAlign w:val="center"/>
          </w:tcPr>
          <w:p>
            <w:pPr>
              <w:pStyle w:val="11"/>
            </w:pPr>
          </w:p>
        </w:tc>
        <w:tc>
          <w:tcPr>
            <w:tcW w:w="2551" w:type="dxa"/>
            <w:vAlign w:val="center"/>
          </w:tcPr>
          <w:p>
            <w:pPr>
              <w:pStyle w:val="11"/>
            </w:pPr>
            <w:r>
              <w:t>348.56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10.58</w:t>
            </w:r>
          </w:p>
        </w:tc>
        <w:tc>
          <w:tcPr>
            <w:tcW w:w="2551" w:type="dxa"/>
            <w:vAlign w:val="center"/>
          </w:tcPr>
          <w:p>
            <w:pPr>
              <w:pStyle w:val="11"/>
            </w:pPr>
            <w:r>
              <w:t>10.58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10.58</w:t>
            </w:r>
          </w:p>
        </w:tc>
        <w:tc>
          <w:tcPr>
            <w:tcW w:w="2551" w:type="dxa"/>
            <w:vAlign w:val="center"/>
          </w:tcPr>
          <w:p>
            <w:pPr>
              <w:pStyle w:val="11"/>
            </w:pPr>
            <w:r>
              <w:t>10.58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10.58</w:t>
            </w:r>
          </w:p>
        </w:tc>
        <w:tc>
          <w:tcPr>
            <w:tcW w:w="2551" w:type="dxa"/>
            <w:vAlign w:val="center"/>
          </w:tcPr>
          <w:p>
            <w:pPr>
              <w:pStyle w:val="11"/>
            </w:pPr>
            <w:r>
              <w:t>10.58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213中国共产党隆尧县委员会统一战线工作部</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143.91</w:t>
            </w:r>
          </w:p>
        </w:tc>
        <w:tc>
          <w:tcPr>
            <w:tcW w:w="2551" w:type="dxa"/>
            <w:vAlign w:val="center"/>
          </w:tcPr>
          <w:p>
            <w:pPr>
              <w:pStyle w:val="15"/>
            </w:pPr>
            <w:r>
              <w:t>129.87</w:t>
            </w:r>
          </w:p>
        </w:tc>
        <w:tc>
          <w:tcPr>
            <w:tcW w:w="2552" w:type="dxa"/>
            <w:vAlign w:val="center"/>
          </w:tcPr>
          <w:p>
            <w:pPr>
              <w:pStyle w:val="15"/>
            </w:pPr>
            <w:r>
              <w:t>14.04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122.80</w:t>
            </w:r>
          </w:p>
        </w:tc>
        <w:tc>
          <w:tcPr>
            <w:tcW w:w="2551" w:type="dxa"/>
            <w:vAlign w:val="center"/>
          </w:tcPr>
          <w:p>
            <w:pPr>
              <w:pStyle w:val="11"/>
            </w:pPr>
            <w:r>
              <w:t>122.80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51.83</w:t>
            </w:r>
          </w:p>
        </w:tc>
        <w:tc>
          <w:tcPr>
            <w:tcW w:w="2551" w:type="dxa"/>
            <w:vAlign w:val="center"/>
          </w:tcPr>
          <w:p>
            <w:pPr>
              <w:pStyle w:val="11"/>
            </w:pPr>
            <w:r>
              <w:t>51.83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16.77</w:t>
            </w:r>
          </w:p>
        </w:tc>
        <w:tc>
          <w:tcPr>
            <w:tcW w:w="2551" w:type="dxa"/>
            <w:vAlign w:val="center"/>
          </w:tcPr>
          <w:p>
            <w:pPr>
              <w:pStyle w:val="11"/>
            </w:pPr>
            <w:r>
              <w:t>16.77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23.08</w:t>
            </w:r>
          </w:p>
        </w:tc>
        <w:tc>
          <w:tcPr>
            <w:tcW w:w="2551" w:type="dxa"/>
            <w:vAlign w:val="center"/>
          </w:tcPr>
          <w:p>
            <w:pPr>
              <w:pStyle w:val="11"/>
            </w:pPr>
            <w:r>
              <w:t>23.08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2.87</w:t>
            </w:r>
          </w:p>
        </w:tc>
        <w:tc>
          <w:tcPr>
            <w:tcW w:w="2551" w:type="dxa"/>
            <w:vAlign w:val="center"/>
          </w:tcPr>
          <w:p>
            <w:pPr>
              <w:pStyle w:val="11"/>
            </w:pPr>
            <w:r>
              <w:t>2.87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11.46</w:t>
            </w:r>
          </w:p>
        </w:tc>
        <w:tc>
          <w:tcPr>
            <w:tcW w:w="2551" w:type="dxa"/>
            <w:vAlign w:val="center"/>
          </w:tcPr>
          <w:p>
            <w:pPr>
              <w:pStyle w:val="11"/>
            </w:pPr>
            <w:r>
              <w:t>11.46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5.78</w:t>
            </w:r>
          </w:p>
        </w:tc>
        <w:tc>
          <w:tcPr>
            <w:tcW w:w="2551" w:type="dxa"/>
            <w:vAlign w:val="center"/>
          </w:tcPr>
          <w:p>
            <w:pPr>
              <w:pStyle w:val="11"/>
            </w:pPr>
            <w:r>
              <w:t>5.78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0.42</w:t>
            </w:r>
          </w:p>
        </w:tc>
        <w:tc>
          <w:tcPr>
            <w:tcW w:w="2551" w:type="dxa"/>
            <w:vAlign w:val="center"/>
          </w:tcPr>
          <w:p>
            <w:pPr>
              <w:pStyle w:val="11"/>
            </w:pPr>
            <w:r>
              <w:t>0.42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10.58</w:t>
            </w:r>
          </w:p>
        </w:tc>
        <w:tc>
          <w:tcPr>
            <w:tcW w:w="2551" w:type="dxa"/>
            <w:vAlign w:val="center"/>
          </w:tcPr>
          <w:p>
            <w:pPr>
              <w:pStyle w:val="11"/>
            </w:pPr>
            <w:r>
              <w:t>10.58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14.04</w:t>
            </w:r>
          </w:p>
        </w:tc>
        <w:tc>
          <w:tcPr>
            <w:tcW w:w="2551" w:type="dxa"/>
            <w:vAlign w:val="center"/>
          </w:tcPr>
          <w:p>
            <w:pPr>
              <w:pStyle w:val="11"/>
            </w:pPr>
          </w:p>
        </w:tc>
        <w:tc>
          <w:tcPr>
            <w:tcW w:w="2552" w:type="dxa"/>
            <w:vAlign w:val="center"/>
          </w:tcPr>
          <w:p>
            <w:pPr>
              <w:pStyle w:val="11"/>
            </w:pPr>
            <w:r>
              <w:t>14.04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2.96</w:t>
            </w:r>
          </w:p>
        </w:tc>
        <w:tc>
          <w:tcPr>
            <w:tcW w:w="2551" w:type="dxa"/>
            <w:vAlign w:val="center"/>
          </w:tcPr>
          <w:p>
            <w:pPr>
              <w:pStyle w:val="11"/>
            </w:pPr>
          </w:p>
        </w:tc>
        <w:tc>
          <w:tcPr>
            <w:tcW w:w="2552" w:type="dxa"/>
            <w:vAlign w:val="center"/>
          </w:tcPr>
          <w:p>
            <w:pPr>
              <w:pStyle w:val="11"/>
            </w:pPr>
            <w:r>
              <w:t>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0.48</w:t>
            </w:r>
          </w:p>
        </w:tc>
        <w:tc>
          <w:tcPr>
            <w:tcW w:w="2551" w:type="dxa"/>
            <w:vAlign w:val="center"/>
          </w:tcPr>
          <w:p>
            <w:pPr>
              <w:pStyle w:val="11"/>
            </w:pPr>
          </w:p>
        </w:tc>
        <w:tc>
          <w:tcPr>
            <w:tcW w:w="2552"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1.00</w:t>
            </w:r>
          </w:p>
        </w:tc>
        <w:tc>
          <w:tcPr>
            <w:tcW w:w="2551" w:type="dxa"/>
            <w:vAlign w:val="center"/>
          </w:tcPr>
          <w:p>
            <w:pPr>
              <w:pStyle w:val="11"/>
            </w:pPr>
          </w:p>
        </w:tc>
        <w:tc>
          <w:tcPr>
            <w:tcW w:w="2552"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0.96</w:t>
            </w:r>
          </w:p>
        </w:tc>
        <w:tc>
          <w:tcPr>
            <w:tcW w:w="2551" w:type="dxa"/>
            <w:vAlign w:val="center"/>
          </w:tcPr>
          <w:p>
            <w:pPr>
              <w:pStyle w:val="11"/>
            </w:pPr>
          </w:p>
        </w:tc>
        <w:tc>
          <w:tcPr>
            <w:tcW w:w="2552" w:type="dxa"/>
            <w:vAlign w:val="center"/>
          </w:tcPr>
          <w:p>
            <w:pPr>
              <w:pStyle w:val="11"/>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0.36</w:t>
            </w:r>
          </w:p>
        </w:tc>
        <w:tc>
          <w:tcPr>
            <w:tcW w:w="2551" w:type="dxa"/>
            <w:vAlign w:val="center"/>
          </w:tcPr>
          <w:p>
            <w:pPr>
              <w:pStyle w:val="11"/>
            </w:pPr>
          </w:p>
        </w:tc>
        <w:tc>
          <w:tcPr>
            <w:tcW w:w="2552"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8.04</w:t>
            </w:r>
          </w:p>
        </w:tc>
        <w:tc>
          <w:tcPr>
            <w:tcW w:w="2551" w:type="dxa"/>
            <w:vAlign w:val="center"/>
          </w:tcPr>
          <w:p>
            <w:pPr>
              <w:pStyle w:val="11"/>
            </w:pPr>
          </w:p>
        </w:tc>
        <w:tc>
          <w:tcPr>
            <w:tcW w:w="2552" w:type="dxa"/>
            <w:vAlign w:val="center"/>
          </w:tcPr>
          <w:p>
            <w:pPr>
              <w:pStyle w:val="11"/>
            </w:pPr>
            <w:r>
              <w:t>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0.24</w:t>
            </w:r>
          </w:p>
        </w:tc>
        <w:tc>
          <w:tcPr>
            <w:tcW w:w="2551" w:type="dxa"/>
            <w:vAlign w:val="center"/>
          </w:tcPr>
          <w:p>
            <w:pPr>
              <w:pStyle w:val="11"/>
            </w:pPr>
          </w:p>
        </w:tc>
        <w:tc>
          <w:tcPr>
            <w:tcW w:w="2552"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7.07</w:t>
            </w:r>
          </w:p>
        </w:tc>
        <w:tc>
          <w:tcPr>
            <w:tcW w:w="2551" w:type="dxa"/>
            <w:vAlign w:val="center"/>
          </w:tcPr>
          <w:p>
            <w:pPr>
              <w:pStyle w:val="11"/>
            </w:pPr>
            <w:r>
              <w:t>7.07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7.07</w:t>
            </w:r>
          </w:p>
        </w:tc>
        <w:tc>
          <w:tcPr>
            <w:tcW w:w="2551" w:type="dxa"/>
            <w:vAlign w:val="center"/>
          </w:tcPr>
          <w:p>
            <w:pPr>
              <w:pStyle w:val="11"/>
            </w:pPr>
            <w:r>
              <w:t>7.07</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213中国共产党隆尧县委员会统一战线工作部</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213中国共产党隆尧县委员会统一战线工作部</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213中国共产党隆尧县委员会统一战线工作部</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jc w:val="center"/>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中国共产党隆尧县委员会统一战线工作部2023年部门预算信息公开情况说明</w:t>
      </w:r>
    </w:p>
    <w:p>
      <w:pPr>
        <w:jc w:val="center"/>
      </w:pPr>
      <w:r>
        <w:rPr>
          <w:rFonts w:ascii="方正小标宋_GBK" w:hAnsi="方正小标宋_GBK" w:eastAsia="方正小标宋_GBK" w:cs="方正小标宋_GBK"/>
          <w:color w:val="000000"/>
          <w:sz w:val="44"/>
        </w:rPr>
        <w:t>中国共产党隆尧县委员会统一战线工作部2023年部门预算信息公开情况说明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按照《预算法》、《地方预决算公开操作规程》和《关于进一步推进预算公开工作的实施意见》规定，现将中国共产党隆尧县委员会统一战线工作部2023年部门预算公开如下：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一）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落实中央和县、市、县委关于统一战线工作重大决策部署，巩固壮大最广泛的统一战线。</w:t>
      </w:r>
    </w:p>
    <w:p>
      <w:pPr>
        <w:pStyle w:val="17"/>
      </w:pPr>
      <w:r>
        <w:t>（二）开展统一战线理论研究，研究拟订统一战线工作的政策措施并推动落实，深入调查研究，及时向县委报告统一战线工作情况并提出建议。</w:t>
      </w:r>
    </w:p>
    <w:p>
      <w:pPr>
        <w:pStyle w:val="17"/>
      </w:pPr>
      <w:r>
        <w:t>（三）负责发现、培养党外代表人士，负责党外人士的政治安排，会同有关部门做好安排党外人士担任政府和司法机关等领导职务的工作，协助有关民主党派、县工商联做好干部管理工作，反映和协调解决党外代表人士工作生活中的实际困难。</w:t>
      </w:r>
    </w:p>
    <w:p>
      <w:pPr>
        <w:pStyle w:val="17"/>
      </w:pPr>
      <w:r>
        <w:t>（四）贯彻落实党的宣传工作方针，统筹推进全县统一战线宣传工作，拟订全县统一战线宣传工作规划并组织实施，研判涉及统一战线的舆情并协调有关部门应对处置。</w:t>
      </w:r>
    </w:p>
    <w:p>
      <w:pPr>
        <w:pStyle w:val="17"/>
      </w:pPr>
      <w:r>
        <w:t>（五）负责联系党外代表人士，通报情况、反映意见。贯彻落实中国共产党领导的多党合作和政治协商制度以及对民主党派的方针政策，支持、帮助民主党派加强自身建设，做好支持民主党派履行职责、发挥作用的工作。</w:t>
      </w:r>
    </w:p>
    <w:p>
      <w:pPr>
        <w:pStyle w:val="17"/>
      </w:pPr>
      <w:r>
        <w:t>（六）负责民族宗教工作。贯彻落实党中央和县市县委关于民族宗教的方针政策和决策部署。依法对宗教事务进行管理，承担相关行政审批事项和行政处罚事项。协调落实民族宗教工作政策和重大措施，协调处理民族宗教工作中的重大问题，依法管理民族事务，全面促进民族事业发展。研究拟订宗教工作的政策措施并督促落实，引导各宗教坚持中国化方向，巩固和发展同宗教界的爱国统一战线。</w:t>
      </w:r>
    </w:p>
    <w:p>
      <w:pPr>
        <w:pStyle w:val="17"/>
      </w:pPr>
      <w:r>
        <w:t>（七）负责联系、培养无党派人士，支持、帮助无党派人士加强自身建设，发挥作用。调查研究党外知识分子和新的社会阶层人士情况并提出政策建议，联系、培养党外知识分子、新的社会阶层代表人士和出国、归国留学人员代表人士。</w:t>
      </w:r>
    </w:p>
    <w:p>
      <w:pPr>
        <w:pStyle w:val="17"/>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pPr>
        <w:pStyle w:val="17"/>
      </w:pPr>
      <w:r>
        <w:t>（九）统一领导全县海外统战工作，牵头开展港澳统战工作。贯彻落实党的海外统战工作政策措施并组织协调、督促检查落实，会同有关部门对香港、澳门地区统一战线工作进行调查研究并提出政策建议，联系香港、澳门、台湾有关党派、团体及代表人士，联系海外有关社团及代表人士，做好台胞、台属有关工作。</w:t>
      </w:r>
    </w:p>
    <w:p>
      <w:pPr>
        <w:pStyle w:val="17"/>
      </w:pPr>
      <w:r>
        <w:t>（十）统一领导全县对台工作。贯彻执行党中央对台工作的方针政策。对全县涉台工作实施统一归口管理，组织、指导、管理、协调县委、县政府各部门的对台工作。调查研究台湾形势和我县与台湾经贸之间交流往来动向，提出对策建议。会同有关部门统筹协调和指导对台经贸工作。组织重要台商的投资活动，参与县政府对台大型招商活动。协调、指导全县涉台金融、文化、学术、教育、科技、体育、卫生等领域的交流与合作及我县与台湾人员往来工作。负责全县对台宣传和涉台教育工作。指导全县宣传媒体涉台新闻报道工作;协调、处理县内涉台重大事件。负责县委对台工作领导小组的日常工作。</w:t>
      </w:r>
    </w:p>
    <w:p>
      <w:pPr>
        <w:pStyle w:val="17"/>
      </w:pPr>
      <w:r>
        <w:t>（十一）统一领导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合法权利和利益。</w:t>
      </w:r>
    </w:p>
    <w:p>
      <w:pPr>
        <w:pStyle w:val="17"/>
      </w:pPr>
      <w:r>
        <w:t>（十二）完成县委交办的其他任务。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中国共产党隆尧县委员会统一战线工作部本级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部门预算的编制实行综合预算管理，即全部收入和支出都反映在预算中。中国共产党隆尧县委员会统一战线工作部机关及所属事业单位的收支包含在部门预算中。</w:t>
      </w:r>
    </w:p>
    <w:p>
      <w:pPr>
        <w:pStyle w:val="18"/>
      </w:pPr>
      <w:r>
        <w:t>1、收入说明</w:t>
      </w:r>
    </w:p>
    <w:p>
      <w:pPr>
        <w:pStyle w:val="18"/>
      </w:pPr>
      <w:r>
        <w:t>反映本部门当年全部收入。2023年预算收入596.2001万元，其中：一般公共预算收入596.2001万元，基金预算收入0万元，财政专户核拨收入0万元，其他来源收入0万元。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中共隆尧县委统战部年度部门预算中支出预算的总体情况。2023年部门支出预算为596.2001万元，其中基本支出143.9101万元，包括人员经费129.8701万元和日常公用经费14.04万元；项目支出452.29万元，主要为冀财金【2022】54号/省级/2023年省级普惠金融发展专项资金（民贸民品企业贷款贴息）348.56万元，民营企业培训费20万元，宗教场所可视化平台通信服务费10.55万元，云视频建设经费20万元，劳务派遣人员工资9.18万元，民族宗教基层治理经费18万元，商（协）会建设经费6万元，工商联经费1万元，统战工作经费19万元。</w:t>
      </w:r>
    </w:p>
    <w:p>
      <w:pPr>
        <w:pStyle w:val="18"/>
      </w:pPr>
      <w:r>
        <w:t>3、比上年增减情况</w:t>
      </w:r>
    </w:p>
    <w:p>
      <w:pPr>
        <w:pStyle w:val="18"/>
      </w:pPr>
      <w:r>
        <w:t>2023年部门预算收支安排596.2001万元，较2022年减少</w:t>
      </w:r>
      <w:r>
        <w:rPr>
          <w:rFonts w:hint="eastAsia"/>
          <w:lang w:val="en-US" w:eastAsia="zh-CN"/>
        </w:rPr>
        <w:t>1042.98</w:t>
      </w:r>
      <w:r>
        <w:t>万元，其中：主要是项目支出减少</w:t>
      </w:r>
      <w:r>
        <w:rPr>
          <w:rFonts w:hint="eastAsia"/>
          <w:lang w:val="en-US" w:eastAsia="zh-CN"/>
        </w:rPr>
        <w:t>1078.85</w:t>
      </w:r>
      <w:r>
        <w:t>万元，</w:t>
      </w:r>
      <w:r>
        <w:rPr>
          <w:rFonts w:hint="eastAsia"/>
          <w:lang w:eastAsia="zh-CN"/>
        </w:rPr>
        <w:t>原因</w:t>
      </w:r>
      <w:r>
        <w:t>为民贸民品贷款贴息资金项目减少所至。</w:t>
      </w:r>
    </w:p>
    <w:p>
      <w:pPr>
        <w:spacing w:before="10" w:after="10" w:line="360" w:lineRule="auto"/>
        <w:ind w:firstLine="640"/>
        <w:outlineLvl w:val="2"/>
        <w:rPr>
          <w:rFonts w:ascii="黑体" w:hAnsi="黑体" w:eastAsia="黑体" w:cs="黑体"/>
          <w:color w:val="000000"/>
          <w:sz w:val="32"/>
          <w:lang w:eastAsia="zh-CN"/>
        </w:rPr>
      </w:pPr>
      <w:bookmarkStart w:id="11" w:name="_Toc_3_3_0000000012"/>
      <w:r>
        <w:rPr>
          <w:rFonts w:ascii="黑体" w:hAnsi="黑体" w:eastAsia="黑体" w:cs="黑体"/>
          <w:color w:val="000000"/>
          <w:sz w:val="32"/>
        </w:rPr>
        <w:t>三、机关运行经费安排情况</w:t>
      </w:r>
      <w:bookmarkEnd w:id="11"/>
    </w:p>
    <w:p>
      <w:pPr>
        <w:spacing w:before="10" w:after="10" w:line="360" w:lineRule="auto"/>
        <w:ind w:firstLine="640"/>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uk-UA" w:bidi="ar-SA"/>
        </w:rPr>
        <w:t>2023年我部门机关运行经费共计安排14.04万元，主要用于主要用于办公费、工会经费、公务用车运行维护费等日常运行支出</w:t>
      </w:r>
      <w:r>
        <w:rPr>
          <w:rFonts w:hint="eastAsia" w:ascii="Times New Roman" w:hAnsi="Times New Roman" w:eastAsia="方正仿宋_GBK" w:cs="Times New Roman"/>
          <w:sz w:val="28"/>
          <w:szCs w:val="24"/>
          <w:lang w:val="en-US" w:eastAsia="zh-CN" w:bidi="ar-SA"/>
        </w:rPr>
        <w:t>。</w:t>
      </w:r>
      <w:bookmarkStart w:id="12" w:name="_Toc_3_3_0000000013"/>
    </w:p>
    <w:p>
      <w:pPr>
        <w:spacing w:before="10" w:after="10" w:line="360" w:lineRule="auto"/>
        <w:ind w:firstLine="640"/>
        <w:outlineLvl w:val="2"/>
        <w:rPr>
          <w:rFonts w:ascii="黑体" w:hAnsi="黑体" w:eastAsia="黑体" w:cs="黑体"/>
          <w:color w:val="000000"/>
          <w:sz w:val="32"/>
          <w:lang w:eastAsia="zh-CN"/>
        </w:rPr>
      </w:pPr>
      <w:r>
        <w:rPr>
          <w:rFonts w:ascii="黑体" w:hAnsi="黑体" w:eastAsia="黑体" w:cs="黑体"/>
          <w:color w:val="000000"/>
          <w:sz w:val="32"/>
        </w:rPr>
        <w:t>四、财政拨款“三公”经费预算情况及增减变化原因</w:t>
      </w:r>
      <w:bookmarkEnd w:id="12"/>
      <w:bookmarkStart w:id="13" w:name="_Toc_3_3_0000000014"/>
    </w:p>
    <w:p>
      <w:pPr>
        <w:spacing w:before="10" w:after="10" w:line="360" w:lineRule="auto"/>
        <w:ind w:firstLine="640"/>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2023年我部门财政拨款“三公”经费预算安排0万元，其中因公出国（境）费0万元；公务用车购置及运维费0万元（其中：公务用车购置费为0万元，公务用车运行维护费0万元)；公务接待费0万元</w:t>
      </w:r>
      <w:r>
        <w:rPr>
          <w:rFonts w:hint="eastAsia" w:ascii="Times New Roman" w:hAnsi="Times New Roman"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与2022年相比</w:t>
      </w:r>
      <w:r>
        <w:rPr>
          <w:rFonts w:hint="eastAsia" w:ascii="Times New Roman" w:hAnsi="Times New Roman" w:eastAsia="方正仿宋_GBK" w:cs="Times New Roman"/>
          <w:sz w:val="28"/>
          <w:szCs w:val="24"/>
          <w:highlight w:val="none"/>
          <w:lang w:val="en-US" w:eastAsia="uk-UA" w:bidi="ar-SA"/>
        </w:rPr>
        <w:t>减少0万元</w:t>
      </w:r>
      <w:r>
        <w:rPr>
          <w:rFonts w:hint="eastAsia" w:ascii="Times New Roman" w:hAnsi="Times New Roman" w:eastAsia="方正仿宋_GBK" w:cs="Times New Roman"/>
          <w:sz w:val="28"/>
          <w:szCs w:val="24"/>
          <w:lang w:val="en-US" w:eastAsia="uk-UA" w:bidi="ar-SA"/>
        </w:rPr>
        <w:t>，与2022年持平。</w:t>
      </w:r>
    </w:p>
    <w:p>
      <w:pPr>
        <w:spacing w:before="10" w:after="10" w:line="360" w:lineRule="auto"/>
        <w:ind w:firstLine="640"/>
        <w:outlineLvl w:val="2"/>
      </w:pPr>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紧密围绕县委、县政府中心工作，充分发挥统一战线职能优势，突出亮点，发挥特色，在党外干部、民族宗教、海外联谊、非公有制经济人士等各项工作中均取得明显成效，收到良好效果，为我县经济社会发展做出积极的贡献。</w:t>
      </w:r>
    </w:p>
    <w:p>
      <w:pPr>
        <w:spacing w:line="500" w:lineRule="exact"/>
        <w:ind w:firstLine="560"/>
      </w:pPr>
      <w:r>
        <w:rPr>
          <w:rFonts w:eastAsia="方正仿宋_GBK"/>
          <w:color w:val="000000"/>
          <w:sz w:val="28"/>
        </w:rPr>
        <w:t>（二）分项绩效目标</w:t>
      </w:r>
    </w:p>
    <w:p>
      <w:pPr>
        <w:pStyle w:val="22"/>
      </w:pPr>
      <w:r>
        <w:t>（一）调查研究统一战线的理论、政策和法律法规，向党委全面反映统一战线情况，提出开展统一战线工作的意见和建议，组织协调统一战线政策和法律法规的贯彻落实，检查执行情况，协调统一战线各方面的关系。</w:t>
      </w:r>
    </w:p>
    <w:p>
      <w:pPr>
        <w:pStyle w:val="22"/>
      </w:pPr>
      <w:r>
        <w:t>（二）调查研究民族、宗教工作的理论、方针、政策和法律法规，做好重要工作和重大问题的处理，协调开展马克思主义民族观、宗教观和相关理论、政策的宣传教育，联系少数民族和宗教界代表人士，会同有关部门做好少数民族干部的培养和举荐工作。牵头有关部门做好宗教维稳、抵御境外渗透工作。</w:t>
      </w:r>
    </w:p>
    <w:p>
      <w:pPr>
        <w:pStyle w:val="22"/>
      </w:pPr>
      <w:r>
        <w:t>（三）开展海外统一战线工作，联系香港、澳门、台湾和海外有关党派、团体及代表人士，会同有关部门对香港、澳门地区统一战线工作方针政策和法律法规进行调查研究，做好台胞、台属工作，负责党委交办的其他港澳、对台工作。</w:t>
      </w:r>
    </w:p>
    <w:p>
      <w:pPr>
        <w:pStyle w:val="22"/>
      </w:pPr>
      <w:r>
        <w:t>（四）调查研究国内外侨情和侨务工作情况，组织开展侨务政策、理论和侨务工作重大问题的调查研究，负责向涉侨部门通报侨务工作情况，推动涉侨宣传、文化交流和华文教育工作等。</w:t>
      </w:r>
    </w:p>
    <w:p>
      <w:pPr>
        <w:pStyle w:val="22"/>
      </w:pPr>
      <w:r>
        <w:t>（五）调查研究非公有制经济人士的情况，协调关系，提出政策建议，团结、服务、引导、教育非公有制经济人士，开展思想政治工作。</w:t>
      </w:r>
    </w:p>
    <w:p>
      <w:pPr>
        <w:pStyle w:val="22"/>
      </w:pPr>
      <w:r>
        <w:t>（六）负责党外代表人士在人大、政协安排的有关工作，会同有关部门做好安排党外代表人士担任政府和司法机关等领导职务的工作，做好党外代表人士和后备干部队伍建设工作，反映和解决党外代表人士工作生活中的实际困难。</w:t>
      </w:r>
    </w:p>
    <w:p>
      <w:pPr>
        <w:spacing w:line="500" w:lineRule="exact"/>
        <w:ind w:firstLine="560"/>
      </w:pPr>
      <w:r>
        <w:rPr>
          <w:rFonts w:eastAsia="方正仿宋_GBK"/>
          <w:color w:val="000000"/>
          <w:sz w:val="28"/>
        </w:rPr>
        <w:t>（三）工作保障措施</w:t>
      </w:r>
    </w:p>
    <w:p>
      <w:pPr>
        <w:pStyle w:val="23"/>
      </w:pPr>
      <w:r>
        <w:t>1、加强制度建设。建立健全机关预算绩效管理制度，为全年预算绩效目标的实现奠定制度基础。</w:t>
      </w:r>
    </w:p>
    <w:p>
      <w:pPr>
        <w:pStyle w:val="23"/>
      </w:pPr>
      <w:r>
        <w:t>2、规范财务管理。进一步完善财务管理制度，通过科学编制预算、优化支出结构、加快政府采购、加快项目建设、及时拨付资金，确保经费支出进度达到规定标准。</w:t>
      </w:r>
    </w:p>
    <w:p>
      <w:pPr>
        <w:pStyle w:val="23"/>
      </w:pPr>
      <w:r>
        <w:t>3、加强内部监督。加强内部监督制度建设，对绩效运行、重大支出事项、资产处置及其他重要经济业务事项决策和执行进行监督，定期开展财务内部审计，确保财政资金使用安全合规。</w:t>
      </w:r>
    </w:p>
    <w:p>
      <w:pPr>
        <w:pStyle w:val="23"/>
      </w:pPr>
      <w:r>
        <w:t>4、加强绩效监控。积极开展绩效运行监控，发现问题及时采取措施，确保绩效目标如期保质实现。</w:t>
      </w: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ind w:firstLine="640"/>
        <w:rPr>
          <w:rFonts w:hint="eastAsia" w:ascii="方正楷体_GBK" w:hAnsi="方正楷体_GBK" w:cs="方正楷体_GBK" w:eastAsiaTheme="minorEastAsia"/>
          <w:b/>
          <w:color w:val="000000"/>
          <w:sz w:val="32"/>
          <w:lang w:eastAsia="zh-CN"/>
        </w:rPr>
      </w:pPr>
      <w:r>
        <w:rPr>
          <w:rFonts w:hint="eastAsia" w:ascii="Times New Roman" w:hAnsi="Times New Roman" w:eastAsia="方正仿宋_GBK" w:cs="Times New Roman"/>
          <w:sz w:val="28"/>
          <w:szCs w:val="24"/>
          <w:lang w:val="en-US" w:eastAsia="zh-CN" w:bidi="ar-SA"/>
        </w:rPr>
        <w:t>本年度无专项资金</w:t>
      </w:r>
      <w:r>
        <w:rPr>
          <w:rFonts w:hint="eastAsia" w:eastAsia="方正仿宋_GBK" w:cs="Times New Roman"/>
          <w:sz w:val="28"/>
          <w:szCs w:val="24"/>
          <w:lang w:val="en-US" w:eastAsia="zh-CN" w:bidi="ar-SA"/>
        </w:rPr>
        <w:t>。</w:t>
      </w:r>
    </w:p>
    <w:p>
      <w:pPr>
        <w:ind w:firstLine="640"/>
        <w:rPr>
          <w:rFonts w:eastAsiaTheme="minorEastAsia"/>
          <w:sz w:val="28"/>
          <w:szCs w:val="28"/>
          <w:lang w:eastAsia="zh-CN"/>
        </w:rPr>
        <w:sectPr>
          <w:pgSz w:w="16840" w:h="11900" w:orient="landscape"/>
          <w:pgMar w:top="1361" w:right="1020" w:bottom="1361" w:left="1020" w:header="720" w:footer="720" w:gutter="0"/>
          <w:cols w:space="720" w:num="1"/>
        </w:sectPr>
      </w:pP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第三部分  预算项目绩效目标</w:t>
      </w:r>
    </w:p>
    <w:p>
      <w:pPr>
        <w:ind w:firstLine="640"/>
        <w:rPr>
          <w:rFonts w:hint="eastAsia" w:ascii="方正楷体_GBK" w:hAnsi="方正楷体_GBK" w:cs="方正楷体_GBK" w:eastAsiaTheme="minorEastAsia"/>
          <w:b/>
          <w:color w:val="000000"/>
          <w:sz w:val="32"/>
          <w:lang w:eastAsia="zh-CN"/>
        </w:rPr>
      </w:pPr>
    </w:p>
    <w:p>
      <w:pPr>
        <w:ind w:firstLine="640"/>
      </w:pPr>
      <w:r>
        <w:rPr>
          <w:rFonts w:ascii="方正仿宋_GBK" w:hAnsi="方正仿宋_GBK" w:eastAsia="方正仿宋_GBK" w:cs="方正仿宋_GBK"/>
          <w:b/>
          <w:color w:val="000000"/>
          <w:sz w:val="28"/>
        </w:rPr>
        <w:t>1、工商联经费绩效目标表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Theme="minorEastAsia"/>
                <w:lang w:eastAsia="zh-CN"/>
              </w:rPr>
            </w:pPr>
            <w:r>
              <w:t>1</w:t>
            </w:r>
            <w:r>
              <w:rPr>
                <w:rFonts w:hint="eastAsia" w:eastAsiaTheme="minorEastAsia"/>
                <w:lang w:eastAsia="zh-CN"/>
              </w:rPr>
              <w:t>、联系非公有制企业。2、加强对非公有制经济代表人士思想政治引领。</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开展次数</w:t>
            </w:r>
          </w:p>
        </w:tc>
        <w:tc>
          <w:tcPr>
            <w:tcW w:w="2835" w:type="dxa"/>
            <w:vAlign w:val="center"/>
          </w:tcPr>
          <w:p>
            <w:pPr>
              <w:pStyle w:val="12"/>
            </w:pPr>
            <w:r>
              <w:t>本年度</w:t>
            </w:r>
            <w:r>
              <w:rPr>
                <w:rFonts w:hint="eastAsia" w:eastAsiaTheme="minorEastAsia"/>
                <w:lang w:eastAsia="zh-CN"/>
              </w:rPr>
              <w:t>思想政治引领</w:t>
            </w:r>
            <w:r>
              <w:t>活动次数</w:t>
            </w:r>
          </w:p>
        </w:tc>
        <w:tc>
          <w:tcPr>
            <w:tcW w:w="2551" w:type="dxa"/>
            <w:vAlign w:val="center"/>
          </w:tcPr>
          <w:p>
            <w:pPr>
              <w:pStyle w:val="12"/>
            </w:pPr>
            <w:r>
              <w:t>≥</w:t>
            </w:r>
            <w:r>
              <w:rPr>
                <w:rFonts w:hint="eastAsia" w:eastAsiaTheme="minorEastAsia"/>
                <w:lang w:eastAsia="zh-CN"/>
              </w:rPr>
              <w:t>10</w:t>
            </w:r>
            <w:r>
              <w:t>次</w:t>
            </w:r>
          </w:p>
        </w:tc>
        <w:tc>
          <w:tcPr>
            <w:tcW w:w="2268" w:type="dxa"/>
            <w:vAlign w:val="center"/>
          </w:tcPr>
          <w:p>
            <w:pPr>
              <w:pStyle w:val="12"/>
              <w:rPr>
                <w:rFonts w:hint="eastAsia" w:eastAsiaTheme="minorEastAsia"/>
                <w:lang w:eastAsia="zh-CN"/>
              </w:rPr>
            </w:pPr>
            <w:r>
              <w:rPr>
                <w:rFonts w:hint="eastAsia" w:eastAsiaTheme="minorEastAsia"/>
                <w:lang w:eastAsia="zh-CN"/>
              </w:rPr>
              <w:t>隆办字【2002】43号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工作保障率</w:t>
            </w:r>
          </w:p>
        </w:tc>
        <w:tc>
          <w:tcPr>
            <w:tcW w:w="2835" w:type="dxa"/>
            <w:vAlign w:val="center"/>
          </w:tcPr>
          <w:p>
            <w:pPr>
              <w:pStyle w:val="12"/>
            </w:pPr>
            <w:r>
              <w:t>工作保障率</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eastAsia="zh-CN"/>
              </w:rPr>
              <w:t>隆办字【2002】43号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rFonts w:hint="eastAsia" w:eastAsiaTheme="minorEastAsia"/>
                <w:lang w:eastAsia="zh-CN"/>
              </w:rPr>
            </w:pPr>
            <w:r>
              <w:t>工作</w:t>
            </w:r>
            <w:r>
              <w:rPr>
                <w:rFonts w:hint="eastAsia" w:eastAsiaTheme="minorEastAsia"/>
                <w:lang w:eastAsia="zh-CN"/>
              </w:rPr>
              <w:t>进度率</w:t>
            </w:r>
          </w:p>
        </w:tc>
        <w:tc>
          <w:tcPr>
            <w:tcW w:w="2835" w:type="dxa"/>
            <w:vAlign w:val="center"/>
          </w:tcPr>
          <w:p>
            <w:pPr>
              <w:pStyle w:val="12"/>
              <w:rPr>
                <w:rFonts w:hint="eastAsia" w:eastAsiaTheme="minorEastAsia"/>
                <w:lang w:eastAsia="zh-CN"/>
              </w:rPr>
            </w:pPr>
            <w:r>
              <w:rPr>
                <w:rFonts w:hint="eastAsia" w:eastAsiaTheme="minorEastAsia"/>
                <w:lang w:eastAsia="zh-CN"/>
              </w:rPr>
              <w:t>工作进度率</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eastAsia="zh-CN"/>
              </w:rPr>
              <w:t>隆办字【2002】43号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eastAsia="zh-CN"/>
              </w:rPr>
              <w:t>隆办字【2002】43号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rPr>
                <w:rFonts w:hint="eastAsia"/>
                <w:lang w:eastAsia="zh-CN"/>
              </w:rPr>
            </w:pPr>
            <w:r>
              <w:rPr>
                <w:rFonts w:hint="eastAsia"/>
                <w:lang w:eastAsia="zh-CN"/>
              </w:rPr>
              <w:t>重点工作完成率</w:t>
            </w:r>
          </w:p>
        </w:tc>
        <w:tc>
          <w:tcPr>
            <w:tcW w:w="2835" w:type="dxa"/>
            <w:vAlign w:val="center"/>
          </w:tcPr>
          <w:p>
            <w:pPr>
              <w:pStyle w:val="12"/>
            </w:pPr>
            <w:r>
              <w:rPr>
                <w:rFonts w:hint="eastAsia"/>
                <w:lang w:eastAsia="zh-CN"/>
              </w:rPr>
              <w:t>重点工作完成率</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eastAsia="zh-CN"/>
              </w:rPr>
              <w:t>隆办字【2002】43号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综合事务保障率</w:t>
            </w:r>
          </w:p>
        </w:tc>
        <w:tc>
          <w:tcPr>
            <w:tcW w:w="2835" w:type="dxa"/>
            <w:vAlign w:val="center"/>
          </w:tcPr>
          <w:p>
            <w:pPr>
              <w:pStyle w:val="12"/>
            </w:pPr>
            <w:r>
              <w:t>综合事务保障情况占综合事务保障任务的比率。</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eastAsia="zh-CN"/>
              </w:rPr>
              <w:t>隆办字【2002】43号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2、冀财金【2022】54号/省级/2023年省级普惠金融发展专项资金（民贸民品企业贷款贴息）绩效目标表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Theme="minorEastAsia"/>
                <w:lang w:eastAsia="zh-CN"/>
              </w:rPr>
            </w:pPr>
            <w:r>
              <w:rPr>
                <w:rFonts w:hint="eastAsia" w:eastAsiaTheme="minorEastAsia"/>
                <w:lang w:eastAsia="zh-CN"/>
              </w:rPr>
              <w:t>对符合政策的民贸民品企业准确及时拨付贴息资金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民贸民品贷款贴息合规率</w:t>
            </w:r>
          </w:p>
        </w:tc>
        <w:tc>
          <w:tcPr>
            <w:tcW w:w="2835" w:type="dxa"/>
            <w:vAlign w:val="center"/>
          </w:tcPr>
          <w:p>
            <w:pPr>
              <w:pStyle w:val="12"/>
            </w:pPr>
            <w:r>
              <w:t>民贸民品贷款贴息合规率</w:t>
            </w:r>
          </w:p>
        </w:tc>
        <w:tc>
          <w:tcPr>
            <w:tcW w:w="2551" w:type="dxa"/>
            <w:vAlign w:val="center"/>
          </w:tcPr>
          <w:p>
            <w:pPr>
              <w:pStyle w:val="12"/>
              <w:rPr>
                <w:rFonts w:hint="eastAsia" w:eastAsiaTheme="minorEastAsia"/>
                <w:lang w:eastAsia="zh-CN"/>
              </w:rPr>
            </w:pPr>
            <w:r>
              <w:t>≥95%</w:t>
            </w:r>
          </w:p>
        </w:tc>
        <w:tc>
          <w:tcPr>
            <w:tcW w:w="2268" w:type="dxa"/>
            <w:vAlign w:val="center"/>
          </w:tcPr>
          <w:p>
            <w:pPr>
              <w:pStyle w:val="12"/>
            </w:pPr>
            <w:r>
              <w:t>冀财金【2022】54号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民贸民品企业贷款贴息限额</w:t>
            </w:r>
          </w:p>
        </w:tc>
        <w:tc>
          <w:tcPr>
            <w:tcW w:w="2835" w:type="dxa"/>
            <w:vAlign w:val="center"/>
          </w:tcPr>
          <w:p>
            <w:pPr>
              <w:pStyle w:val="12"/>
            </w:pPr>
            <w:r>
              <w:t>贷款贴息企业单户最高额</w:t>
            </w:r>
          </w:p>
        </w:tc>
        <w:tc>
          <w:tcPr>
            <w:tcW w:w="2551" w:type="dxa"/>
            <w:vAlign w:val="center"/>
          </w:tcPr>
          <w:p>
            <w:pPr>
              <w:pStyle w:val="12"/>
            </w:pPr>
            <w:r>
              <w:t>≤1000万元</w:t>
            </w:r>
          </w:p>
        </w:tc>
        <w:tc>
          <w:tcPr>
            <w:tcW w:w="2268" w:type="dxa"/>
            <w:vAlign w:val="center"/>
          </w:tcPr>
          <w:p>
            <w:pPr>
              <w:pStyle w:val="12"/>
            </w:pPr>
            <w:r>
              <w:t>冀财金【2022】54号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民贸民品贷款贴息资金拨付及时率</w:t>
            </w:r>
          </w:p>
        </w:tc>
        <w:tc>
          <w:tcPr>
            <w:tcW w:w="2835" w:type="dxa"/>
            <w:vAlign w:val="center"/>
          </w:tcPr>
          <w:p>
            <w:pPr>
              <w:pStyle w:val="12"/>
            </w:pPr>
            <w:r>
              <w:t>民贸民品贷款贴息资金拨付及时率</w:t>
            </w:r>
          </w:p>
        </w:tc>
        <w:tc>
          <w:tcPr>
            <w:tcW w:w="2551" w:type="dxa"/>
            <w:vAlign w:val="center"/>
          </w:tcPr>
          <w:p>
            <w:pPr>
              <w:pStyle w:val="12"/>
            </w:pPr>
            <w:r>
              <w:t>≥95%</w:t>
            </w:r>
          </w:p>
        </w:tc>
        <w:tc>
          <w:tcPr>
            <w:tcW w:w="2268" w:type="dxa"/>
            <w:vAlign w:val="center"/>
          </w:tcPr>
          <w:p>
            <w:pPr>
              <w:pStyle w:val="12"/>
            </w:pPr>
            <w:r>
              <w:t>冀财金【2022】54号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民贸民品企业贷款财政贴息水平</w:t>
            </w:r>
          </w:p>
        </w:tc>
        <w:tc>
          <w:tcPr>
            <w:tcW w:w="2835" w:type="dxa"/>
            <w:vAlign w:val="center"/>
          </w:tcPr>
          <w:p>
            <w:pPr>
              <w:pStyle w:val="12"/>
            </w:pPr>
            <w:r>
              <w:t>为符合条件的民贸民品企业贷款安排的财政贴息水平</w:t>
            </w:r>
          </w:p>
        </w:tc>
        <w:tc>
          <w:tcPr>
            <w:tcW w:w="2551" w:type="dxa"/>
            <w:vAlign w:val="center"/>
          </w:tcPr>
          <w:p>
            <w:pPr>
              <w:pStyle w:val="12"/>
            </w:pPr>
            <w:r>
              <w:t>≤2.88百分比</w:t>
            </w:r>
          </w:p>
        </w:tc>
        <w:tc>
          <w:tcPr>
            <w:tcW w:w="2268" w:type="dxa"/>
            <w:vAlign w:val="center"/>
          </w:tcPr>
          <w:p>
            <w:pPr>
              <w:pStyle w:val="12"/>
            </w:pPr>
            <w:r>
              <w:t>冀财金【2022】54号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民贸民品贷款发放金额</w:t>
            </w:r>
          </w:p>
        </w:tc>
        <w:tc>
          <w:tcPr>
            <w:tcW w:w="2835" w:type="dxa"/>
            <w:vAlign w:val="center"/>
          </w:tcPr>
          <w:p>
            <w:pPr>
              <w:pStyle w:val="12"/>
            </w:pPr>
            <w:r>
              <w:t>引导银行类金融机构发放贷款金额</w:t>
            </w:r>
          </w:p>
        </w:tc>
        <w:tc>
          <w:tcPr>
            <w:tcW w:w="2551" w:type="dxa"/>
            <w:vAlign w:val="center"/>
          </w:tcPr>
          <w:p>
            <w:pPr>
              <w:pStyle w:val="12"/>
            </w:pPr>
            <w:r>
              <w:t>≥2亿元</w:t>
            </w:r>
          </w:p>
        </w:tc>
        <w:tc>
          <w:tcPr>
            <w:tcW w:w="2268" w:type="dxa"/>
            <w:vAlign w:val="center"/>
          </w:tcPr>
          <w:p>
            <w:pPr>
              <w:pStyle w:val="12"/>
            </w:pPr>
            <w:r>
              <w:t>冀财金【2022】54号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民贸民品企业发放贷款贴息满意度</w:t>
            </w:r>
          </w:p>
        </w:tc>
        <w:tc>
          <w:tcPr>
            <w:tcW w:w="2835" w:type="dxa"/>
            <w:vAlign w:val="center"/>
          </w:tcPr>
          <w:p>
            <w:pPr>
              <w:pStyle w:val="12"/>
            </w:pPr>
            <w:r>
              <w:t>贷款贴息企业满意度</w:t>
            </w:r>
          </w:p>
        </w:tc>
        <w:tc>
          <w:tcPr>
            <w:tcW w:w="2551" w:type="dxa"/>
            <w:vAlign w:val="center"/>
          </w:tcPr>
          <w:p>
            <w:pPr>
              <w:pStyle w:val="12"/>
            </w:pPr>
            <w:r>
              <w:t>≥95%</w:t>
            </w:r>
          </w:p>
        </w:tc>
        <w:tc>
          <w:tcPr>
            <w:tcW w:w="2268" w:type="dxa"/>
            <w:vAlign w:val="center"/>
          </w:tcPr>
          <w:p>
            <w:pPr>
              <w:pStyle w:val="12"/>
            </w:pPr>
            <w:r>
              <w:t>冀财金【2022】54号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3、劳务派遣人员工资绩效目标表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rPr>
                <w:rFonts w:hint="eastAsia" w:eastAsiaTheme="minorEastAsia"/>
                <w:lang w:eastAsia="zh-CN"/>
              </w:rPr>
              <w:t>及时发放劳务派遣人员工资，确保各项工作顺利开展。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培训人员人次</w:t>
            </w:r>
          </w:p>
        </w:tc>
        <w:tc>
          <w:tcPr>
            <w:tcW w:w="2835" w:type="dxa"/>
            <w:vAlign w:val="center"/>
          </w:tcPr>
          <w:p>
            <w:pPr>
              <w:pStyle w:val="12"/>
            </w:pPr>
            <w:r>
              <w:t>培训人员人次</w:t>
            </w:r>
          </w:p>
        </w:tc>
        <w:tc>
          <w:tcPr>
            <w:tcW w:w="2551" w:type="dxa"/>
            <w:vAlign w:val="center"/>
          </w:tcPr>
          <w:p>
            <w:pPr>
              <w:pStyle w:val="12"/>
            </w:pPr>
            <w:r>
              <w:t>≥6次</w:t>
            </w:r>
          </w:p>
        </w:tc>
        <w:tc>
          <w:tcPr>
            <w:tcW w:w="2268" w:type="dxa"/>
            <w:vAlign w:val="center"/>
          </w:tcPr>
          <w:p>
            <w:pPr>
              <w:pStyle w:val="12"/>
              <w:rPr>
                <w:rFonts w:hint="eastAsia" w:eastAsiaTheme="minorEastAsia"/>
                <w:lang w:eastAsia="zh-CN"/>
              </w:rPr>
            </w:pPr>
            <w:r>
              <w:rPr>
                <w:rFonts w:hint="eastAsia" w:eastAsiaTheme="minorEastAsia"/>
                <w:lang w:eastAsia="zh-CN"/>
              </w:rPr>
              <w:t>隆办字【2002】29号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其他各项综合实务工作完成率</w:t>
            </w:r>
          </w:p>
        </w:tc>
        <w:tc>
          <w:tcPr>
            <w:tcW w:w="2835" w:type="dxa"/>
            <w:vAlign w:val="center"/>
          </w:tcPr>
          <w:p>
            <w:pPr>
              <w:pStyle w:val="12"/>
            </w:pPr>
            <w:r>
              <w:t>其他各项综合实务工作完成率</w:t>
            </w:r>
          </w:p>
        </w:tc>
        <w:tc>
          <w:tcPr>
            <w:tcW w:w="2551" w:type="dxa"/>
            <w:vAlign w:val="center"/>
          </w:tcPr>
          <w:p>
            <w:pPr>
              <w:pStyle w:val="12"/>
            </w:pPr>
            <w:r>
              <w:t>≥95%</w:t>
            </w:r>
          </w:p>
        </w:tc>
        <w:tc>
          <w:tcPr>
            <w:tcW w:w="2268" w:type="dxa"/>
            <w:vAlign w:val="center"/>
          </w:tcPr>
          <w:p>
            <w:pPr>
              <w:pStyle w:val="12"/>
            </w:pPr>
            <w:r>
              <w:rPr>
                <w:rFonts w:hint="eastAsia" w:eastAsiaTheme="minorEastAsia"/>
                <w:lang w:eastAsia="zh-CN"/>
              </w:rPr>
              <w:t>隆办字【2002】29号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≥95%</w:t>
            </w:r>
          </w:p>
        </w:tc>
        <w:tc>
          <w:tcPr>
            <w:tcW w:w="2268" w:type="dxa"/>
            <w:vAlign w:val="center"/>
          </w:tcPr>
          <w:p>
            <w:pPr>
              <w:pStyle w:val="12"/>
            </w:pPr>
            <w:r>
              <w:rPr>
                <w:rFonts w:hint="eastAsia" w:eastAsiaTheme="minorEastAsia"/>
                <w:lang w:eastAsia="zh-CN"/>
              </w:rPr>
              <w:t>隆办字【2002】29号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pPr>
            <w:r>
              <w:t>≥95%</w:t>
            </w:r>
          </w:p>
        </w:tc>
        <w:tc>
          <w:tcPr>
            <w:tcW w:w="2268" w:type="dxa"/>
            <w:vAlign w:val="center"/>
          </w:tcPr>
          <w:p>
            <w:pPr>
              <w:pStyle w:val="12"/>
            </w:pPr>
            <w:r>
              <w:rPr>
                <w:rFonts w:hint="eastAsia" w:eastAsiaTheme="minorEastAsia"/>
                <w:lang w:eastAsia="zh-CN"/>
              </w:rPr>
              <w:t>隆办字【2002】29号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rPr>
                <w:rFonts w:hint="eastAsia"/>
                <w:lang w:eastAsia="zh-CN"/>
              </w:rPr>
            </w:pPr>
            <w:r>
              <w:rPr>
                <w:rFonts w:hint="eastAsia"/>
                <w:lang w:eastAsia="zh-CN"/>
              </w:rPr>
              <w:t>人员录用后发挥作用占比</w:t>
            </w:r>
          </w:p>
        </w:tc>
        <w:tc>
          <w:tcPr>
            <w:tcW w:w="2835" w:type="dxa"/>
            <w:vAlign w:val="center"/>
          </w:tcPr>
          <w:p>
            <w:pPr>
              <w:pStyle w:val="12"/>
              <w:rPr>
                <w:rFonts w:hint="eastAsia"/>
                <w:lang w:eastAsia="zh-CN"/>
              </w:rPr>
            </w:pPr>
            <w:r>
              <w:rPr>
                <w:rFonts w:hint="eastAsia"/>
                <w:lang w:eastAsia="zh-CN"/>
              </w:rPr>
              <w:t>人员录用发挥后作用占比</w:t>
            </w:r>
          </w:p>
        </w:tc>
        <w:tc>
          <w:tcPr>
            <w:tcW w:w="2551" w:type="dxa"/>
            <w:vAlign w:val="center"/>
          </w:tcPr>
          <w:p>
            <w:pPr>
              <w:pStyle w:val="12"/>
            </w:pPr>
            <w:r>
              <w:t>≥95%</w:t>
            </w:r>
          </w:p>
        </w:tc>
        <w:tc>
          <w:tcPr>
            <w:tcW w:w="2268" w:type="dxa"/>
            <w:vAlign w:val="center"/>
          </w:tcPr>
          <w:p>
            <w:pPr>
              <w:pStyle w:val="12"/>
            </w:pPr>
            <w:r>
              <w:rPr>
                <w:rFonts w:hint="eastAsia" w:eastAsiaTheme="minorEastAsia"/>
                <w:lang w:eastAsia="zh-CN"/>
              </w:rPr>
              <w:t>隆办字【2002】29号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rPr>
                <w:rFonts w:hint="eastAsia" w:eastAsiaTheme="minorEastAsia"/>
                <w:lang w:eastAsia="zh-CN"/>
              </w:rPr>
            </w:pPr>
            <w:r>
              <w:t>问卷调查满意</w:t>
            </w:r>
            <w:r>
              <w:rPr>
                <w:rFonts w:hint="eastAsia" w:eastAsiaTheme="minorEastAsia"/>
                <w:lang w:eastAsia="zh-CN"/>
              </w:rPr>
              <w:t>率</w:t>
            </w:r>
          </w:p>
        </w:tc>
        <w:tc>
          <w:tcPr>
            <w:tcW w:w="2835" w:type="dxa"/>
            <w:vAlign w:val="center"/>
          </w:tcPr>
          <w:p>
            <w:pPr>
              <w:pStyle w:val="12"/>
            </w:pPr>
            <w:r>
              <w:t>问卷调查满意</w:t>
            </w:r>
            <w:r>
              <w:rPr>
                <w:rFonts w:hint="eastAsia" w:eastAsiaTheme="minorEastAsia"/>
                <w:lang w:eastAsia="zh-CN"/>
              </w:rPr>
              <w:t>率</w:t>
            </w:r>
          </w:p>
        </w:tc>
        <w:tc>
          <w:tcPr>
            <w:tcW w:w="2551" w:type="dxa"/>
            <w:vAlign w:val="center"/>
          </w:tcPr>
          <w:p>
            <w:pPr>
              <w:pStyle w:val="12"/>
            </w:pPr>
            <w:r>
              <w:t>≥95%</w:t>
            </w:r>
          </w:p>
        </w:tc>
        <w:tc>
          <w:tcPr>
            <w:tcW w:w="2268" w:type="dxa"/>
            <w:vAlign w:val="center"/>
          </w:tcPr>
          <w:p>
            <w:pPr>
              <w:pStyle w:val="12"/>
            </w:pPr>
            <w:r>
              <w:rPr>
                <w:rFonts w:hint="eastAsia" w:eastAsiaTheme="minorEastAsia"/>
                <w:lang w:eastAsia="zh-CN"/>
              </w:rPr>
              <w:t>隆办字【2002】29号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4、民营企业培训费绩效目标表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Theme="minorEastAsia"/>
                <w:lang w:eastAsia="zh-CN"/>
              </w:rPr>
            </w:pPr>
            <w:r>
              <w:rPr>
                <w:rFonts w:hint="eastAsia" w:ascii="仿宋_GB2312" w:cs="仿宋_GB2312" w:eastAsiaTheme="minorEastAsia"/>
                <w:lang w:eastAsia="zh-CN"/>
              </w:rPr>
              <w:t>促进</w:t>
            </w:r>
            <w:r>
              <w:rPr>
                <w:rFonts w:hint="eastAsia" w:ascii="仿宋_GB2312" w:cs="仿宋_GB2312"/>
              </w:rPr>
              <w:t>非公有制</w:t>
            </w:r>
            <w:r>
              <w:rPr>
                <w:rFonts w:hint="eastAsia" w:ascii="仿宋_GB2312" w:cs="仿宋_GB2312" w:eastAsiaTheme="minorEastAsia"/>
                <w:lang w:eastAsia="zh-CN"/>
              </w:rPr>
              <w:t>企业</w:t>
            </w:r>
            <w:r>
              <w:rPr>
                <w:rFonts w:hint="eastAsia" w:ascii="仿宋_GB2312" w:cs="仿宋_GB2312"/>
              </w:rPr>
              <w:t>健康发展、</w:t>
            </w:r>
            <w:r>
              <w:rPr>
                <w:rFonts w:hint="eastAsia" w:ascii="仿宋_GB2312" w:cs="仿宋_GB2312" w:eastAsiaTheme="minorEastAsia"/>
                <w:lang w:eastAsia="zh-CN"/>
              </w:rPr>
              <w:t>帮助</w:t>
            </w:r>
            <w:r>
              <w:rPr>
                <w:rFonts w:hint="eastAsia" w:ascii="仿宋_GB2312" w:cs="仿宋_GB2312"/>
              </w:rPr>
              <w:t>企业提质升级</w:t>
            </w:r>
            <w:r>
              <w:rPr>
                <w:rFonts w:hint="eastAsia" w:ascii="仿宋_GB2312" w:cs="仿宋_GB2312" w:eastAsiaTheme="minor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eastAsia" w:eastAsiaTheme="minorEastAsia"/>
                <w:lang w:eastAsia="zh-CN"/>
              </w:rPr>
            </w:pPr>
            <w:r>
              <w:t>民营企业培训</w:t>
            </w:r>
            <w:r>
              <w:rPr>
                <w:rFonts w:hint="eastAsia" w:eastAsiaTheme="minorEastAsia"/>
                <w:lang w:eastAsia="zh-CN"/>
              </w:rPr>
              <w:t>率</w:t>
            </w:r>
          </w:p>
        </w:tc>
        <w:tc>
          <w:tcPr>
            <w:tcW w:w="2835" w:type="dxa"/>
            <w:vAlign w:val="center"/>
          </w:tcPr>
          <w:p>
            <w:pPr>
              <w:pStyle w:val="12"/>
              <w:rPr>
                <w:rFonts w:hint="eastAsia" w:eastAsiaTheme="minorEastAsia"/>
                <w:lang w:eastAsia="zh-CN"/>
              </w:rPr>
            </w:pPr>
            <w:r>
              <w:t>民营企业培训</w:t>
            </w:r>
            <w:r>
              <w:rPr>
                <w:rFonts w:hint="eastAsia" w:eastAsiaTheme="minorEastAsia"/>
                <w:lang w:eastAsia="zh-CN"/>
              </w:rPr>
              <w:t>率</w:t>
            </w:r>
          </w:p>
        </w:tc>
        <w:tc>
          <w:tcPr>
            <w:tcW w:w="2551" w:type="dxa"/>
            <w:vAlign w:val="center"/>
          </w:tcPr>
          <w:p>
            <w:pPr>
              <w:pStyle w:val="12"/>
            </w:pPr>
            <w:r>
              <w:t>≥95%</w:t>
            </w:r>
          </w:p>
        </w:tc>
        <w:tc>
          <w:tcPr>
            <w:tcW w:w="2268" w:type="dxa"/>
            <w:vAlign w:val="center"/>
          </w:tcPr>
          <w:p>
            <w:pPr>
              <w:pStyle w:val="12"/>
            </w:pPr>
            <w:r>
              <w:rPr>
                <w:rFonts w:hint="eastAsia" w:ascii="仿宋_GB2312" w:hAnsi="Arial" w:cs="仿宋_GB2312"/>
                <w:color w:val="333333"/>
                <w:shd w:val="clear" w:color="auto" w:fill="FFFFFF"/>
              </w:rPr>
              <w:t>邢发〔</w:t>
            </w:r>
            <w:r>
              <w:rPr>
                <w:rFonts w:ascii="仿宋_GB2312" w:hAnsi="Arial" w:cs="仿宋_GB2312"/>
                <w:color w:val="333333"/>
                <w:shd w:val="clear" w:color="auto" w:fill="FFFFFF"/>
              </w:rPr>
              <w:t>2011</w:t>
            </w:r>
            <w:r>
              <w:rPr>
                <w:rFonts w:hint="eastAsia" w:ascii="仿宋_GB2312" w:hAnsi="Arial" w:cs="仿宋_GB2312"/>
                <w:color w:val="333333"/>
                <w:shd w:val="clear" w:color="auto" w:fill="FFFFFF"/>
              </w:rPr>
              <w:t>〕</w:t>
            </w:r>
            <w:r>
              <w:rPr>
                <w:rFonts w:ascii="仿宋_GB2312" w:hAnsi="Arial" w:cs="仿宋_GB2312"/>
                <w:color w:val="333333"/>
                <w:shd w:val="clear" w:color="auto" w:fill="FFFFFF"/>
              </w:rPr>
              <w:t>12</w:t>
            </w:r>
            <w:r>
              <w:rPr>
                <w:rFonts w:hint="eastAsia" w:ascii="仿宋_GB2312" w:hAnsi="Arial" w:cs="仿宋_GB2312"/>
                <w:color w:val="333333"/>
                <w:shd w:val="clear" w:color="auto" w:fill="FFFFFF"/>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rFonts w:hint="eastAsia" w:eastAsiaTheme="minorEastAsia"/>
                <w:lang w:eastAsia="zh-CN"/>
              </w:rPr>
            </w:pPr>
            <w:r>
              <w:t>培训质量</w:t>
            </w:r>
            <w:r>
              <w:rPr>
                <w:rFonts w:hint="eastAsia" w:eastAsiaTheme="minorEastAsia"/>
                <w:lang w:eastAsia="zh-CN"/>
              </w:rPr>
              <w:t>标准</w:t>
            </w:r>
          </w:p>
        </w:tc>
        <w:tc>
          <w:tcPr>
            <w:tcW w:w="2835" w:type="dxa"/>
            <w:vAlign w:val="center"/>
          </w:tcPr>
          <w:p>
            <w:pPr>
              <w:pStyle w:val="12"/>
            </w:pPr>
            <w:r>
              <w:t>培训质量</w:t>
            </w:r>
            <w:r>
              <w:rPr>
                <w:rFonts w:hint="eastAsia" w:eastAsiaTheme="minorEastAsia"/>
                <w:lang w:eastAsia="zh-CN"/>
              </w:rPr>
              <w:t>标准</w:t>
            </w:r>
          </w:p>
        </w:tc>
        <w:tc>
          <w:tcPr>
            <w:tcW w:w="2551" w:type="dxa"/>
            <w:vAlign w:val="center"/>
          </w:tcPr>
          <w:p>
            <w:pPr>
              <w:pStyle w:val="12"/>
            </w:pPr>
            <w:r>
              <w:t>≥95%</w:t>
            </w:r>
          </w:p>
        </w:tc>
        <w:tc>
          <w:tcPr>
            <w:tcW w:w="2268" w:type="dxa"/>
            <w:vAlign w:val="center"/>
          </w:tcPr>
          <w:p>
            <w:pPr>
              <w:pStyle w:val="12"/>
            </w:pPr>
            <w:r>
              <w:rPr>
                <w:rFonts w:hint="eastAsia" w:ascii="仿宋_GB2312" w:hAnsi="Arial" w:cs="仿宋_GB2312"/>
                <w:color w:val="333333"/>
                <w:shd w:val="clear" w:color="auto" w:fill="FFFFFF"/>
              </w:rPr>
              <w:t>邢发〔</w:t>
            </w:r>
            <w:r>
              <w:rPr>
                <w:rFonts w:ascii="仿宋_GB2312" w:hAnsi="Arial" w:cs="仿宋_GB2312"/>
                <w:color w:val="333333"/>
                <w:shd w:val="clear" w:color="auto" w:fill="FFFFFF"/>
              </w:rPr>
              <w:t>2011</w:t>
            </w:r>
            <w:r>
              <w:rPr>
                <w:rFonts w:hint="eastAsia" w:ascii="仿宋_GB2312" w:hAnsi="Arial" w:cs="仿宋_GB2312"/>
                <w:color w:val="333333"/>
                <w:shd w:val="clear" w:color="auto" w:fill="FFFFFF"/>
              </w:rPr>
              <w:t>〕</w:t>
            </w:r>
            <w:r>
              <w:rPr>
                <w:rFonts w:ascii="仿宋_GB2312" w:hAnsi="Arial" w:cs="仿宋_GB2312"/>
                <w:color w:val="333333"/>
                <w:shd w:val="clear" w:color="auto" w:fill="FFFFFF"/>
              </w:rPr>
              <w:t>12</w:t>
            </w:r>
            <w:r>
              <w:rPr>
                <w:rFonts w:hint="eastAsia" w:ascii="仿宋_GB2312" w:hAnsi="Arial" w:cs="仿宋_GB2312"/>
                <w:color w:val="333333"/>
                <w:shd w:val="clear" w:color="auto" w:fill="FFFFFF"/>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rFonts w:hint="eastAsia" w:eastAsiaTheme="minorEastAsia"/>
                <w:lang w:eastAsia="zh-CN"/>
              </w:rPr>
            </w:pPr>
            <w:r>
              <w:rPr>
                <w:rFonts w:hint="eastAsia" w:eastAsiaTheme="minorEastAsia"/>
                <w:lang w:eastAsia="zh-CN"/>
              </w:rPr>
              <w:t>培训进度率</w:t>
            </w:r>
          </w:p>
        </w:tc>
        <w:tc>
          <w:tcPr>
            <w:tcW w:w="2835" w:type="dxa"/>
            <w:vAlign w:val="center"/>
          </w:tcPr>
          <w:p>
            <w:pPr>
              <w:pStyle w:val="12"/>
              <w:rPr>
                <w:rFonts w:hint="eastAsia" w:eastAsiaTheme="minorEastAsia"/>
                <w:lang w:eastAsia="zh-CN"/>
              </w:rPr>
            </w:pPr>
            <w:r>
              <w:rPr>
                <w:rFonts w:hint="eastAsia" w:eastAsiaTheme="minorEastAsia"/>
                <w:lang w:eastAsia="zh-CN"/>
              </w:rPr>
              <w:t>培训进度率</w:t>
            </w:r>
          </w:p>
        </w:tc>
        <w:tc>
          <w:tcPr>
            <w:tcW w:w="2551" w:type="dxa"/>
            <w:vAlign w:val="center"/>
          </w:tcPr>
          <w:p>
            <w:pPr>
              <w:pStyle w:val="12"/>
            </w:pPr>
            <w:r>
              <w:t>≥95%</w:t>
            </w:r>
          </w:p>
        </w:tc>
        <w:tc>
          <w:tcPr>
            <w:tcW w:w="2268" w:type="dxa"/>
            <w:vAlign w:val="center"/>
          </w:tcPr>
          <w:p>
            <w:pPr>
              <w:pStyle w:val="12"/>
            </w:pPr>
            <w:r>
              <w:rPr>
                <w:rFonts w:hint="eastAsia" w:ascii="仿宋_GB2312" w:hAnsi="Arial" w:cs="仿宋_GB2312"/>
                <w:color w:val="333333"/>
                <w:shd w:val="clear" w:color="auto" w:fill="FFFFFF"/>
              </w:rPr>
              <w:t>邢发〔</w:t>
            </w:r>
            <w:r>
              <w:rPr>
                <w:rFonts w:ascii="仿宋_GB2312" w:hAnsi="Arial" w:cs="仿宋_GB2312"/>
                <w:color w:val="333333"/>
                <w:shd w:val="clear" w:color="auto" w:fill="FFFFFF"/>
              </w:rPr>
              <w:t>2011</w:t>
            </w:r>
            <w:r>
              <w:rPr>
                <w:rFonts w:hint="eastAsia" w:ascii="仿宋_GB2312" w:hAnsi="Arial" w:cs="仿宋_GB2312"/>
                <w:color w:val="333333"/>
                <w:shd w:val="clear" w:color="auto" w:fill="FFFFFF"/>
              </w:rPr>
              <w:t>〕</w:t>
            </w:r>
            <w:r>
              <w:rPr>
                <w:rFonts w:ascii="仿宋_GB2312" w:hAnsi="Arial" w:cs="仿宋_GB2312"/>
                <w:color w:val="333333"/>
                <w:shd w:val="clear" w:color="auto" w:fill="FFFFFF"/>
              </w:rPr>
              <w:t>12</w:t>
            </w:r>
            <w:r>
              <w:rPr>
                <w:rFonts w:hint="eastAsia" w:ascii="仿宋_GB2312" w:hAnsi="Arial" w:cs="仿宋_GB2312"/>
                <w:color w:val="333333"/>
                <w:shd w:val="clear" w:color="auto" w:fill="FFFFFF"/>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pPr>
            <w:r>
              <w:t>≥95%</w:t>
            </w:r>
          </w:p>
        </w:tc>
        <w:tc>
          <w:tcPr>
            <w:tcW w:w="2268" w:type="dxa"/>
            <w:vAlign w:val="center"/>
          </w:tcPr>
          <w:p>
            <w:pPr>
              <w:pStyle w:val="12"/>
            </w:pPr>
            <w:r>
              <w:rPr>
                <w:rFonts w:hint="eastAsia" w:ascii="仿宋_GB2312" w:hAnsi="Arial" w:cs="仿宋_GB2312"/>
                <w:color w:val="333333"/>
                <w:shd w:val="clear" w:color="auto" w:fill="FFFFFF"/>
              </w:rPr>
              <w:t>邢发〔</w:t>
            </w:r>
            <w:r>
              <w:rPr>
                <w:rFonts w:ascii="仿宋_GB2312" w:hAnsi="Arial" w:cs="仿宋_GB2312"/>
                <w:color w:val="333333"/>
                <w:shd w:val="clear" w:color="auto" w:fill="FFFFFF"/>
              </w:rPr>
              <w:t>2011</w:t>
            </w:r>
            <w:r>
              <w:rPr>
                <w:rFonts w:hint="eastAsia" w:ascii="仿宋_GB2312" w:hAnsi="Arial" w:cs="仿宋_GB2312"/>
                <w:color w:val="333333"/>
                <w:shd w:val="clear" w:color="auto" w:fill="FFFFFF"/>
              </w:rPr>
              <w:t>〕</w:t>
            </w:r>
            <w:r>
              <w:rPr>
                <w:rFonts w:ascii="仿宋_GB2312" w:hAnsi="Arial" w:cs="仿宋_GB2312"/>
                <w:color w:val="333333"/>
                <w:shd w:val="clear" w:color="auto" w:fill="FFFFFF"/>
              </w:rPr>
              <w:t>12</w:t>
            </w:r>
            <w:r>
              <w:rPr>
                <w:rFonts w:hint="eastAsia" w:ascii="仿宋_GB2312" w:hAnsi="Arial" w:cs="仿宋_GB2312"/>
                <w:color w:val="333333"/>
                <w:shd w:val="clear" w:color="auto" w:fill="FFFFFF"/>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rPr>
                <w:rFonts w:hint="eastAsia" w:eastAsiaTheme="minorEastAsia"/>
                <w:lang w:eastAsia="zh-CN"/>
              </w:rPr>
            </w:pPr>
            <w:r>
              <w:rPr>
                <w:rFonts w:hint="eastAsia" w:eastAsiaTheme="minorEastAsia"/>
                <w:lang w:eastAsia="zh-CN"/>
              </w:rPr>
              <w:t>预定目标占比率</w:t>
            </w:r>
          </w:p>
        </w:tc>
        <w:tc>
          <w:tcPr>
            <w:tcW w:w="2835" w:type="dxa"/>
            <w:vAlign w:val="center"/>
          </w:tcPr>
          <w:p>
            <w:pPr>
              <w:pStyle w:val="12"/>
            </w:pPr>
            <w:r>
              <w:rPr>
                <w:rFonts w:hint="eastAsia" w:eastAsiaTheme="minorEastAsia"/>
                <w:lang w:eastAsia="zh-CN"/>
              </w:rPr>
              <w:t>预定目标占比率</w:t>
            </w:r>
          </w:p>
        </w:tc>
        <w:tc>
          <w:tcPr>
            <w:tcW w:w="2551" w:type="dxa"/>
            <w:vAlign w:val="center"/>
          </w:tcPr>
          <w:p>
            <w:pPr>
              <w:pStyle w:val="12"/>
            </w:pPr>
            <w:r>
              <w:t>≥95%</w:t>
            </w:r>
          </w:p>
        </w:tc>
        <w:tc>
          <w:tcPr>
            <w:tcW w:w="2268" w:type="dxa"/>
            <w:vAlign w:val="center"/>
          </w:tcPr>
          <w:p>
            <w:pPr>
              <w:pStyle w:val="12"/>
            </w:pPr>
            <w:r>
              <w:rPr>
                <w:rFonts w:hint="eastAsia" w:ascii="仿宋_GB2312" w:hAnsi="Arial" w:cs="仿宋_GB2312"/>
                <w:color w:val="333333"/>
                <w:shd w:val="clear" w:color="auto" w:fill="FFFFFF"/>
              </w:rPr>
              <w:t>邢发〔</w:t>
            </w:r>
            <w:r>
              <w:rPr>
                <w:rFonts w:ascii="仿宋_GB2312" w:hAnsi="Arial" w:cs="仿宋_GB2312"/>
                <w:color w:val="333333"/>
                <w:shd w:val="clear" w:color="auto" w:fill="FFFFFF"/>
              </w:rPr>
              <w:t>2011</w:t>
            </w:r>
            <w:r>
              <w:rPr>
                <w:rFonts w:hint="eastAsia" w:ascii="仿宋_GB2312" w:hAnsi="Arial" w:cs="仿宋_GB2312"/>
                <w:color w:val="333333"/>
                <w:shd w:val="clear" w:color="auto" w:fill="FFFFFF"/>
              </w:rPr>
              <w:t>〕</w:t>
            </w:r>
            <w:r>
              <w:rPr>
                <w:rFonts w:ascii="仿宋_GB2312" w:hAnsi="Arial" w:cs="仿宋_GB2312"/>
                <w:color w:val="333333"/>
                <w:shd w:val="clear" w:color="auto" w:fill="FFFFFF"/>
              </w:rPr>
              <w:t>12</w:t>
            </w:r>
            <w:r>
              <w:rPr>
                <w:rFonts w:hint="eastAsia" w:ascii="仿宋_GB2312" w:hAnsi="Arial" w:cs="仿宋_GB2312"/>
                <w:color w:val="333333"/>
                <w:shd w:val="clear" w:color="auto" w:fill="FFFFFF"/>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rPr>
                <w:rFonts w:hint="eastAsia" w:eastAsiaTheme="minorEastAsia"/>
                <w:lang w:eastAsia="zh-CN"/>
              </w:rPr>
            </w:pPr>
            <w:r>
              <w:rPr>
                <w:rFonts w:hint="eastAsia" w:eastAsiaTheme="minorEastAsia"/>
                <w:lang w:eastAsia="zh-CN"/>
              </w:rPr>
              <w:t>受</w:t>
            </w:r>
            <w:r>
              <w:t>训人员满意</w:t>
            </w:r>
            <w:r>
              <w:rPr>
                <w:rFonts w:hint="eastAsia" w:eastAsiaTheme="minorEastAsia"/>
                <w:lang w:eastAsia="zh-CN"/>
              </w:rPr>
              <w:t>率</w:t>
            </w:r>
          </w:p>
        </w:tc>
        <w:tc>
          <w:tcPr>
            <w:tcW w:w="2835" w:type="dxa"/>
            <w:vAlign w:val="center"/>
          </w:tcPr>
          <w:p>
            <w:pPr>
              <w:pStyle w:val="12"/>
            </w:pPr>
            <w:r>
              <w:rPr>
                <w:rFonts w:hint="eastAsia" w:eastAsiaTheme="minorEastAsia"/>
                <w:lang w:eastAsia="zh-CN"/>
              </w:rPr>
              <w:t>受</w:t>
            </w:r>
            <w:r>
              <w:t>训人员满意</w:t>
            </w:r>
            <w:r>
              <w:rPr>
                <w:rFonts w:hint="eastAsia" w:eastAsiaTheme="minorEastAsia"/>
                <w:lang w:eastAsia="zh-CN"/>
              </w:rPr>
              <w:t>率</w:t>
            </w:r>
          </w:p>
        </w:tc>
        <w:tc>
          <w:tcPr>
            <w:tcW w:w="2551" w:type="dxa"/>
            <w:vAlign w:val="center"/>
          </w:tcPr>
          <w:p>
            <w:pPr>
              <w:pStyle w:val="12"/>
            </w:pPr>
            <w:r>
              <w:t>≥95%</w:t>
            </w:r>
          </w:p>
        </w:tc>
        <w:tc>
          <w:tcPr>
            <w:tcW w:w="2268" w:type="dxa"/>
            <w:vAlign w:val="center"/>
          </w:tcPr>
          <w:p>
            <w:pPr>
              <w:pStyle w:val="12"/>
            </w:pPr>
            <w:r>
              <w:rPr>
                <w:rFonts w:hint="eastAsia" w:ascii="仿宋_GB2312" w:hAnsi="Arial" w:cs="仿宋_GB2312"/>
                <w:color w:val="333333"/>
                <w:shd w:val="clear" w:color="auto" w:fill="FFFFFF"/>
              </w:rPr>
              <w:t>邢发〔</w:t>
            </w:r>
            <w:r>
              <w:rPr>
                <w:rFonts w:ascii="仿宋_GB2312" w:hAnsi="Arial" w:cs="仿宋_GB2312"/>
                <w:color w:val="333333"/>
                <w:shd w:val="clear" w:color="auto" w:fill="FFFFFF"/>
              </w:rPr>
              <w:t>2011</w:t>
            </w:r>
            <w:r>
              <w:rPr>
                <w:rFonts w:hint="eastAsia" w:ascii="仿宋_GB2312" w:hAnsi="Arial" w:cs="仿宋_GB2312"/>
                <w:color w:val="333333"/>
                <w:shd w:val="clear" w:color="auto" w:fill="FFFFFF"/>
              </w:rPr>
              <w:t>〕</w:t>
            </w:r>
            <w:r>
              <w:rPr>
                <w:rFonts w:ascii="仿宋_GB2312" w:hAnsi="Arial" w:cs="仿宋_GB2312"/>
                <w:color w:val="333333"/>
                <w:shd w:val="clear" w:color="auto" w:fill="FFFFFF"/>
              </w:rPr>
              <w:t>12</w:t>
            </w:r>
            <w:r>
              <w:rPr>
                <w:rFonts w:hint="eastAsia" w:ascii="仿宋_GB2312" w:hAnsi="Arial" w:cs="仿宋_GB2312"/>
                <w:color w:val="333333"/>
                <w:shd w:val="clear" w:color="auto" w:fill="FFFFFF"/>
              </w:rPr>
              <w:t>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5、民族宗教基层治理经费绩效目标表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Theme="minorEastAsia"/>
                <w:lang w:eastAsia="zh-CN"/>
              </w:rPr>
            </w:pPr>
            <w:r>
              <w:rPr>
                <w:rFonts w:hint="eastAsia" w:eastAsiaTheme="minorEastAsia"/>
                <w:lang w:eastAsia="zh-CN"/>
              </w:rPr>
              <w:t>深入开展民族团结创建活动，增进团结，凝聚力量。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rPr>
                <w:rFonts w:hint="eastAsia" w:eastAsiaTheme="minorEastAsia"/>
                <w:lang w:eastAsia="zh-CN"/>
              </w:rPr>
              <w:t>治理</w:t>
            </w:r>
            <w:r>
              <w:t>次数</w:t>
            </w:r>
          </w:p>
        </w:tc>
        <w:tc>
          <w:tcPr>
            <w:tcW w:w="2835" w:type="dxa"/>
            <w:vAlign w:val="center"/>
          </w:tcPr>
          <w:p>
            <w:pPr>
              <w:pStyle w:val="12"/>
              <w:rPr>
                <w:rFonts w:hint="eastAsia" w:eastAsiaTheme="minorEastAsia"/>
                <w:lang w:eastAsia="zh-CN"/>
              </w:rPr>
            </w:pPr>
            <w:r>
              <w:t>开展</w:t>
            </w:r>
            <w:r>
              <w:rPr>
                <w:rFonts w:hint="eastAsia" w:eastAsiaTheme="minorEastAsia"/>
                <w:lang w:eastAsia="zh-CN"/>
              </w:rPr>
              <w:t>治理活动次数</w:t>
            </w:r>
          </w:p>
        </w:tc>
        <w:tc>
          <w:tcPr>
            <w:tcW w:w="2551" w:type="dxa"/>
            <w:vAlign w:val="center"/>
          </w:tcPr>
          <w:p>
            <w:pPr>
              <w:pStyle w:val="12"/>
            </w:pPr>
            <w:r>
              <w:t>≥10次</w:t>
            </w:r>
          </w:p>
        </w:tc>
        <w:tc>
          <w:tcPr>
            <w:tcW w:w="2268" w:type="dxa"/>
            <w:vAlign w:val="center"/>
          </w:tcPr>
          <w:p>
            <w:pPr>
              <w:pStyle w:val="12"/>
              <w:rPr>
                <w:rFonts w:hint="eastAsia" w:eastAsiaTheme="minorEastAsia"/>
                <w:lang w:eastAsia="zh-CN"/>
              </w:rPr>
            </w:pPr>
            <w:r>
              <w:rPr>
                <w:rFonts w:hint="eastAsia" w:eastAsiaTheme="minorEastAsia"/>
                <w:lang w:eastAsia="zh-CN"/>
              </w:rPr>
              <w:t>冀统发【2021】5号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工作保障率</w:t>
            </w:r>
          </w:p>
        </w:tc>
        <w:tc>
          <w:tcPr>
            <w:tcW w:w="2835" w:type="dxa"/>
            <w:vAlign w:val="center"/>
          </w:tcPr>
          <w:p>
            <w:pPr>
              <w:pStyle w:val="12"/>
            </w:pPr>
            <w:r>
              <w:t>工作保障率</w:t>
            </w:r>
          </w:p>
        </w:tc>
        <w:tc>
          <w:tcPr>
            <w:tcW w:w="2551" w:type="dxa"/>
            <w:vAlign w:val="center"/>
          </w:tcPr>
          <w:p>
            <w:pPr>
              <w:pStyle w:val="12"/>
            </w:pPr>
            <w:r>
              <w:t>≥95%</w:t>
            </w:r>
          </w:p>
        </w:tc>
        <w:tc>
          <w:tcPr>
            <w:tcW w:w="2268" w:type="dxa"/>
            <w:vAlign w:val="center"/>
          </w:tcPr>
          <w:p>
            <w:pPr>
              <w:pStyle w:val="12"/>
            </w:pPr>
            <w:r>
              <w:rPr>
                <w:rFonts w:hint="eastAsia" w:eastAsiaTheme="minorEastAsia"/>
                <w:lang w:eastAsia="zh-CN"/>
              </w:rPr>
              <w:t>冀统发【2021】5号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rFonts w:hint="eastAsia" w:eastAsiaTheme="minorEastAsia"/>
                <w:lang w:eastAsia="zh-CN"/>
              </w:rPr>
            </w:pPr>
            <w:r>
              <w:rPr>
                <w:rFonts w:hint="eastAsia" w:eastAsiaTheme="minorEastAsia"/>
                <w:lang w:eastAsia="zh-CN"/>
              </w:rPr>
              <w:t>治理活动进度率</w:t>
            </w:r>
          </w:p>
        </w:tc>
        <w:tc>
          <w:tcPr>
            <w:tcW w:w="2835" w:type="dxa"/>
            <w:vAlign w:val="center"/>
          </w:tcPr>
          <w:p>
            <w:pPr>
              <w:pStyle w:val="12"/>
              <w:rPr>
                <w:rFonts w:hint="eastAsia" w:eastAsiaTheme="minorEastAsia"/>
                <w:lang w:eastAsia="zh-CN"/>
              </w:rPr>
            </w:pPr>
            <w:r>
              <w:rPr>
                <w:rFonts w:hint="eastAsia" w:eastAsiaTheme="minorEastAsia"/>
                <w:lang w:eastAsia="zh-CN"/>
              </w:rPr>
              <w:t>治理活动进度率</w:t>
            </w:r>
          </w:p>
        </w:tc>
        <w:tc>
          <w:tcPr>
            <w:tcW w:w="2551" w:type="dxa"/>
            <w:vAlign w:val="center"/>
          </w:tcPr>
          <w:p>
            <w:pPr>
              <w:pStyle w:val="12"/>
            </w:pPr>
            <w:r>
              <w:t>≥95%</w:t>
            </w:r>
          </w:p>
        </w:tc>
        <w:tc>
          <w:tcPr>
            <w:tcW w:w="2268" w:type="dxa"/>
            <w:vAlign w:val="center"/>
          </w:tcPr>
          <w:p>
            <w:pPr>
              <w:pStyle w:val="12"/>
            </w:pPr>
            <w:r>
              <w:rPr>
                <w:rFonts w:hint="eastAsia" w:eastAsiaTheme="minorEastAsia"/>
                <w:lang w:eastAsia="zh-CN"/>
              </w:rPr>
              <w:t>冀统发【2021】5号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pPr>
            <w:r>
              <w:t>≥95%</w:t>
            </w:r>
          </w:p>
        </w:tc>
        <w:tc>
          <w:tcPr>
            <w:tcW w:w="2268" w:type="dxa"/>
            <w:vAlign w:val="center"/>
          </w:tcPr>
          <w:p>
            <w:pPr>
              <w:pStyle w:val="12"/>
            </w:pPr>
            <w:r>
              <w:rPr>
                <w:rFonts w:hint="eastAsia" w:eastAsiaTheme="minorEastAsia"/>
                <w:lang w:eastAsia="zh-CN"/>
              </w:rPr>
              <w:t>冀统发【2021】5号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rPr>
                <w:rFonts w:hint="eastAsia" w:eastAsia="宋体"/>
                <w:lang w:eastAsia="zh-CN"/>
              </w:rPr>
            </w:pPr>
            <w:r>
              <w:rPr>
                <w:rFonts w:hint="eastAsia" w:eastAsia="宋体"/>
                <w:lang w:eastAsia="zh-CN"/>
              </w:rPr>
              <w:t>取得的长期影响</w:t>
            </w:r>
          </w:p>
        </w:tc>
        <w:tc>
          <w:tcPr>
            <w:tcW w:w="2835" w:type="dxa"/>
            <w:vAlign w:val="center"/>
          </w:tcPr>
          <w:p>
            <w:pPr>
              <w:pStyle w:val="12"/>
              <w:rPr>
                <w:rFonts w:hint="eastAsia" w:eastAsia="宋体"/>
                <w:lang w:eastAsia="zh-CN"/>
              </w:rPr>
            </w:pPr>
            <w:r>
              <w:rPr>
                <w:rFonts w:hint="eastAsia" w:eastAsia="宋体"/>
                <w:lang w:eastAsia="zh-CN"/>
              </w:rPr>
              <w:t>取得的长期影响</w:t>
            </w:r>
          </w:p>
        </w:tc>
        <w:tc>
          <w:tcPr>
            <w:tcW w:w="2551" w:type="dxa"/>
            <w:vAlign w:val="center"/>
          </w:tcPr>
          <w:p>
            <w:pPr>
              <w:pStyle w:val="12"/>
              <w:rPr>
                <w:rFonts w:hint="eastAsia"/>
                <w:lang w:eastAsia="zh-CN"/>
              </w:rPr>
            </w:pPr>
            <w:r>
              <w:rPr>
                <w:rFonts w:hint="eastAsia"/>
                <w:lang w:eastAsia="zh-CN"/>
              </w:rPr>
              <w:t>依照文件要求</w:t>
            </w:r>
          </w:p>
        </w:tc>
        <w:tc>
          <w:tcPr>
            <w:tcW w:w="2268" w:type="dxa"/>
            <w:vAlign w:val="center"/>
          </w:tcPr>
          <w:p>
            <w:pPr>
              <w:pStyle w:val="12"/>
            </w:pPr>
            <w:r>
              <w:rPr>
                <w:rFonts w:hint="eastAsia" w:eastAsiaTheme="minorEastAsia"/>
                <w:lang w:eastAsia="zh-CN"/>
              </w:rPr>
              <w:t>冀统发【2021】5号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rPr>
                <w:rFonts w:hint="eastAsia" w:eastAsiaTheme="minorEastAsia"/>
                <w:lang w:eastAsia="zh-CN"/>
              </w:rPr>
            </w:pPr>
            <w:r>
              <w:t>工作对象的满意</w:t>
            </w:r>
            <w:r>
              <w:rPr>
                <w:rFonts w:hint="eastAsia" w:eastAsiaTheme="minorEastAsia"/>
                <w:lang w:eastAsia="zh-CN"/>
              </w:rPr>
              <w:t>率</w:t>
            </w:r>
          </w:p>
        </w:tc>
        <w:tc>
          <w:tcPr>
            <w:tcW w:w="2835" w:type="dxa"/>
            <w:vAlign w:val="center"/>
          </w:tcPr>
          <w:p>
            <w:pPr>
              <w:pStyle w:val="12"/>
              <w:rPr>
                <w:rFonts w:hint="eastAsia" w:eastAsiaTheme="minorEastAsia"/>
                <w:lang w:eastAsia="zh-CN"/>
              </w:rPr>
            </w:pPr>
            <w:r>
              <w:t>工作对象的满意</w:t>
            </w:r>
            <w:r>
              <w:rPr>
                <w:rFonts w:hint="eastAsia" w:eastAsiaTheme="minorEastAsia"/>
                <w:lang w:eastAsia="zh-CN"/>
              </w:rPr>
              <w:t>率</w:t>
            </w:r>
          </w:p>
        </w:tc>
        <w:tc>
          <w:tcPr>
            <w:tcW w:w="2551" w:type="dxa"/>
            <w:vAlign w:val="center"/>
          </w:tcPr>
          <w:p>
            <w:pPr>
              <w:pStyle w:val="12"/>
            </w:pPr>
            <w:r>
              <w:t>≥95%</w:t>
            </w:r>
          </w:p>
        </w:tc>
        <w:tc>
          <w:tcPr>
            <w:tcW w:w="2268" w:type="dxa"/>
            <w:vAlign w:val="center"/>
          </w:tcPr>
          <w:p>
            <w:pPr>
              <w:pStyle w:val="12"/>
            </w:pPr>
            <w:r>
              <w:rPr>
                <w:rFonts w:hint="eastAsia" w:eastAsiaTheme="minorEastAsia"/>
                <w:lang w:eastAsia="zh-CN"/>
              </w:rPr>
              <w:t>冀统发【2021】5号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6、商（协）会建设经费绩效目标表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asciiTheme="minorEastAsia" w:hAnsiTheme="minorEastAsia" w:eastAsiaTheme="minorEastAsia"/>
                <w:lang w:eastAsia="zh-CN"/>
              </w:rPr>
            </w:pPr>
            <w:r>
              <w:rPr>
                <w:rFonts w:hint="eastAsia" w:cs="仿宋_GB2312" w:asciiTheme="minorEastAsia" w:hAnsiTheme="minorEastAsia" w:eastAsiaTheme="minorEastAsia"/>
                <w:color w:val="333333"/>
                <w:shd w:val="clear" w:color="auto" w:fill="FFFFFF"/>
              </w:rPr>
              <w:t>规范提升现有商（协）会，充分发挥商（协）会内引外联优势</w:t>
            </w:r>
            <w:r>
              <w:rPr>
                <w:rFonts w:hint="eastAsia" w:cs="仿宋_GB2312" w:asciiTheme="minorEastAsia" w:hAnsiTheme="minorEastAsia" w:eastAsiaTheme="minorEastAsia"/>
                <w:color w:val="333333"/>
                <w:shd w:val="clear" w:color="auto" w:fill="FFFFFF"/>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商协会数量</w:t>
            </w:r>
          </w:p>
        </w:tc>
        <w:tc>
          <w:tcPr>
            <w:tcW w:w="2835" w:type="dxa"/>
            <w:vAlign w:val="center"/>
          </w:tcPr>
          <w:p>
            <w:pPr>
              <w:pStyle w:val="12"/>
            </w:pPr>
            <w:r>
              <w:t>建成商协会数量</w:t>
            </w:r>
          </w:p>
        </w:tc>
        <w:tc>
          <w:tcPr>
            <w:tcW w:w="2551" w:type="dxa"/>
            <w:vAlign w:val="center"/>
          </w:tcPr>
          <w:p>
            <w:pPr>
              <w:pStyle w:val="12"/>
              <w:rPr>
                <w:rFonts w:hint="eastAsia" w:eastAsiaTheme="minorEastAsia"/>
                <w:lang w:eastAsia="zh-CN"/>
              </w:rPr>
            </w:pPr>
            <w:r>
              <w:t>≥</w:t>
            </w:r>
            <w:r>
              <w:rPr>
                <w:rFonts w:hint="eastAsia" w:eastAsiaTheme="minorEastAsia"/>
                <w:lang w:eastAsia="zh-CN"/>
              </w:rPr>
              <w:t>8家</w:t>
            </w:r>
          </w:p>
        </w:tc>
        <w:tc>
          <w:tcPr>
            <w:tcW w:w="2268" w:type="dxa"/>
            <w:vAlign w:val="center"/>
          </w:tcPr>
          <w:p>
            <w:pPr>
              <w:pStyle w:val="12"/>
            </w:pPr>
            <w:r>
              <w:rPr>
                <w:rFonts w:hint="eastAsia" w:ascii="仿宋_GB2312" w:hAnsi="Arial" w:cs="仿宋_GB2312" w:eastAsiaTheme="minorEastAsia"/>
                <w:color w:val="333333"/>
                <w:shd w:val="clear" w:color="auto" w:fill="FFFFFF"/>
                <w:lang w:eastAsia="zh-CN"/>
              </w:rPr>
              <w:t>邢统字</w:t>
            </w:r>
            <w:r>
              <w:rPr>
                <w:rFonts w:hint="eastAsia" w:ascii="仿宋_GB2312" w:hAnsi="Arial" w:cs="仿宋_GB2312"/>
                <w:color w:val="333333"/>
                <w:shd w:val="clear" w:color="auto" w:fill="FFFFFF"/>
              </w:rPr>
              <w:t>〔</w:t>
            </w:r>
            <w:r>
              <w:rPr>
                <w:rFonts w:ascii="仿宋_GB2312" w:hAnsi="Arial" w:cs="仿宋_GB2312"/>
                <w:color w:val="333333"/>
                <w:shd w:val="clear" w:color="auto" w:fill="FFFFFF"/>
              </w:rPr>
              <w:t>2022</w:t>
            </w:r>
            <w:r>
              <w:rPr>
                <w:rFonts w:hint="eastAsia" w:ascii="仿宋_GB2312" w:hAnsi="Arial" w:cs="仿宋_GB2312"/>
                <w:color w:val="333333"/>
                <w:shd w:val="clear" w:color="auto" w:fill="FFFFFF"/>
              </w:rPr>
              <w:t>〕</w:t>
            </w:r>
            <w:r>
              <w:rPr>
                <w:rFonts w:ascii="仿宋_GB2312" w:hAnsi="Arial" w:cs="仿宋_GB2312"/>
                <w:color w:val="333333"/>
                <w:shd w:val="clear" w:color="auto" w:fill="FFFFFF"/>
              </w:rPr>
              <w:t>9</w:t>
            </w:r>
            <w:r>
              <w:rPr>
                <w:rFonts w:hint="eastAsia" w:ascii="仿宋_GB2312" w:hAnsi="Arial" w:cs="仿宋_GB2312"/>
                <w:color w:val="333333"/>
                <w:shd w:val="clear" w:color="auto" w:fill="FFFFFF"/>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rFonts w:hint="eastAsia" w:eastAsiaTheme="minorEastAsia"/>
                <w:lang w:eastAsia="zh-CN"/>
              </w:rPr>
            </w:pPr>
            <w:r>
              <w:t>商协会质量</w:t>
            </w:r>
            <w:r>
              <w:rPr>
                <w:rFonts w:hint="eastAsia" w:eastAsiaTheme="minorEastAsia"/>
                <w:lang w:eastAsia="zh-CN"/>
              </w:rPr>
              <w:t>率</w:t>
            </w:r>
          </w:p>
        </w:tc>
        <w:tc>
          <w:tcPr>
            <w:tcW w:w="2835" w:type="dxa"/>
            <w:vAlign w:val="center"/>
          </w:tcPr>
          <w:p>
            <w:pPr>
              <w:pStyle w:val="12"/>
              <w:rPr>
                <w:rFonts w:hint="eastAsia" w:eastAsiaTheme="minorEastAsia"/>
                <w:lang w:eastAsia="zh-CN"/>
              </w:rPr>
            </w:pPr>
            <w:r>
              <w:t>商协会</w:t>
            </w:r>
            <w:r>
              <w:rPr>
                <w:rFonts w:hint="eastAsia" w:eastAsiaTheme="minorEastAsia"/>
                <w:lang w:eastAsia="zh-CN"/>
              </w:rPr>
              <w:t>建设标准占总体率</w:t>
            </w:r>
          </w:p>
        </w:tc>
        <w:tc>
          <w:tcPr>
            <w:tcW w:w="2551" w:type="dxa"/>
            <w:vAlign w:val="center"/>
          </w:tcPr>
          <w:p>
            <w:pPr>
              <w:pStyle w:val="12"/>
            </w:pPr>
            <w:r>
              <w:t>≥95%</w:t>
            </w:r>
          </w:p>
        </w:tc>
        <w:tc>
          <w:tcPr>
            <w:tcW w:w="2268" w:type="dxa"/>
            <w:vAlign w:val="center"/>
          </w:tcPr>
          <w:p>
            <w:pPr>
              <w:pStyle w:val="12"/>
            </w:pPr>
            <w:r>
              <w:rPr>
                <w:rFonts w:hint="eastAsia" w:ascii="仿宋_GB2312" w:hAnsi="Arial" w:cs="仿宋_GB2312" w:eastAsiaTheme="minorEastAsia"/>
                <w:color w:val="333333"/>
                <w:shd w:val="clear" w:color="auto" w:fill="FFFFFF"/>
                <w:lang w:eastAsia="zh-CN"/>
              </w:rPr>
              <w:t>邢统字</w:t>
            </w:r>
            <w:r>
              <w:rPr>
                <w:rFonts w:hint="eastAsia" w:ascii="仿宋_GB2312" w:hAnsi="Arial" w:cs="仿宋_GB2312"/>
                <w:color w:val="333333"/>
                <w:shd w:val="clear" w:color="auto" w:fill="FFFFFF"/>
              </w:rPr>
              <w:t>〔</w:t>
            </w:r>
            <w:r>
              <w:rPr>
                <w:rFonts w:ascii="仿宋_GB2312" w:hAnsi="Arial" w:cs="仿宋_GB2312"/>
                <w:color w:val="333333"/>
                <w:shd w:val="clear" w:color="auto" w:fill="FFFFFF"/>
              </w:rPr>
              <w:t>2022</w:t>
            </w:r>
            <w:r>
              <w:rPr>
                <w:rFonts w:hint="eastAsia" w:ascii="仿宋_GB2312" w:hAnsi="Arial" w:cs="仿宋_GB2312"/>
                <w:color w:val="333333"/>
                <w:shd w:val="clear" w:color="auto" w:fill="FFFFFF"/>
              </w:rPr>
              <w:t>〕</w:t>
            </w:r>
            <w:r>
              <w:rPr>
                <w:rFonts w:ascii="仿宋_GB2312" w:hAnsi="Arial" w:cs="仿宋_GB2312"/>
                <w:color w:val="333333"/>
                <w:shd w:val="clear" w:color="auto" w:fill="FFFFFF"/>
              </w:rPr>
              <w:t>9</w:t>
            </w:r>
            <w:r>
              <w:rPr>
                <w:rFonts w:hint="eastAsia" w:ascii="仿宋_GB2312" w:hAnsi="Arial" w:cs="仿宋_GB2312"/>
                <w:color w:val="333333"/>
                <w:shd w:val="clear" w:color="auto" w:fill="FFFFFF"/>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rFonts w:hint="eastAsia" w:eastAsiaTheme="minorEastAsia"/>
                <w:lang w:eastAsia="zh-CN"/>
              </w:rPr>
            </w:pPr>
            <w:r>
              <w:rPr>
                <w:rFonts w:hint="eastAsia" w:eastAsiaTheme="minorEastAsia"/>
                <w:lang w:eastAsia="zh-CN"/>
              </w:rPr>
              <w:t>商协会完成时间</w:t>
            </w:r>
          </w:p>
        </w:tc>
        <w:tc>
          <w:tcPr>
            <w:tcW w:w="2835" w:type="dxa"/>
            <w:vAlign w:val="center"/>
          </w:tcPr>
          <w:p>
            <w:pPr>
              <w:pStyle w:val="12"/>
            </w:pPr>
            <w:r>
              <w:rPr>
                <w:rFonts w:hint="eastAsia" w:eastAsiaTheme="minorEastAsia"/>
                <w:lang w:eastAsia="zh-CN"/>
              </w:rPr>
              <w:t>工作进度率</w:t>
            </w:r>
          </w:p>
        </w:tc>
        <w:tc>
          <w:tcPr>
            <w:tcW w:w="2551" w:type="dxa"/>
            <w:vAlign w:val="center"/>
          </w:tcPr>
          <w:p>
            <w:pPr>
              <w:pStyle w:val="12"/>
            </w:pPr>
            <w:r>
              <w:t>≥95%</w:t>
            </w:r>
          </w:p>
        </w:tc>
        <w:tc>
          <w:tcPr>
            <w:tcW w:w="2268" w:type="dxa"/>
            <w:vAlign w:val="center"/>
          </w:tcPr>
          <w:p>
            <w:pPr>
              <w:pStyle w:val="12"/>
            </w:pPr>
            <w:r>
              <w:rPr>
                <w:rFonts w:hint="eastAsia" w:ascii="仿宋_GB2312" w:hAnsi="Arial" w:cs="仿宋_GB2312" w:eastAsiaTheme="minorEastAsia"/>
                <w:color w:val="333333"/>
                <w:shd w:val="clear" w:color="auto" w:fill="FFFFFF"/>
                <w:lang w:eastAsia="zh-CN"/>
              </w:rPr>
              <w:t>邢统字</w:t>
            </w:r>
            <w:r>
              <w:rPr>
                <w:rFonts w:hint="eastAsia" w:ascii="仿宋_GB2312" w:hAnsi="Arial" w:cs="仿宋_GB2312"/>
                <w:color w:val="333333"/>
                <w:shd w:val="clear" w:color="auto" w:fill="FFFFFF"/>
              </w:rPr>
              <w:t>〔</w:t>
            </w:r>
            <w:r>
              <w:rPr>
                <w:rFonts w:ascii="仿宋_GB2312" w:hAnsi="Arial" w:cs="仿宋_GB2312"/>
                <w:color w:val="333333"/>
                <w:shd w:val="clear" w:color="auto" w:fill="FFFFFF"/>
              </w:rPr>
              <w:t>2022</w:t>
            </w:r>
            <w:r>
              <w:rPr>
                <w:rFonts w:hint="eastAsia" w:ascii="仿宋_GB2312" w:hAnsi="Arial" w:cs="仿宋_GB2312"/>
                <w:color w:val="333333"/>
                <w:shd w:val="clear" w:color="auto" w:fill="FFFFFF"/>
              </w:rPr>
              <w:t>〕</w:t>
            </w:r>
            <w:r>
              <w:rPr>
                <w:rFonts w:ascii="仿宋_GB2312" w:hAnsi="Arial" w:cs="仿宋_GB2312"/>
                <w:color w:val="333333"/>
                <w:shd w:val="clear" w:color="auto" w:fill="FFFFFF"/>
              </w:rPr>
              <w:t>9</w:t>
            </w:r>
            <w:r>
              <w:rPr>
                <w:rFonts w:hint="eastAsia" w:ascii="仿宋_GB2312" w:hAnsi="Arial" w:cs="仿宋_GB2312"/>
                <w:color w:val="333333"/>
                <w:shd w:val="clear" w:color="auto" w:fill="FFFFFF"/>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eastAsia" w:eastAsiaTheme="minorEastAsia"/>
                <w:lang w:eastAsia="zh-CN"/>
              </w:rPr>
            </w:pPr>
            <w:r>
              <w:t>预算控制数</w:t>
            </w:r>
          </w:p>
        </w:tc>
        <w:tc>
          <w:tcPr>
            <w:tcW w:w="2835" w:type="dxa"/>
            <w:vAlign w:val="center"/>
          </w:tcPr>
          <w:p>
            <w:pPr>
              <w:pStyle w:val="12"/>
            </w:pPr>
            <w:r>
              <w:t>预算控制数</w:t>
            </w:r>
          </w:p>
        </w:tc>
        <w:tc>
          <w:tcPr>
            <w:tcW w:w="2551" w:type="dxa"/>
            <w:vAlign w:val="center"/>
          </w:tcPr>
          <w:p>
            <w:pPr>
              <w:pStyle w:val="12"/>
            </w:pPr>
            <w:r>
              <w:t>≥95%</w:t>
            </w:r>
          </w:p>
        </w:tc>
        <w:tc>
          <w:tcPr>
            <w:tcW w:w="2268" w:type="dxa"/>
            <w:vAlign w:val="center"/>
          </w:tcPr>
          <w:p>
            <w:pPr>
              <w:pStyle w:val="12"/>
            </w:pPr>
            <w:r>
              <w:rPr>
                <w:rFonts w:hint="eastAsia" w:ascii="仿宋_GB2312" w:hAnsi="Arial" w:cs="仿宋_GB2312" w:eastAsiaTheme="minorEastAsia"/>
                <w:color w:val="333333"/>
                <w:shd w:val="clear" w:color="auto" w:fill="FFFFFF"/>
                <w:lang w:eastAsia="zh-CN"/>
              </w:rPr>
              <w:t>邢统字</w:t>
            </w:r>
            <w:r>
              <w:rPr>
                <w:rFonts w:hint="eastAsia" w:ascii="仿宋_GB2312" w:hAnsi="Arial" w:cs="仿宋_GB2312"/>
                <w:color w:val="333333"/>
                <w:shd w:val="clear" w:color="auto" w:fill="FFFFFF"/>
              </w:rPr>
              <w:t>〔</w:t>
            </w:r>
            <w:r>
              <w:rPr>
                <w:rFonts w:ascii="仿宋_GB2312" w:hAnsi="Arial" w:cs="仿宋_GB2312"/>
                <w:color w:val="333333"/>
                <w:shd w:val="clear" w:color="auto" w:fill="FFFFFF"/>
              </w:rPr>
              <w:t>2022</w:t>
            </w:r>
            <w:r>
              <w:rPr>
                <w:rFonts w:hint="eastAsia" w:ascii="仿宋_GB2312" w:hAnsi="Arial" w:cs="仿宋_GB2312"/>
                <w:color w:val="333333"/>
                <w:shd w:val="clear" w:color="auto" w:fill="FFFFFF"/>
              </w:rPr>
              <w:t>〕</w:t>
            </w:r>
            <w:r>
              <w:rPr>
                <w:rFonts w:ascii="仿宋_GB2312" w:hAnsi="Arial" w:cs="仿宋_GB2312"/>
                <w:color w:val="333333"/>
                <w:shd w:val="clear" w:color="auto" w:fill="FFFFFF"/>
              </w:rPr>
              <w:t>9</w:t>
            </w:r>
            <w:r>
              <w:rPr>
                <w:rFonts w:hint="eastAsia" w:ascii="仿宋_GB2312" w:hAnsi="Arial" w:cs="仿宋_GB2312"/>
                <w:color w:val="333333"/>
                <w:shd w:val="clear" w:color="auto" w:fill="FFFFFF"/>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rPr>
                <w:rFonts w:hint="eastAsia" w:eastAsiaTheme="minorEastAsia"/>
                <w:lang w:eastAsia="zh-CN"/>
              </w:rPr>
            </w:pPr>
            <w:r>
              <w:t>商协会</w:t>
            </w:r>
            <w:r>
              <w:rPr>
                <w:rFonts w:hint="eastAsia" w:eastAsiaTheme="minorEastAsia"/>
                <w:lang w:eastAsia="zh-CN"/>
              </w:rPr>
              <w:t>发挥作用在民营企业中</w:t>
            </w:r>
            <w:r>
              <w:t>可持续影响</w:t>
            </w:r>
            <w:r>
              <w:rPr>
                <w:rFonts w:hint="eastAsia" w:eastAsiaTheme="minorEastAsia"/>
                <w:lang w:eastAsia="zh-CN"/>
              </w:rPr>
              <w:t>率</w:t>
            </w:r>
          </w:p>
        </w:tc>
        <w:tc>
          <w:tcPr>
            <w:tcW w:w="2835" w:type="dxa"/>
            <w:vAlign w:val="center"/>
          </w:tcPr>
          <w:p>
            <w:pPr>
              <w:pStyle w:val="12"/>
            </w:pPr>
            <w:r>
              <w:t>商协会</w:t>
            </w:r>
            <w:r>
              <w:rPr>
                <w:rFonts w:hint="eastAsia" w:eastAsiaTheme="minorEastAsia"/>
                <w:lang w:eastAsia="zh-CN"/>
              </w:rPr>
              <w:t>发挥作用在民营企业中</w:t>
            </w:r>
            <w:r>
              <w:t>可持续影响</w:t>
            </w:r>
            <w:r>
              <w:rPr>
                <w:rFonts w:hint="eastAsia" w:eastAsiaTheme="minorEastAsia"/>
                <w:lang w:eastAsia="zh-CN"/>
              </w:rPr>
              <w:t>率</w:t>
            </w:r>
          </w:p>
        </w:tc>
        <w:tc>
          <w:tcPr>
            <w:tcW w:w="2551" w:type="dxa"/>
            <w:vAlign w:val="center"/>
          </w:tcPr>
          <w:p>
            <w:pPr>
              <w:pStyle w:val="12"/>
            </w:pPr>
            <w:r>
              <w:t>≥95%</w:t>
            </w:r>
          </w:p>
        </w:tc>
        <w:tc>
          <w:tcPr>
            <w:tcW w:w="2268" w:type="dxa"/>
            <w:vAlign w:val="center"/>
          </w:tcPr>
          <w:p>
            <w:pPr>
              <w:pStyle w:val="12"/>
            </w:pPr>
            <w:r>
              <w:rPr>
                <w:rFonts w:hint="eastAsia" w:ascii="仿宋_GB2312" w:hAnsi="Arial" w:cs="仿宋_GB2312" w:eastAsiaTheme="minorEastAsia"/>
                <w:color w:val="333333"/>
                <w:shd w:val="clear" w:color="auto" w:fill="FFFFFF"/>
                <w:lang w:eastAsia="zh-CN"/>
              </w:rPr>
              <w:t>邢统字</w:t>
            </w:r>
            <w:r>
              <w:rPr>
                <w:rFonts w:hint="eastAsia" w:ascii="仿宋_GB2312" w:hAnsi="Arial" w:cs="仿宋_GB2312"/>
                <w:color w:val="333333"/>
                <w:shd w:val="clear" w:color="auto" w:fill="FFFFFF"/>
              </w:rPr>
              <w:t>〔</w:t>
            </w:r>
            <w:r>
              <w:rPr>
                <w:rFonts w:ascii="仿宋_GB2312" w:hAnsi="Arial" w:cs="仿宋_GB2312"/>
                <w:color w:val="333333"/>
                <w:shd w:val="clear" w:color="auto" w:fill="FFFFFF"/>
              </w:rPr>
              <w:t>2022</w:t>
            </w:r>
            <w:r>
              <w:rPr>
                <w:rFonts w:hint="eastAsia" w:ascii="仿宋_GB2312" w:hAnsi="Arial" w:cs="仿宋_GB2312"/>
                <w:color w:val="333333"/>
                <w:shd w:val="clear" w:color="auto" w:fill="FFFFFF"/>
              </w:rPr>
              <w:t>〕</w:t>
            </w:r>
            <w:r>
              <w:rPr>
                <w:rFonts w:ascii="仿宋_GB2312" w:hAnsi="Arial" w:cs="仿宋_GB2312"/>
                <w:color w:val="333333"/>
                <w:shd w:val="clear" w:color="auto" w:fill="FFFFFF"/>
              </w:rPr>
              <w:t>9</w:t>
            </w:r>
            <w:r>
              <w:rPr>
                <w:rFonts w:hint="eastAsia" w:ascii="仿宋_GB2312" w:hAnsi="Arial" w:cs="仿宋_GB2312"/>
                <w:color w:val="333333"/>
                <w:shd w:val="clear" w:color="auto" w:fill="FFFFFF"/>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rPr>
                <w:rFonts w:hint="eastAsia" w:eastAsiaTheme="minorEastAsia"/>
                <w:lang w:eastAsia="zh-CN"/>
              </w:rPr>
            </w:pPr>
            <w:r>
              <w:t>商协会成员满意</w:t>
            </w:r>
            <w:r>
              <w:rPr>
                <w:rFonts w:hint="eastAsia" w:eastAsiaTheme="minorEastAsia"/>
                <w:lang w:eastAsia="zh-CN"/>
              </w:rPr>
              <w:t>率</w:t>
            </w:r>
          </w:p>
        </w:tc>
        <w:tc>
          <w:tcPr>
            <w:tcW w:w="2835" w:type="dxa"/>
            <w:vAlign w:val="center"/>
          </w:tcPr>
          <w:p>
            <w:pPr>
              <w:pStyle w:val="12"/>
              <w:rPr>
                <w:rFonts w:hint="eastAsia" w:eastAsiaTheme="minorEastAsia"/>
                <w:lang w:eastAsia="zh-CN"/>
              </w:rPr>
            </w:pPr>
            <w:r>
              <w:t>商协会成员满意</w:t>
            </w:r>
            <w:r>
              <w:rPr>
                <w:rFonts w:hint="eastAsia" w:eastAsiaTheme="minorEastAsia"/>
                <w:lang w:eastAsia="zh-CN"/>
              </w:rPr>
              <w:t>率</w:t>
            </w:r>
          </w:p>
        </w:tc>
        <w:tc>
          <w:tcPr>
            <w:tcW w:w="2551" w:type="dxa"/>
            <w:vAlign w:val="center"/>
          </w:tcPr>
          <w:p>
            <w:pPr>
              <w:pStyle w:val="12"/>
            </w:pPr>
            <w:r>
              <w:t>≥95%</w:t>
            </w:r>
          </w:p>
        </w:tc>
        <w:tc>
          <w:tcPr>
            <w:tcW w:w="2268" w:type="dxa"/>
            <w:vAlign w:val="center"/>
          </w:tcPr>
          <w:p>
            <w:pPr>
              <w:pStyle w:val="12"/>
            </w:pPr>
            <w:r>
              <w:rPr>
                <w:rFonts w:hint="eastAsia" w:ascii="仿宋_GB2312" w:hAnsi="Arial" w:cs="仿宋_GB2312" w:eastAsiaTheme="minorEastAsia"/>
                <w:color w:val="333333"/>
                <w:shd w:val="clear" w:color="auto" w:fill="FFFFFF"/>
                <w:lang w:eastAsia="zh-CN"/>
              </w:rPr>
              <w:t>邢统字</w:t>
            </w:r>
            <w:r>
              <w:rPr>
                <w:rFonts w:hint="eastAsia" w:ascii="仿宋_GB2312" w:hAnsi="Arial" w:cs="仿宋_GB2312"/>
                <w:color w:val="333333"/>
                <w:shd w:val="clear" w:color="auto" w:fill="FFFFFF"/>
              </w:rPr>
              <w:t>〔</w:t>
            </w:r>
            <w:r>
              <w:rPr>
                <w:rFonts w:ascii="仿宋_GB2312" w:hAnsi="Arial" w:cs="仿宋_GB2312"/>
                <w:color w:val="333333"/>
                <w:shd w:val="clear" w:color="auto" w:fill="FFFFFF"/>
              </w:rPr>
              <w:t>2022</w:t>
            </w:r>
            <w:r>
              <w:rPr>
                <w:rFonts w:hint="eastAsia" w:ascii="仿宋_GB2312" w:hAnsi="Arial" w:cs="仿宋_GB2312"/>
                <w:color w:val="333333"/>
                <w:shd w:val="clear" w:color="auto" w:fill="FFFFFF"/>
              </w:rPr>
              <w:t>〕</w:t>
            </w:r>
            <w:r>
              <w:rPr>
                <w:rFonts w:ascii="仿宋_GB2312" w:hAnsi="Arial" w:cs="仿宋_GB2312"/>
                <w:color w:val="333333"/>
                <w:shd w:val="clear" w:color="auto" w:fill="FFFFFF"/>
              </w:rPr>
              <w:t>9</w:t>
            </w:r>
            <w:r>
              <w:rPr>
                <w:rFonts w:hint="eastAsia" w:ascii="仿宋_GB2312" w:hAnsi="Arial" w:cs="仿宋_GB2312"/>
                <w:color w:val="333333"/>
                <w:shd w:val="clear" w:color="auto" w:fill="FFFFFF"/>
              </w:rPr>
              <w:t>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7、统战工作经费绩效目标表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Theme="minorEastAsia"/>
                <w:lang w:eastAsia="zh-CN"/>
              </w:rPr>
            </w:pPr>
            <w:r>
              <w:t>充分发挥统一战线职能优势，为我县经济社会发展做出积极贡献</w:t>
            </w:r>
            <w:r>
              <w:rPr>
                <w:rFonts w:hint="eastAsia" w:eastAsiaTheme="minor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开展工作</w:t>
            </w:r>
            <w:r>
              <w:rPr>
                <w:rFonts w:hint="eastAsia" w:eastAsiaTheme="minorEastAsia"/>
                <w:lang w:eastAsia="zh-CN"/>
              </w:rPr>
              <w:t>统战</w:t>
            </w:r>
            <w:r>
              <w:t>活动次数</w:t>
            </w:r>
          </w:p>
        </w:tc>
        <w:tc>
          <w:tcPr>
            <w:tcW w:w="2835" w:type="dxa"/>
            <w:vAlign w:val="center"/>
          </w:tcPr>
          <w:p>
            <w:pPr>
              <w:pStyle w:val="12"/>
            </w:pPr>
            <w:r>
              <w:t>开展</w:t>
            </w:r>
            <w:r>
              <w:rPr>
                <w:rFonts w:hint="eastAsia" w:eastAsiaTheme="minorEastAsia"/>
                <w:lang w:eastAsia="zh-CN"/>
              </w:rPr>
              <w:t>统战</w:t>
            </w:r>
            <w:r>
              <w:t>工作活动次数</w:t>
            </w:r>
          </w:p>
        </w:tc>
        <w:tc>
          <w:tcPr>
            <w:tcW w:w="2551" w:type="dxa"/>
            <w:vAlign w:val="center"/>
          </w:tcPr>
          <w:p>
            <w:pPr>
              <w:pStyle w:val="12"/>
            </w:pPr>
            <w:r>
              <w:t>≥20次</w:t>
            </w:r>
          </w:p>
        </w:tc>
        <w:tc>
          <w:tcPr>
            <w:tcW w:w="2268" w:type="dxa"/>
            <w:vAlign w:val="center"/>
          </w:tcPr>
          <w:p>
            <w:pPr>
              <w:pStyle w:val="12"/>
            </w:pPr>
            <w:r>
              <w:rPr>
                <w:rFonts w:hint="eastAsia" w:eastAsiaTheme="minorEastAsia"/>
                <w:lang w:eastAsia="zh-CN"/>
              </w:rPr>
              <w:t>隆办字【2002】29号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rFonts w:hint="eastAsia" w:eastAsiaTheme="minorEastAsia"/>
                <w:lang w:eastAsia="zh-CN"/>
              </w:rPr>
            </w:pPr>
            <w:r>
              <w:t>各项工作</w:t>
            </w:r>
            <w:r>
              <w:rPr>
                <w:rFonts w:hint="eastAsia" w:eastAsiaTheme="minorEastAsia"/>
                <w:lang w:eastAsia="zh-CN"/>
              </w:rPr>
              <w:t>完成率</w:t>
            </w:r>
          </w:p>
        </w:tc>
        <w:tc>
          <w:tcPr>
            <w:tcW w:w="2835" w:type="dxa"/>
            <w:vAlign w:val="center"/>
          </w:tcPr>
          <w:p>
            <w:pPr>
              <w:pStyle w:val="12"/>
            </w:pPr>
            <w:r>
              <w:t>各项工作</w:t>
            </w:r>
            <w:r>
              <w:rPr>
                <w:rFonts w:hint="eastAsia" w:eastAsiaTheme="minorEastAsia"/>
                <w:lang w:eastAsia="zh-CN"/>
              </w:rPr>
              <w:t>完成率</w:t>
            </w:r>
          </w:p>
        </w:tc>
        <w:tc>
          <w:tcPr>
            <w:tcW w:w="2551" w:type="dxa"/>
            <w:vAlign w:val="center"/>
          </w:tcPr>
          <w:p>
            <w:pPr>
              <w:pStyle w:val="12"/>
            </w:pPr>
            <w:r>
              <w:t>≥95%</w:t>
            </w:r>
          </w:p>
        </w:tc>
        <w:tc>
          <w:tcPr>
            <w:tcW w:w="2268" w:type="dxa"/>
            <w:vAlign w:val="center"/>
          </w:tcPr>
          <w:p>
            <w:pPr>
              <w:pStyle w:val="12"/>
            </w:pPr>
            <w:r>
              <w:rPr>
                <w:rFonts w:hint="eastAsia" w:eastAsiaTheme="minorEastAsia"/>
                <w:lang w:eastAsia="zh-CN"/>
              </w:rPr>
              <w:t>隆办字【2002】29号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rFonts w:hint="eastAsia" w:eastAsiaTheme="minorEastAsia"/>
                <w:lang w:eastAsia="zh-CN"/>
              </w:rPr>
            </w:pPr>
            <w:r>
              <w:rPr>
                <w:rFonts w:hint="eastAsia" w:eastAsiaTheme="minorEastAsia"/>
                <w:lang w:eastAsia="zh-CN"/>
              </w:rPr>
              <w:t>各项工作进度率</w:t>
            </w:r>
          </w:p>
        </w:tc>
        <w:tc>
          <w:tcPr>
            <w:tcW w:w="2835" w:type="dxa"/>
            <w:vAlign w:val="center"/>
          </w:tcPr>
          <w:p>
            <w:pPr>
              <w:pStyle w:val="12"/>
            </w:pPr>
            <w:r>
              <w:rPr>
                <w:rFonts w:hint="eastAsia" w:eastAsiaTheme="minorEastAsia"/>
                <w:lang w:eastAsia="zh-CN"/>
              </w:rPr>
              <w:t>各项工作进度率</w:t>
            </w:r>
          </w:p>
        </w:tc>
        <w:tc>
          <w:tcPr>
            <w:tcW w:w="2551" w:type="dxa"/>
            <w:vAlign w:val="center"/>
          </w:tcPr>
          <w:p>
            <w:pPr>
              <w:pStyle w:val="12"/>
            </w:pPr>
            <w:r>
              <w:t>≥95%</w:t>
            </w:r>
          </w:p>
        </w:tc>
        <w:tc>
          <w:tcPr>
            <w:tcW w:w="2268" w:type="dxa"/>
            <w:vAlign w:val="center"/>
          </w:tcPr>
          <w:p>
            <w:pPr>
              <w:pStyle w:val="12"/>
            </w:pPr>
            <w:r>
              <w:rPr>
                <w:rFonts w:hint="eastAsia" w:eastAsiaTheme="minorEastAsia"/>
                <w:lang w:eastAsia="zh-CN"/>
              </w:rPr>
              <w:t>隆办字【2002】29号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eastAsia" w:eastAsiaTheme="minorEastAsia"/>
                <w:lang w:eastAsia="zh-CN"/>
              </w:rPr>
            </w:pPr>
            <w:r>
              <w:t>预算控制数</w:t>
            </w:r>
          </w:p>
        </w:tc>
        <w:tc>
          <w:tcPr>
            <w:tcW w:w="2835" w:type="dxa"/>
            <w:vAlign w:val="center"/>
          </w:tcPr>
          <w:p>
            <w:pPr>
              <w:pStyle w:val="12"/>
            </w:pPr>
            <w:r>
              <w:t>预算控制数</w:t>
            </w:r>
          </w:p>
        </w:tc>
        <w:tc>
          <w:tcPr>
            <w:tcW w:w="2551" w:type="dxa"/>
            <w:vAlign w:val="center"/>
          </w:tcPr>
          <w:p>
            <w:pPr>
              <w:pStyle w:val="12"/>
            </w:pPr>
            <w:r>
              <w:t>≥95%</w:t>
            </w:r>
          </w:p>
        </w:tc>
        <w:tc>
          <w:tcPr>
            <w:tcW w:w="2268" w:type="dxa"/>
            <w:vAlign w:val="center"/>
          </w:tcPr>
          <w:p>
            <w:pPr>
              <w:pStyle w:val="12"/>
            </w:pPr>
            <w:r>
              <w:rPr>
                <w:rFonts w:hint="eastAsia" w:eastAsiaTheme="minorEastAsia"/>
                <w:lang w:eastAsia="zh-CN"/>
              </w:rPr>
              <w:t>隆办字【2002】29号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rPr>
                <w:rFonts w:hint="eastAsia" w:eastAsia="宋体"/>
                <w:lang w:eastAsia="zh-CN"/>
              </w:rPr>
            </w:pPr>
            <w:r>
              <w:rPr>
                <w:rFonts w:hint="eastAsia" w:eastAsia="宋体"/>
                <w:lang w:eastAsia="zh-CN"/>
              </w:rPr>
              <w:t>统战工作社会影响情况</w:t>
            </w:r>
          </w:p>
        </w:tc>
        <w:tc>
          <w:tcPr>
            <w:tcW w:w="2835" w:type="dxa"/>
            <w:vAlign w:val="center"/>
          </w:tcPr>
          <w:p>
            <w:pPr>
              <w:pStyle w:val="12"/>
              <w:rPr>
                <w:rFonts w:hint="eastAsia"/>
                <w:lang w:eastAsia="zh-CN"/>
              </w:rPr>
            </w:pPr>
            <w:r>
              <w:rPr>
                <w:rFonts w:hint="eastAsia" w:eastAsia="宋体"/>
                <w:lang w:eastAsia="zh-CN"/>
              </w:rPr>
              <w:t>统战工作社会影响情况</w:t>
            </w:r>
          </w:p>
        </w:tc>
        <w:tc>
          <w:tcPr>
            <w:tcW w:w="2551" w:type="dxa"/>
            <w:vAlign w:val="center"/>
          </w:tcPr>
          <w:p>
            <w:pPr>
              <w:pStyle w:val="12"/>
              <w:rPr>
                <w:rFonts w:hint="eastAsia"/>
                <w:lang w:eastAsia="zh-CN"/>
              </w:rPr>
            </w:pPr>
            <w:r>
              <w:rPr>
                <w:rFonts w:hint="eastAsia"/>
                <w:lang w:eastAsia="zh-CN"/>
              </w:rPr>
              <w:t>有关文件要求</w:t>
            </w:r>
          </w:p>
        </w:tc>
        <w:tc>
          <w:tcPr>
            <w:tcW w:w="2268" w:type="dxa"/>
            <w:vAlign w:val="center"/>
          </w:tcPr>
          <w:p>
            <w:pPr>
              <w:pStyle w:val="12"/>
            </w:pPr>
            <w:r>
              <w:rPr>
                <w:rFonts w:hint="eastAsia" w:eastAsiaTheme="minorEastAsia"/>
                <w:lang w:eastAsia="zh-CN"/>
              </w:rPr>
              <w:t>隆办字【2002】29号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rPr>
                <w:rFonts w:hint="eastAsia" w:eastAsiaTheme="minorEastAsia"/>
                <w:lang w:eastAsia="zh-CN"/>
              </w:rPr>
            </w:pPr>
            <w:r>
              <w:t>统战成员满意</w:t>
            </w:r>
            <w:r>
              <w:rPr>
                <w:rFonts w:hint="eastAsia" w:eastAsiaTheme="minorEastAsia"/>
                <w:lang w:eastAsia="zh-CN"/>
              </w:rPr>
              <w:t>率</w:t>
            </w:r>
          </w:p>
        </w:tc>
        <w:tc>
          <w:tcPr>
            <w:tcW w:w="2835" w:type="dxa"/>
            <w:vAlign w:val="center"/>
          </w:tcPr>
          <w:p>
            <w:pPr>
              <w:pStyle w:val="12"/>
              <w:rPr>
                <w:rFonts w:hint="eastAsia" w:eastAsiaTheme="minorEastAsia"/>
                <w:lang w:eastAsia="zh-CN"/>
              </w:rPr>
            </w:pPr>
            <w:r>
              <w:t>统战成员满意</w:t>
            </w:r>
            <w:r>
              <w:rPr>
                <w:rFonts w:hint="eastAsia" w:eastAsiaTheme="minorEastAsia"/>
                <w:lang w:eastAsia="zh-CN"/>
              </w:rPr>
              <w:t>率</w:t>
            </w:r>
          </w:p>
        </w:tc>
        <w:tc>
          <w:tcPr>
            <w:tcW w:w="2551" w:type="dxa"/>
            <w:vAlign w:val="center"/>
          </w:tcPr>
          <w:p>
            <w:pPr>
              <w:pStyle w:val="12"/>
            </w:pPr>
            <w:r>
              <w:t>≥95%</w:t>
            </w:r>
          </w:p>
        </w:tc>
        <w:tc>
          <w:tcPr>
            <w:tcW w:w="2268" w:type="dxa"/>
            <w:vAlign w:val="center"/>
          </w:tcPr>
          <w:p>
            <w:pPr>
              <w:pStyle w:val="12"/>
            </w:pPr>
            <w:r>
              <w:rPr>
                <w:rFonts w:hint="eastAsia" w:eastAsiaTheme="minorEastAsia"/>
                <w:lang w:eastAsia="zh-CN"/>
              </w:rPr>
              <w:t>隆办字【2002】29号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8、云视频建设经费绩效目标表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ascii="方正仿宋_GBK" w:eastAsia="方正仿宋_GBK"/>
                <w:szCs w:val="21"/>
                <w:lang w:eastAsia="zh-CN"/>
              </w:rPr>
            </w:pPr>
            <w:r>
              <w:rPr>
                <w:rFonts w:hint="eastAsia" w:ascii="方正仿宋_GBK" w:eastAsia="方正仿宋_GBK"/>
                <w:szCs w:val="21"/>
              </w:rPr>
              <w:t>建立云视频会议系统与省云视频平台开通</w:t>
            </w:r>
            <w:r>
              <w:rPr>
                <w:rFonts w:hint="eastAsia" w:ascii="方正仿宋_GBK" w:eastAsia="方正仿宋_GBK"/>
                <w:szCs w:val="21"/>
                <w:lang w:eastAsia="zh-CN"/>
              </w:rPr>
              <w:t>，完善工作对接。</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云视频会议系统数量</w:t>
            </w:r>
          </w:p>
        </w:tc>
        <w:tc>
          <w:tcPr>
            <w:tcW w:w="2835" w:type="dxa"/>
            <w:vAlign w:val="center"/>
          </w:tcPr>
          <w:p>
            <w:pPr>
              <w:pStyle w:val="12"/>
            </w:pPr>
            <w:r>
              <w:t>云视频会议系统数量</w:t>
            </w:r>
          </w:p>
        </w:tc>
        <w:tc>
          <w:tcPr>
            <w:tcW w:w="2551" w:type="dxa"/>
            <w:vAlign w:val="center"/>
          </w:tcPr>
          <w:p>
            <w:pPr>
              <w:pStyle w:val="12"/>
              <w:rPr>
                <w:lang w:eastAsia="zh-CN"/>
              </w:rPr>
            </w:pPr>
            <w:r>
              <w:t>≥</w:t>
            </w:r>
            <w:r>
              <w:rPr>
                <w:rFonts w:hint="eastAsia"/>
                <w:lang w:eastAsia="zh-CN"/>
              </w:rPr>
              <w:t>1个</w:t>
            </w:r>
          </w:p>
        </w:tc>
        <w:tc>
          <w:tcPr>
            <w:tcW w:w="2268" w:type="dxa"/>
            <w:vAlign w:val="center"/>
          </w:tcPr>
          <w:p>
            <w:pPr>
              <w:pStyle w:val="12"/>
              <w:rPr>
                <w:rFonts w:asciiTheme="minorEastAsia" w:hAnsiTheme="minorEastAsia" w:eastAsiaTheme="minorEastAsia"/>
                <w:szCs w:val="21"/>
              </w:rPr>
            </w:pPr>
            <w:r>
              <w:rPr>
                <w:rFonts w:hint="eastAsia" w:ascii="宋体" w:hAnsi="宋体" w:eastAsia="宋体"/>
                <w:szCs w:val="21"/>
              </w:rPr>
              <w:t>《关于开通云视频会议系统的通知》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lang w:eastAsia="zh-CN"/>
              </w:rPr>
            </w:pPr>
            <w:r>
              <w:t>会议系统建设质量</w:t>
            </w:r>
            <w:r>
              <w:rPr>
                <w:rFonts w:hint="eastAsia"/>
                <w:lang w:eastAsia="zh-CN"/>
              </w:rPr>
              <w:t>率</w:t>
            </w:r>
          </w:p>
        </w:tc>
        <w:tc>
          <w:tcPr>
            <w:tcW w:w="2835" w:type="dxa"/>
            <w:vAlign w:val="center"/>
          </w:tcPr>
          <w:p>
            <w:pPr>
              <w:pStyle w:val="12"/>
            </w:pPr>
            <w:r>
              <w:t>云视频会议系统是否达到上级要求</w:t>
            </w:r>
          </w:p>
        </w:tc>
        <w:tc>
          <w:tcPr>
            <w:tcW w:w="2551" w:type="dxa"/>
            <w:vAlign w:val="center"/>
          </w:tcPr>
          <w:p>
            <w:pPr>
              <w:pStyle w:val="12"/>
            </w:pPr>
            <w:r>
              <w:t>≥95%</w:t>
            </w:r>
          </w:p>
        </w:tc>
        <w:tc>
          <w:tcPr>
            <w:tcW w:w="2268" w:type="dxa"/>
            <w:vAlign w:val="center"/>
          </w:tcPr>
          <w:p>
            <w:pPr>
              <w:pStyle w:val="12"/>
              <w:rPr>
                <w:rFonts w:asciiTheme="minorEastAsia" w:hAnsiTheme="minorEastAsia" w:eastAsiaTheme="minorEastAsia"/>
              </w:rPr>
            </w:pPr>
            <w:r>
              <w:rPr>
                <w:rFonts w:hint="eastAsia" w:ascii="宋体" w:hAnsi="宋体" w:eastAsia="宋体"/>
                <w:szCs w:val="21"/>
              </w:rPr>
              <w:t>《关于开通云视频会议系统的通知》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会议系统建设</w:t>
            </w:r>
            <w:r>
              <w:rPr>
                <w:rFonts w:hint="eastAsia"/>
                <w:lang w:eastAsia="zh-CN"/>
              </w:rPr>
              <w:t>完成率</w:t>
            </w:r>
          </w:p>
        </w:tc>
        <w:tc>
          <w:tcPr>
            <w:tcW w:w="2835" w:type="dxa"/>
            <w:vAlign w:val="center"/>
          </w:tcPr>
          <w:p>
            <w:pPr>
              <w:pStyle w:val="12"/>
            </w:pPr>
            <w:r>
              <w:t>云视频会议系统是否按期完成</w:t>
            </w:r>
          </w:p>
        </w:tc>
        <w:tc>
          <w:tcPr>
            <w:tcW w:w="2551" w:type="dxa"/>
            <w:vAlign w:val="center"/>
          </w:tcPr>
          <w:p>
            <w:pPr>
              <w:pStyle w:val="12"/>
            </w:pPr>
            <w:r>
              <w:t>≥95%</w:t>
            </w:r>
          </w:p>
        </w:tc>
        <w:tc>
          <w:tcPr>
            <w:tcW w:w="2268" w:type="dxa"/>
            <w:vAlign w:val="center"/>
          </w:tcPr>
          <w:p>
            <w:pPr>
              <w:pStyle w:val="12"/>
              <w:rPr>
                <w:rFonts w:asciiTheme="minorEastAsia" w:hAnsiTheme="minorEastAsia" w:eastAsiaTheme="minorEastAsia"/>
              </w:rPr>
            </w:pPr>
            <w:r>
              <w:rPr>
                <w:rFonts w:hint="eastAsia" w:ascii="宋体" w:hAnsi="宋体" w:eastAsia="宋体"/>
                <w:szCs w:val="21"/>
              </w:rPr>
              <w:t>《关于开通云视频会议系统的通知》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02"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lang w:eastAsia="zh-CN"/>
              </w:rPr>
            </w:pPr>
            <w:r>
              <w:rPr>
                <w:rFonts w:hint="eastAsia"/>
                <w:lang w:eastAsia="zh-CN"/>
              </w:rPr>
              <w:t>在预算范围内</w:t>
            </w:r>
          </w:p>
        </w:tc>
        <w:tc>
          <w:tcPr>
            <w:tcW w:w="2835" w:type="dxa"/>
            <w:vAlign w:val="center"/>
          </w:tcPr>
          <w:p>
            <w:pPr>
              <w:pStyle w:val="12"/>
            </w:pPr>
            <w:r>
              <w:rPr>
                <w:rFonts w:hint="eastAsia"/>
                <w:lang w:eastAsia="zh-CN"/>
              </w:rPr>
              <w:t>在预算范围内</w:t>
            </w:r>
          </w:p>
        </w:tc>
        <w:tc>
          <w:tcPr>
            <w:tcW w:w="2551" w:type="dxa"/>
            <w:vAlign w:val="center"/>
          </w:tcPr>
          <w:p>
            <w:pPr>
              <w:pStyle w:val="12"/>
            </w:pPr>
            <w:r>
              <w:t>≥95%</w:t>
            </w:r>
          </w:p>
        </w:tc>
        <w:tc>
          <w:tcPr>
            <w:tcW w:w="2268" w:type="dxa"/>
            <w:vAlign w:val="center"/>
          </w:tcPr>
          <w:p>
            <w:pPr>
              <w:pStyle w:val="12"/>
              <w:rPr>
                <w:rFonts w:asciiTheme="minorEastAsia" w:hAnsiTheme="minorEastAsia" w:eastAsiaTheme="minorEastAsia"/>
              </w:rPr>
            </w:pPr>
            <w:r>
              <w:rPr>
                <w:rFonts w:hint="eastAsia" w:ascii="宋体" w:hAnsi="宋体" w:eastAsia="宋体"/>
                <w:szCs w:val="21"/>
              </w:rPr>
              <w:t>《关于开通云视频会议系统的通知》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rPr>
                <w:lang w:eastAsia="zh-CN"/>
              </w:rPr>
            </w:pPr>
            <w:r>
              <w:t>会议</w:t>
            </w:r>
            <w:r>
              <w:rPr>
                <w:rFonts w:hint="eastAsia"/>
                <w:lang w:eastAsia="zh-CN"/>
              </w:rPr>
              <w:t>系统使用率</w:t>
            </w:r>
          </w:p>
        </w:tc>
        <w:tc>
          <w:tcPr>
            <w:tcW w:w="2835" w:type="dxa"/>
            <w:vAlign w:val="center"/>
          </w:tcPr>
          <w:p>
            <w:pPr>
              <w:pStyle w:val="12"/>
            </w:pPr>
            <w:r>
              <w:t>会议</w:t>
            </w:r>
            <w:r>
              <w:rPr>
                <w:rFonts w:hint="eastAsia"/>
                <w:lang w:eastAsia="zh-CN"/>
              </w:rPr>
              <w:t>系统使用率</w:t>
            </w:r>
          </w:p>
        </w:tc>
        <w:tc>
          <w:tcPr>
            <w:tcW w:w="2551" w:type="dxa"/>
            <w:vAlign w:val="center"/>
          </w:tcPr>
          <w:p>
            <w:pPr>
              <w:pStyle w:val="12"/>
            </w:pPr>
            <w:r>
              <w:t>≥95%</w:t>
            </w:r>
          </w:p>
        </w:tc>
        <w:tc>
          <w:tcPr>
            <w:tcW w:w="2268" w:type="dxa"/>
            <w:vAlign w:val="center"/>
          </w:tcPr>
          <w:p>
            <w:pPr>
              <w:pStyle w:val="12"/>
              <w:rPr>
                <w:rFonts w:asciiTheme="minorEastAsia" w:hAnsiTheme="minorEastAsia" w:eastAsiaTheme="minorEastAsia"/>
              </w:rPr>
            </w:pPr>
            <w:r>
              <w:rPr>
                <w:rFonts w:hint="eastAsia" w:ascii="宋体" w:hAnsi="宋体" w:eastAsia="宋体"/>
                <w:szCs w:val="21"/>
              </w:rPr>
              <w:t>《关于开通云视频会议系统的通知》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rPr>
                <w:lang w:eastAsia="zh-CN"/>
              </w:rPr>
            </w:pPr>
            <w:r>
              <w:t>使</w:t>
            </w:r>
            <w:r>
              <w:rPr>
                <w:rFonts w:hint="eastAsia"/>
                <w:lang w:eastAsia="zh-CN"/>
              </w:rPr>
              <w:t>用</w:t>
            </w:r>
            <w:r>
              <w:t>人员满意</w:t>
            </w:r>
            <w:r>
              <w:rPr>
                <w:rFonts w:hint="eastAsia"/>
                <w:lang w:eastAsia="zh-CN"/>
              </w:rPr>
              <w:t>率</w:t>
            </w:r>
          </w:p>
        </w:tc>
        <w:tc>
          <w:tcPr>
            <w:tcW w:w="2835" w:type="dxa"/>
            <w:vAlign w:val="center"/>
          </w:tcPr>
          <w:p>
            <w:pPr>
              <w:pStyle w:val="12"/>
              <w:rPr>
                <w:lang w:eastAsia="zh-CN"/>
              </w:rPr>
            </w:pPr>
            <w:r>
              <w:t>使用人员满意</w:t>
            </w:r>
            <w:r>
              <w:rPr>
                <w:rFonts w:hint="eastAsia"/>
                <w:lang w:eastAsia="zh-CN"/>
              </w:rPr>
              <w:t>率</w:t>
            </w:r>
          </w:p>
        </w:tc>
        <w:tc>
          <w:tcPr>
            <w:tcW w:w="2551" w:type="dxa"/>
            <w:vAlign w:val="center"/>
          </w:tcPr>
          <w:p>
            <w:pPr>
              <w:pStyle w:val="12"/>
            </w:pPr>
            <w:r>
              <w:t>≥95%</w:t>
            </w:r>
          </w:p>
        </w:tc>
        <w:tc>
          <w:tcPr>
            <w:tcW w:w="2268" w:type="dxa"/>
            <w:vAlign w:val="center"/>
          </w:tcPr>
          <w:p>
            <w:pPr>
              <w:pStyle w:val="12"/>
              <w:rPr>
                <w:rFonts w:asciiTheme="minorEastAsia" w:hAnsiTheme="minorEastAsia" w:eastAsiaTheme="minorEastAsia"/>
              </w:rPr>
            </w:pPr>
            <w:r>
              <w:rPr>
                <w:rFonts w:hint="eastAsia" w:ascii="宋体" w:hAnsi="宋体" w:eastAsia="宋体"/>
                <w:szCs w:val="21"/>
              </w:rPr>
              <w:t>《关于开通云视频会议系统的通知》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9、宗教场所可视化平台通信服务费绩效目标表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lang w:eastAsia="zh-CN"/>
              </w:rPr>
            </w:pPr>
            <w:r>
              <w:rPr>
                <w:rFonts w:hint="eastAsia"/>
                <w:lang w:eastAsia="zh-CN"/>
              </w:rPr>
              <w:t>充分发挥宗教场所可视化平台作用，保障联通顺畅。</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系统故障率(％)</w:t>
            </w:r>
          </w:p>
        </w:tc>
        <w:tc>
          <w:tcPr>
            <w:tcW w:w="2835" w:type="dxa"/>
            <w:vAlign w:val="center"/>
          </w:tcPr>
          <w:p>
            <w:pPr>
              <w:pStyle w:val="12"/>
            </w:pPr>
            <w:r>
              <w:t>系统出故障时间占总运行时间的比率（反向指标）</w:t>
            </w:r>
          </w:p>
        </w:tc>
        <w:tc>
          <w:tcPr>
            <w:tcW w:w="2551" w:type="dxa"/>
            <w:vAlign w:val="center"/>
          </w:tcPr>
          <w:p>
            <w:pPr>
              <w:pStyle w:val="12"/>
            </w:pPr>
            <w:r>
              <w:rPr>
                <w:rFonts w:hint="eastAsia"/>
              </w:rPr>
              <w:t>≤</w:t>
            </w:r>
            <w:r>
              <w:t>1%</w:t>
            </w:r>
          </w:p>
        </w:tc>
        <w:tc>
          <w:tcPr>
            <w:tcW w:w="2268" w:type="dxa"/>
            <w:vAlign w:val="center"/>
          </w:tcPr>
          <w:p>
            <w:pPr>
              <w:pStyle w:val="12"/>
            </w:pPr>
            <w:r>
              <w:rPr>
                <w:rFonts w:hint="eastAsia" w:eastAsiaTheme="minorEastAsia"/>
                <w:lang w:eastAsia="zh-CN"/>
              </w:rPr>
              <w:t>隆办字【2002】29号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系统故障修复响应时间（小时）</w:t>
            </w:r>
          </w:p>
        </w:tc>
        <w:tc>
          <w:tcPr>
            <w:tcW w:w="2835" w:type="dxa"/>
            <w:vAlign w:val="center"/>
          </w:tcPr>
          <w:p>
            <w:pPr>
              <w:pStyle w:val="12"/>
            </w:pPr>
            <w:r>
              <w:t>响应系统故障并修复的时间</w:t>
            </w:r>
          </w:p>
        </w:tc>
        <w:tc>
          <w:tcPr>
            <w:tcW w:w="2551" w:type="dxa"/>
            <w:vAlign w:val="center"/>
          </w:tcPr>
          <w:p>
            <w:pPr>
              <w:pStyle w:val="12"/>
            </w:pPr>
            <w:r>
              <w:t>24小时</w:t>
            </w:r>
          </w:p>
        </w:tc>
        <w:tc>
          <w:tcPr>
            <w:tcW w:w="2268" w:type="dxa"/>
            <w:vAlign w:val="center"/>
          </w:tcPr>
          <w:p>
            <w:pPr>
              <w:pStyle w:val="12"/>
            </w:pPr>
            <w:r>
              <w:rPr>
                <w:rFonts w:hint="eastAsia" w:eastAsiaTheme="minorEastAsia"/>
                <w:lang w:eastAsia="zh-CN"/>
              </w:rPr>
              <w:t>隆办字【2002】29号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设备检修维护次数</w:t>
            </w:r>
          </w:p>
        </w:tc>
        <w:tc>
          <w:tcPr>
            <w:tcW w:w="2835" w:type="dxa"/>
            <w:vAlign w:val="center"/>
          </w:tcPr>
          <w:p>
            <w:pPr>
              <w:pStyle w:val="12"/>
            </w:pPr>
            <w:r>
              <w:t>设备检修维护次数</w:t>
            </w:r>
          </w:p>
        </w:tc>
        <w:tc>
          <w:tcPr>
            <w:tcW w:w="2551" w:type="dxa"/>
            <w:vAlign w:val="center"/>
          </w:tcPr>
          <w:p>
            <w:pPr>
              <w:pStyle w:val="12"/>
            </w:pPr>
            <w:r>
              <w:t>12次</w:t>
            </w:r>
          </w:p>
        </w:tc>
        <w:tc>
          <w:tcPr>
            <w:tcW w:w="2268" w:type="dxa"/>
            <w:vAlign w:val="center"/>
          </w:tcPr>
          <w:p>
            <w:pPr>
              <w:pStyle w:val="12"/>
            </w:pPr>
            <w:r>
              <w:rPr>
                <w:rFonts w:hint="eastAsia" w:eastAsiaTheme="minorEastAsia"/>
                <w:lang w:eastAsia="zh-CN"/>
              </w:rPr>
              <w:t>隆办字【2002】29号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pPr>
            <w:r>
              <w:t>≥95%</w:t>
            </w:r>
          </w:p>
        </w:tc>
        <w:tc>
          <w:tcPr>
            <w:tcW w:w="2268" w:type="dxa"/>
            <w:vAlign w:val="center"/>
          </w:tcPr>
          <w:p>
            <w:pPr>
              <w:pStyle w:val="12"/>
            </w:pPr>
            <w:r>
              <w:rPr>
                <w:rFonts w:hint="eastAsia" w:eastAsiaTheme="minorEastAsia"/>
                <w:lang w:eastAsia="zh-CN"/>
              </w:rPr>
              <w:t>隆办字【2002】29号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非正常停机率（%）</w:t>
            </w:r>
          </w:p>
        </w:tc>
        <w:tc>
          <w:tcPr>
            <w:tcW w:w="2835" w:type="dxa"/>
            <w:vAlign w:val="center"/>
          </w:tcPr>
          <w:p>
            <w:pPr>
              <w:pStyle w:val="12"/>
            </w:pPr>
            <w:r>
              <w:t>非正常停机次数占总停机次数的比率（反向指标）</w:t>
            </w:r>
          </w:p>
        </w:tc>
        <w:tc>
          <w:tcPr>
            <w:tcW w:w="2551" w:type="dxa"/>
            <w:vAlign w:val="center"/>
          </w:tcPr>
          <w:p>
            <w:pPr>
              <w:pStyle w:val="12"/>
            </w:pPr>
            <w:r>
              <w:t>≤5%</w:t>
            </w:r>
          </w:p>
        </w:tc>
        <w:tc>
          <w:tcPr>
            <w:tcW w:w="2268" w:type="dxa"/>
            <w:vAlign w:val="center"/>
          </w:tcPr>
          <w:p>
            <w:pPr>
              <w:pStyle w:val="12"/>
            </w:pPr>
            <w:r>
              <w:rPr>
                <w:rFonts w:hint="eastAsia" w:eastAsiaTheme="minorEastAsia"/>
                <w:lang w:eastAsia="zh-CN"/>
              </w:rPr>
              <w:t>隆办字【2002】29号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用户满意度</w:t>
            </w:r>
          </w:p>
        </w:tc>
        <w:tc>
          <w:tcPr>
            <w:tcW w:w="2835" w:type="dxa"/>
            <w:vAlign w:val="center"/>
          </w:tcPr>
          <w:p>
            <w:pPr>
              <w:pStyle w:val="12"/>
            </w:pPr>
            <w:r>
              <w:t>用户满意度</w:t>
            </w:r>
          </w:p>
        </w:tc>
        <w:tc>
          <w:tcPr>
            <w:tcW w:w="2551" w:type="dxa"/>
            <w:vAlign w:val="center"/>
          </w:tcPr>
          <w:p>
            <w:pPr>
              <w:pStyle w:val="12"/>
            </w:pPr>
            <w:r>
              <w:t>≥95%</w:t>
            </w:r>
          </w:p>
          <w:p>
            <w:pPr>
              <w:pStyle w:val="12"/>
            </w:pPr>
          </w:p>
        </w:tc>
        <w:tc>
          <w:tcPr>
            <w:tcW w:w="2268" w:type="dxa"/>
            <w:vAlign w:val="center"/>
          </w:tcPr>
          <w:p>
            <w:pPr>
              <w:pStyle w:val="12"/>
            </w:pPr>
            <w:r>
              <w:rPr>
                <w:rFonts w:hint="eastAsia" w:eastAsiaTheme="minorEastAsia"/>
                <w:lang w:eastAsia="zh-CN"/>
              </w:rPr>
              <w:t>隆办字【2002】29号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2023年，中国共产党隆尧县委员会统一战线工作部安排政府采购预算</w:t>
      </w:r>
      <w:r>
        <w:rPr>
          <w:rFonts w:hint="eastAsia" w:eastAsia="方正仿宋_GBK"/>
          <w:color w:val="000000"/>
          <w:sz w:val="28"/>
          <w:lang w:val="en-US" w:eastAsia="zh-CN"/>
        </w:rPr>
        <w:t>2</w:t>
      </w:r>
      <w:r>
        <w:rPr>
          <w:rFonts w:eastAsia="方正仿宋_GBK"/>
          <w:color w:val="000000"/>
          <w:sz w:val="28"/>
        </w:rPr>
        <w:t>.00万元。具体内容见下表。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213中国共产党隆尧县委员会统一战线工作部</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rPr>
                <w:rFonts w:hint="eastAsia"/>
                <w:lang w:eastAsia="zh-CN"/>
              </w:rPr>
              <w:t>统战工作经费</w:t>
            </w:r>
          </w:p>
        </w:tc>
        <w:tc>
          <w:tcPr>
            <w:tcW w:w="964" w:type="dxa"/>
            <w:vAlign w:val="center"/>
          </w:tcPr>
          <w:p>
            <w:pPr>
              <w:pStyle w:val="11"/>
            </w:pPr>
            <w:r>
              <w:rPr>
                <w:rFonts w:hint="eastAsia"/>
                <w:lang w:val="en-US" w:eastAsia="zh-CN"/>
              </w:rPr>
              <w:t>19</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rPr>
                <w:rFonts w:hint="eastAsia"/>
                <w:lang w:val="en-US" w:eastAsia="zh-CN"/>
              </w:rPr>
              <w:t>4</w:t>
            </w:r>
          </w:p>
        </w:tc>
        <w:tc>
          <w:tcPr>
            <w:tcW w:w="850" w:type="dxa"/>
            <w:vAlign w:val="center"/>
          </w:tcPr>
          <w:p>
            <w:pPr>
              <w:pStyle w:val="11"/>
            </w:pPr>
            <w:r>
              <w:t>0.5</w:t>
            </w:r>
          </w:p>
        </w:tc>
        <w:tc>
          <w:tcPr>
            <w:tcW w:w="964" w:type="dxa"/>
            <w:vAlign w:val="center"/>
          </w:tcPr>
          <w:p>
            <w:pPr>
              <w:pStyle w:val="11"/>
            </w:pPr>
            <w:r>
              <w:rPr>
                <w:rFonts w:hint="eastAsia"/>
                <w:lang w:val="en-US" w:eastAsia="zh-CN"/>
              </w:rPr>
              <w:t>2</w:t>
            </w:r>
          </w:p>
        </w:tc>
        <w:tc>
          <w:tcPr>
            <w:tcW w:w="964" w:type="dxa"/>
            <w:vAlign w:val="center"/>
          </w:tcPr>
          <w:p>
            <w:pPr>
              <w:pStyle w:val="11"/>
            </w:pPr>
            <w:r>
              <w:rPr>
                <w:rFonts w:hint="eastAsia"/>
                <w:lang w:val="en-US" w:eastAsia="zh-CN"/>
              </w:rPr>
              <w:t>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rPr>
          <w:highlight w:val="none"/>
        </w:rPr>
      </w:pPr>
      <w:r>
        <w:rPr>
          <w:rFonts w:eastAsia="方正仿宋_GBK"/>
          <w:color w:val="000000"/>
          <w:sz w:val="28"/>
          <w:highlight w:val="none"/>
        </w:rPr>
        <w:t>中国共产党隆尧县委员会统一战线工作部（含所属单位）上年末固定资产金额为</w:t>
      </w:r>
      <w:r>
        <w:rPr>
          <w:rFonts w:hint="eastAsia" w:eastAsia="方正仿宋_GBK"/>
          <w:color w:val="000000"/>
          <w:sz w:val="28"/>
          <w:highlight w:val="none"/>
          <w:lang w:val="en-US" w:eastAsia="zh-CN"/>
        </w:rPr>
        <w:t>14.84</w:t>
      </w:r>
      <w:r>
        <w:rPr>
          <w:rFonts w:eastAsia="方正仿宋_GBK"/>
          <w:color w:val="000000"/>
          <w:sz w:val="28"/>
          <w:highlight w:val="none"/>
        </w:rPr>
        <w:t>万元（详见下表）。本年度拟购置固定资产总额为2.00万元。</w:t>
      </w:r>
    </w:p>
    <w:p>
      <w:pPr>
        <w:jc w:val="center"/>
        <w:rPr>
          <w:highlight w:val="none"/>
        </w:rPr>
      </w:pPr>
      <w:r>
        <w:rPr>
          <w:rFonts w:ascii="方正小标宋_GBK" w:hAnsi="方正小标宋_GBK" w:eastAsia="方正小标宋_GBK" w:cs="方正小标宋_GBK"/>
          <w:color w:val="000000"/>
          <w:sz w:val="36"/>
          <w:highlight w:val="none"/>
        </w:rPr>
        <w:t>部门固定资产占用情况表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rPr>
                <w:highlight w:val="none"/>
              </w:rPr>
            </w:pPr>
            <w:r>
              <w:rPr>
                <w:highlight w:val="none"/>
              </w:rPr>
              <w:t>213中国共产党隆尧县委员会统一战线工作部</w:t>
            </w:r>
          </w:p>
        </w:tc>
        <w:tc>
          <w:tcPr>
            <w:tcW w:w="5670"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rPr>
                <w:highlight w:val="none"/>
              </w:rPr>
            </w:pPr>
            <w:r>
              <w:rPr>
                <w:highlight w:val="none"/>
              </w:rPr>
              <w:t>项   目</w:t>
            </w:r>
          </w:p>
        </w:tc>
        <w:tc>
          <w:tcPr>
            <w:tcW w:w="2835" w:type="dxa"/>
            <w:vAlign w:val="center"/>
          </w:tcPr>
          <w:p>
            <w:pPr>
              <w:pStyle w:val="10"/>
              <w:rPr>
                <w:highlight w:val="none"/>
              </w:rPr>
            </w:pPr>
            <w:r>
              <w:rPr>
                <w:highlight w:val="none"/>
              </w:rPr>
              <w:t>数量</w:t>
            </w:r>
          </w:p>
        </w:tc>
        <w:tc>
          <w:tcPr>
            <w:tcW w:w="2835" w:type="dxa"/>
            <w:vAlign w:val="center"/>
          </w:tcPr>
          <w:p>
            <w:pPr>
              <w:pStyle w:val="10"/>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rPr>
                <w:highlight w:val="none"/>
              </w:rPr>
            </w:pPr>
            <w:r>
              <w:rPr>
                <w:highlight w:val="none"/>
              </w:rPr>
              <w:t>资产总额</w:t>
            </w:r>
          </w:p>
        </w:tc>
        <w:tc>
          <w:tcPr>
            <w:tcW w:w="2835" w:type="dxa"/>
            <w:vAlign w:val="center"/>
          </w:tcPr>
          <w:p>
            <w:pPr>
              <w:pStyle w:val="13"/>
              <w:rPr>
                <w:highlight w:val="none"/>
              </w:rPr>
            </w:pPr>
          </w:p>
        </w:tc>
        <w:tc>
          <w:tcPr>
            <w:tcW w:w="2835" w:type="dxa"/>
            <w:vAlign w:val="center"/>
          </w:tcPr>
          <w:p>
            <w:pPr>
              <w:pStyle w:val="11"/>
              <w:rPr>
                <w:rFonts w:hint="default" w:eastAsia="方正书宋_GBK"/>
                <w:highlight w:val="none"/>
                <w:lang w:val="en-US" w:eastAsia="zh-CN"/>
              </w:rPr>
            </w:pPr>
            <w:r>
              <w:rPr>
                <w:rFonts w:hint="eastAsia"/>
                <w:highlight w:val="none"/>
                <w:lang w:val="en-US" w:eastAsia="zh-CN"/>
              </w:rPr>
              <w:t>14.84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rPr>
                <w:highlight w:val="none"/>
              </w:rPr>
            </w:pPr>
            <w:r>
              <w:rPr>
                <w:highlight w:val="none"/>
              </w:rPr>
              <w:t>1、房屋（平方米）</w:t>
            </w:r>
          </w:p>
        </w:tc>
        <w:tc>
          <w:tcPr>
            <w:tcW w:w="2835" w:type="dxa"/>
            <w:vAlign w:val="center"/>
          </w:tcPr>
          <w:p>
            <w:pPr>
              <w:pStyle w:val="13"/>
              <w:rPr>
                <w:highlight w:val="none"/>
              </w:rPr>
            </w:pPr>
          </w:p>
        </w:tc>
        <w:tc>
          <w:tcPr>
            <w:tcW w:w="283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rPr>
                <w:highlight w:val="none"/>
              </w:rPr>
            </w:pPr>
            <w:r>
              <w:rPr>
                <w:highlight w:val="none"/>
              </w:rPr>
              <w:t>　　其中：办公用房（平方米）</w:t>
            </w:r>
          </w:p>
        </w:tc>
        <w:tc>
          <w:tcPr>
            <w:tcW w:w="2835" w:type="dxa"/>
            <w:vAlign w:val="center"/>
          </w:tcPr>
          <w:p>
            <w:pPr>
              <w:pStyle w:val="13"/>
              <w:rPr>
                <w:highlight w:val="none"/>
              </w:rPr>
            </w:pPr>
          </w:p>
        </w:tc>
        <w:tc>
          <w:tcPr>
            <w:tcW w:w="283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rPr>
                <w:highlight w:val="none"/>
              </w:rPr>
            </w:pPr>
            <w:r>
              <w:rPr>
                <w:highlight w:val="none"/>
              </w:rPr>
              <w:t>2、车辆（台、辆）</w:t>
            </w:r>
          </w:p>
        </w:tc>
        <w:tc>
          <w:tcPr>
            <w:tcW w:w="2835" w:type="dxa"/>
            <w:vAlign w:val="center"/>
          </w:tcPr>
          <w:p>
            <w:pPr>
              <w:pStyle w:val="13"/>
              <w:rPr>
                <w:highlight w:val="none"/>
              </w:rPr>
            </w:pPr>
          </w:p>
        </w:tc>
        <w:tc>
          <w:tcPr>
            <w:tcW w:w="283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rPr>
                <w:highlight w:val="none"/>
              </w:rPr>
            </w:pPr>
            <w:r>
              <w:rPr>
                <w:highlight w:val="none"/>
              </w:rPr>
              <w:t>3、单价在20万元以上的设备</w:t>
            </w:r>
          </w:p>
        </w:tc>
        <w:tc>
          <w:tcPr>
            <w:tcW w:w="2835" w:type="dxa"/>
            <w:vAlign w:val="center"/>
          </w:tcPr>
          <w:p>
            <w:pPr>
              <w:pStyle w:val="13"/>
              <w:rPr>
                <w:highlight w:val="none"/>
              </w:rPr>
            </w:pPr>
          </w:p>
        </w:tc>
        <w:tc>
          <w:tcPr>
            <w:tcW w:w="283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rPr>
                <w:highlight w:val="none"/>
              </w:rPr>
            </w:pPr>
            <w:r>
              <w:rPr>
                <w:highlight w:val="none"/>
              </w:rPr>
              <w:t>4、其他固定资产</w:t>
            </w:r>
          </w:p>
        </w:tc>
        <w:tc>
          <w:tcPr>
            <w:tcW w:w="2835" w:type="dxa"/>
            <w:vAlign w:val="center"/>
          </w:tcPr>
          <w:p>
            <w:pPr>
              <w:pStyle w:val="13"/>
              <w:rPr>
                <w:highlight w:val="none"/>
              </w:rPr>
            </w:pPr>
            <w:bookmarkStart w:id="18" w:name="_GoBack"/>
            <w:bookmarkEnd w:id="18"/>
          </w:p>
        </w:tc>
        <w:tc>
          <w:tcPr>
            <w:tcW w:w="2835" w:type="dxa"/>
            <w:vAlign w:val="center"/>
          </w:tcPr>
          <w:p>
            <w:pPr>
              <w:pStyle w:val="11"/>
              <w:rPr>
                <w:rFonts w:hint="default" w:eastAsia="方正书宋_GBK"/>
                <w:highlight w:val="none"/>
                <w:lang w:val="en-US" w:eastAsia="zh-CN"/>
              </w:rPr>
            </w:pPr>
            <w:r>
              <w:rPr>
                <w:rFonts w:hint="eastAsia"/>
                <w:highlight w:val="none"/>
                <w:lang w:val="en-US" w:eastAsia="zh-CN"/>
              </w:rPr>
              <w:t>14.84</w:t>
            </w:r>
          </w:p>
        </w:tc>
      </w:tr>
    </w:tbl>
    <w:p>
      <w:pPr>
        <w:ind w:firstLine="640"/>
        <w:rPr>
          <w:highlight w:val="none"/>
        </w:rPr>
      </w:pPr>
      <w:r>
        <w:rPr>
          <w:rFonts w:eastAsia="方正仿宋_GBK"/>
          <w:color w:val="000000"/>
          <w:sz w:val="32"/>
          <w:highlight w:val="none"/>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w:t>
      </w:r>
      <w:r>
        <w:rPr>
          <w:rFonts w:hint="eastAsia" w:eastAsia="方正仿宋_GBK"/>
          <w:color w:val="000000"/>
          <w:sz w:val="28"/>
          <w:lang w:val="en-US"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rPr>
          <w:rFonts w:ascii="黑体" w:hAnsi="黑体" w:eastAsia="黑体" w:cs="黑体"/>
          <w:color w:val="000000"/>
          <w:sz w:val="32"/>
          <w:lang w:eastAsia="zh-CN"/>
        </w:rPr>
      </w:pPr>
      <w:bookmarkStart w:id="17" w:name="_Toc_3_3_0000000018"/>
      <w:r>
        <w:rPr>
          <w:rFonts w:ascii="黑体" w:hAnsi="黑体" w:eastAsia="黑体" w:cs="黑体"/>
          <w:color w:val="000000"/>
          <w:sz w:val="32"/>
        </w:rPr>
        <w:t>九、其他需要说明的事项</w:t>
      </w:r>
      <w:bookmarkEnd w:id="17"/>
    </w:p>
    <w:p>
      <w:pPr>
        <w:spacing w:before="10" w:after="10"/>
        <w:ind w:firstLine="640"/>
        <w:outlineLvl w:val="2"/>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微软雅黑"/>
    <w:panose1 w:val="03000509000000000000"/>
    <w:charset w:val="86"/>
    <w:family w:val="script"/>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25573"/>
      <w:docPartObj>
        <w:docPartGallery w:val="autotext"/>
      </w:docPartObj>
    </w:sdtPr>
    <w:sdtContent>
      <w:p>
        <w:pPr>
          <w:pStyle w:val="2"/>
          <w:jc w:val="center"/>
        </w:pPr>
        <w:r>
          <w:fldChar w:fldCharType="begin"/>
        </w:r>
        <w:r>
          <w:instrText xml:space="preserve"> PAGE   \* MERGEFORMAT </w:instrText>
        </w:r>
        <w:r>
          <w:fldChar w:fldCharType="separate"/>
        </w:r>
        <w:r>
          <w:rPr>
            <w:lang w:val="zh-CN"/>
          </w:rPr>
          <w:t>27</w:t>
        </w:r>
        <w:r>
          <w:rPr>
            <w:lang w:val="zh-CN"/>
          </w:rPr>
          <w:fldChar w:fldCharType="end"/>
        </w:r>
      </w:p>
    </w:sdtContent>
  </w:sdt>
  <w:p>
    <w:pP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25572"/>
      <w:docPartObj>
        <w:docPartGallery w:val="autotext"/>
      </w:docPartObj>
    </w:sdtPr>
    <w:sdtContent>
      <w:p>
        <w:pPr>
          <w:pStyle w:val="2"/>
          <w:jc w:val="center"/>
        </w:pPr>
        <w:r>
          <w:fldChar w:fldCharType="begin"/>
        </w:r>
        <w:r>
          <w:instrText xml:space="preserve"> PAGE   \* MERGEFORMAT </w:instrText>
        </w:r>
        <w:r>
          <w:fldChar w:fldCharType="separate"/>
        </w:r>
        <w:r>
          <w:rPr>
            <w:lang w:val="zh-CN"/>
          </w:rPr>
          <w:t>28</w:t>
        </w:r>
        <w:r>
          <w:rPr>
            <w:lang w:val="zh-CN"/>
          </w:rPr>
          <w:fldChar w:fldCharType="end"/>
        </w:r>
      </w:p>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hiNGE0NTZlZjU1Mjk2NmUzY2UyNjU4ZTY4MDUxMjQifQ=="/>
  </w:docVars>
  <w:rsids>
    <w:rsidRoot w:val="00A50709"/>
    <w:rsid w:val="00037F61"/>
    <w:rsid w:val="00052701"/>
    <w:rsid w:val="0011273D"/>
    <w:rsid w:val="001C4208"/>
    <w:rsid w:val="00212500"/>
    <w:rsid w:val="00231D20"/>
    <w:rsid w:val="00241DED"/>
    <w:rsid w:val="002A76EA"/>
    <w:rsid w:val="002E03AF"/>
    <w:rsid w:val="003708D5"/>
    <w:rsid w:val="0037141D"/>
    <w:rsid w:val="004270B7"/>
    <w:rsid w:val="00473AAC"/>
    <w:rsid w:val="004C63D8"/>
    <w:rsid w:val="0058072A"/>
    <w:rsid w:val="005C0128"/>
    <w:rsid w:val="0064285A"/>
    <w:rsid w:val="00657877"/>
    <w:rsid w:val="006916EF"/>
    <w:rsid w:val="006D242E"/>
    <w:rsid w:val="00745304"/>
    <w:rsid w:val="00790EAE"/>
    <w:rsid w:val="00794D03"/>
    <w:rsid w:val="007A2BF4"/>
    <w:rsid w:val="007A5999"/>
    <w:rsid w:val="007B0946"/>
    <w:rsid w:val="007C1F4B"/>
    <w:rsid w:val="007D4B95"/>
    <w:rsid w:val="007E05F5"/>
    <w:rsid w:val="00910A77"/>
    <w:rsid w:val="00992341"/>
    <w:rsid w:val="009F6BB3"/>
    <w:rsid w:val="00A32916"/>
    <w:rsid w:val="00A50709"/>
    <w:rsid w:val="00AE35E9"/>
    <w:rsid w:val="00C01282"/>
    <w:rsid w:val="00C412E0"/>
    <w:rsid w:val="00C46B05"/>
    <w:rsid w:val="00CF2229"/>
    <w:rsid w:val="00D224F4"/>
    <w:rsid w:val="00DB1531"/>
    <w:rsid w:val="00E777C3"/>
    <w:rsid w:val="00EC64DD"/>
    <w:rsid w:val="00FD5995"/>
    <w:rsid w:val="010827C0"/>
    <w:rsid w:val="033A0C2B"/>
    <w:rsid w:val="087F5A5E"/>
    <w:rsid w:val="0A740EC6"/>
    <w:rsid w:val="0CC531F2"/>
    <w:rsid w:val="0F3E6BDD"/>
    <w:rsid w:val="0FAF2DEB"/>
    <w:rsid w:val="11895257"/>
    <w:rsid w:val="13A50343"/>
    <w:rsid w:val="14F055ED"/>
    <w:rsid w:val="163444CB"/>
    <w:rsid w:val="166242C9"/>
    <w:rsid w:val="1A00488E"/>
    <w:rsid w:val="1BBB4BA7"/>
    <w:rsid w:val="1CB87D0E"/>
    <w:rsid w:val="1F152820"/>
    <w:rsid w:val="242B3382"/>
    <w:rsid w:val="275B0FEC"/>
    <w:rsid w:val="27F136FF"/>
    <w:rsid w:val="304937E6"/>
    <w:rsid w:val="32A138FE"/>
    <w:rsid w:val="32FF0E0B"/>
    <w:rsid w:val="3A1A0893"/>
    <w:rsid w:val="3C1D3B2A"/>
    <w:rsid w:val="3DDB658B"/>
    <w:rsid w:val="3F2A23E4"/>
    <w:rsid w:val="3F79605C"/>
    <w:rsid w:val="40512D62"/>
    <w:rsid w:val="41ED42AD"/>
    <w:rsid w:val="424110DF"/>
    <w:rsid w:val="42733236"/>
    <w:rsid w:val="42A11B51"/>
    <w:rsid w:val="462A7633"/>
    <w:rsid w:val="48B120D7"/>
    <w:rsid w:val="4B865D88"/>
    <w:rsid w:val="540168F4"/>
    <w:rsid w:val="584D580A"/>
    <w:rsid w:val="634C17BE"/>
    <w:rsid w:val="63F83144"/>
    <w:rsid w:val="65983429"/>
    <w:rsid w:val="66ED2D08"/>
    <w:rsid w:val="67C972D1"/>
    <w:rsid w:val="6C7F4402"/>
    <w:rsid w:val="712D267F"/>
    <w:rsid w:val="719170B1"/>
    <w:rsid w:val="71956476"/>
    <w:rsid w:val="72151E2E"/>
    <w:rsid w:val="738642C8"/>
    <w:rsid w:val="77304C77"/>
    <w:rsid w:val="79E24222"/>
    <w:rsid w:val="7A170370"/>
    <w:rsid w:val="7A97500D"/>
    <w:rsid w:val="7C093CE8"/>
    <w:rsid w:val="7D083FA0"/>
    <w:rsid w:val="7DDD71DA"/>
    <w:rsid w:val="7F1C19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34"/>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fontTable.xml" Type="http://schemas.openxmlformats.org/officeDocument/2006/relationships/fontTabl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2023-01-17T07:40:31Z</dcterms:created>
  <dcterms:modified xsi:type="dcterms:W3CDTF">2023-01-16T23:40:31Z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2023-01-17T07:40:31Z</dcterms:created>
  <dcterms:modified xsi:type="dcterms:W3CDTF">2023-01-16T23:40:31Z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2023-01-17T07:40:32Z</dcterms:created>
  <dcterms:modified xsi:type="dcterms:W3CDTF">2023-01-16T23:40:32Z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2023-01-17T07:40:31Z</dcterms:created>
  <dcterms:modified xsi:type="dcterms:W3CDTF">2023-01-16T23:40:31Z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2023-01-17T07:40:24Z</dcterms:created>
  <dcterms:modified xsi:type="dcterms:W3CDTF">2023-01-16T23:40:24Z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2023-01-17T07:40:32Z</dcterms:created>
  <dcterms:modified xsi:type="dcterms:W3CDTF">2023-01-16T23:40:32Z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2023-01-17T07:40:32Z</dcterms:created>
  <dcterms:modified xsi:type="dcterms:W3CDTF">2023-01-16T23:40:32Z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2023-01-17T07:40:24Z</dcterms:created>
  <dcterms:modified xsi:type="dcterms:W3CDTF">2023-01-16T23:40:24Z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2023-01-17T07:40:31Z</dcterms:created>
  <dcterms:modified xsi:type="dcterms:W3CDTF">2023-01-16T23:40:31Z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2023-01-17T07:40:26Z</dcterms:created>
  <dcterms:modified xsi:type="dcterms:W3CDTF">2023-01-16T23:40:26Z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2023-01-17T07:40:25Z</dcterms:created>
  <dcterms:modified xsi:type="dcterms:W3CDTF">2023-01-16T23:40:25Z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2023-01-17T07:40:33Z</dcterms:created>
  <dcterms:modified xsi:type="dcterms:W3CDTF">2023-01-16T23:40:33Z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2023-01-17T07:40:31Z</dcterms:created>
  <dcterms:modified xsi:type="dcterms:W3CDTF">2023-01-16T23:40:31Z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2023-01-17T07:40:25Z</dcterms:created>
  <dcterms:modified xsi:type="dcterms:W3CDTF">2023-01-16T23:40:25Z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2023-01-17T07:40:25Z</dcterms:created>
  <dcterms:modified xsi:type="dcterms:W3CDTF">2023-01-16T23:40:25Z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2023-01-17T07:40:25Z</dcterms:created>
  <dcterms:modified xsi:type="dcterms:W3CDTF">2023-01-16T23:40:25Z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2023-01-17T07:40:25Z</dcterms:created>
  <dcterms:modified xsi:type="dcterms:W3CDTF">2023-01-16T23:40:25Z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2023-01-17T07:40:25Z</dcterms:created>
  <dcterms:modified xsi:type="dcterms:W3CDTF">2023-01-16T23:40:25Z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2023-01-17T07:40:24Z</dcterms:created>
  <dcterms:modified xsi:type="dcterms:W3CDTF">2023-01-16T23:40:24Z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2023-01-17T07:40:32Z</dcterms:created>
  <dcterms:modified xsi:type="dcterms:W3CDTF">2023-01-16T23:40:32Z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2023-01-17T07:40:30Z</dcterms:created>
  <dcterms:modified xsi:type="dcterms:W3CDTF">2023-01-16T23:40:29Z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2023-01-17T07:40:26Z</dcterms:created>
  <dcterms:modified xsi:type="dcterms:W3CDTF">2023-01-16T23:40:26Z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2023-01-17T07:40:23Z</dcterms:created>
  <dcterms:modified xsi:type="dcterms:W3CDTF">2023-01-16T23:40:22Z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76F4673-D4BF-4FDF-99B0-53C4A2EC9698}">
  <ds:schemaRefs/>
</ds:datastoreItem>
</file>

<file path=customXml/itemProps11.xml><?xml version="1.0" encoding="utf-8"?>
<ds:datastoreItem xmlns:ds="http://schemas.openxmlformats.org/officeDocument/2006/customXml" ds:itemID="{7F0F8BA7-B854-4641-B753-EDFB2D4FC510}">
  <ds:schemaRefs/>
</ds:datastoreItem>
</file>

<file path=customXml/itemProps12.xml><?xml version="1.0" encoding="utf-8"?>
<ds:datastoreItem xmlns:ds="http://schemas.openxmlformats.org/officeDocument/2006/customXml" ds:itemID="{37F2AEC7-02B0-4EF9-8B82-22E3827EAA6A}">
  <ds:schemaRefs/>
</ds:datastoreItem>
</file>

<file path=customXml/itemProps13.xml><?xml version="1.0" encoding="utf-8"?>
<ds:datastoreItem xmlns:ds="http://schemas.openxmlformats.org/officeDocument/2006/customXml" ds:itemID="{347967B8-F7B6-4B87-8768-21E76E56F17E}">
  <ds:schemaRefs/>
</ds:datastoreItem>
</file>

<file path=customXml/itemProps14.xml><?xml version="1.0" encoding="utf-8"?>
<ds:datastoreItem xmlns:ds="http://schemas.openxmlformats.org/officeDocument/2006/customXml" ds:itemID="{6F6FE89B-7142-492C-853F-5EE2BF1D4640}">
  <ds:schemaRefs/>
</ds:datastoreItem>
</file>

<file path=customXml/itemProps15.xml><?xml version="1.0" encoding="utf-8"?>
<ds:datastoreItem xmlns:ds="http://schemas.openxmlformats.org/officeDocument/2006/customXml" ds:itemID="{C1874E51-3ADE-4439-B82A-EF35259B6015}">
  <ds:schemaRefs/>
</ds:datastoreItem>
</file>

<file path=customXml/itemProps16.xml><?xml version="1.0" encoding="utf-8"?>
<ds:datastoreItem xmlns:ds="http://schemas.openxmlformats.org/officeDocument/2006/customXml" ds:itemID="{A8BBBA02-7D7F-4680-835E-539024BB788C}">
  <ds:schemaRefs/>
</ds:datastoreItem>
</file>

<file path=customXml/itemProps17.xml><?xml version="1.0" encoding="utf-8"?>
<ds:datastoreItem xmlns:ds="http://schemas.openxmlformats.org/officeDocument/2006/customXml" ds:itemID="{C4E2811D-5762-4DE9-ACF1-132B68361733}">
  <ds:schemaRefs/>
</ds:datastoreItem>
</file>

<file path=customXml/itemProps18.xml><?xml version="1.0" encoding="utf-8"?>
<ds:datastoreItem xmlns:ds="http://schemas.openxmlformats.org/officeDocument/2006/customXml" ds:itemID="{C2AB2C37-02CB-46C1-B496-F6B1C39A36FD}">
  <ds:schemaRefs/>
</ds:datastoreItem>
</file>

<file path=customXml/itemProps19.xml><?xml version="1.0" encoding="utf-8"?>
<ds:datastoreItem xmlns:ds="http://schemas.openxmlformats.org/officeDocument/2006/customXml" ds:itemID="{25E3B2CD-99A7-4DFC-AD54-A3BD39D2F524}">
  <ds:schemaRefs/>
</ds:datastoreItem>
</file>

<file path=customXml/itemProps2.xml><?xml version="1.0" encoding="utf-8"?>
<ds:datastoreItem xmlns:ds="http://schemas.openxmlformats.org/officeDocument/2006/customXml" ds:itemID="{9637E4C3-A5A1-4E53-A7F9-0D47C66FB57E}">
  <ds:schemaRefs/>
</ds:datastoreItem>
</file>

<file path=customXml/itemProps20.xml><?xml version="1.0" encoding="utf-8"?>
<ds:datastoreItem xmlns:ds="http://schemas.openxmlformats.org/officeDocument/2006/customXml" ds:itemID="{46869F1F-3243-4F99-9402-537284D0D99D}">
  <ds:schemaRefs/>
</ds:datastoreItem>
</file>

<file path=customXml/itemProps21.xml><?xml version="1.0" encoding="utf-8"?>
<ds:datastoreItem xmlns:ds="http://schemas.openxmlformats.org/officeDocument/2006/customXml" ds:itemID="{6242F787-009B-4432-A5DD-1D6EDDC2726A}">
  <ds:schemaRefs/>
</ds:datastoreItem>
</file>

<file path=customXml/itemProps22.xml><?xml version="1.0" encoding="utf-8"?>
<ds:datastoreItem xmlns:ds="http://schemas.openxmlformats.org/officeDocument/2006/customXml" ds:itemID="{C0D571DF-C07F-4368-B4B6-094B415909E1}">
  <ds:schemaRefs/>
</ds:datastoreItem>
</file>

<file path=customXml/itemProps23.xml><?xml version="1.0" encoding="utf-8"?>
<ds:datastoreItem xmlns:ds="http://schemas.openxmlformats.org/officeDocument/2006/customXml" ds:itemID="{A4376E90-EA26-4D9A-9D5E-93B35314DF83}">
  <ds:schemaRefs/>
</ds:datastoreItem>
</file>

<file path=customXml/itemProps24.xml><?xml version="1.0" encoding="utf-8"?>
<ds:datastoreItem xmlns:ds="http://schemas.openxmlformats.org/officeDocument/2006/customXml" ds:itemID="{FCDCD5C1-4FCF-4182-8AF6-2687DA7ABBE2}">
  <ds:schemaRefs/>
</ds:datastoreItem>
</file>

<file path=customXml/itemProps25.xml><?xml version="1.0" encoding="utf-8"?>
<ds:datastoreItem xmlns:ds="http://schemas.openxmlformats.org/officeDocument/2006/customXml" ds:itemID="{FC76710C-1E56-4981-A834-26535CEEE4A9}">
  <ds:schemaRefs/>
</ds:datastoreItem>
</file>

<file path=customXml/itemProps26.xml><?xml version="1.0" encoding="utf-8"?>
<ds:datastoreItem xmlns:ds="http://schemas.openxmlformats.org/officeDocument/2006/customXml" ds:itemID="{84517FFF-2FFA-4335-A4C4-04C4E3245222}">
  <ds:schemaRefs/>
</ds:datastoreItem>
</file>

<file path=customXml/itemProps27.xml><?xml version="1.0" encoding="utf-8"?>
<ds:datastoreItem xmlns:ds="http://schemas.openxmlformats.org/officeDocument/2006/customXml" ds:itemID="{3E6A99CD-EAC9-4876-A01A-23866ECD832F}">
  <ds:schemaRefs/>
</ds:datastoreItem>
</file>

<file path=customXml/itemProps28.xml><?xml version="1.0" encoding="utf-8"?>
<ds:datastoreItem xmlns:ds="http://schemas.openxmlformats.org/officeDocument/2006/customXml" ds:itemID="{96BFA771-2B22-4C05-B790-934050D0E50B}">
  <ds:schemaRefs/>
</ds:datastoreItem>
</file>

<file path=customXml/itemProps29.xml><?xml version="1.0" encoding="utf-8"?>
<ds:datastoreItem xmlns:ds="http://schemas.openxmlformats.org/officeDocument/2006/customXml" ds:itemID="{722AB6DF-FFB7-4CCA-9A24-780B340FC470}">
  <ds:schemaRefs/>
</ds:datastoreItem>
</file>

<file path=customXml/itemProps3.xml><?xml version="1.0" encoding="utf-8"?>
<ds:datastoreItem xmlns:ds="http://schemas.openxmlformats.org/officeDocument/2006/customXml" ds:itemID="{ED493809-99EE-48FA-B8F9-D489D1B42CD3}">
  <ds:schemaRefs/>
</ds:datastoreItem>
</file>

<file path=customXml/itemProps30.xml><?xml version="1.0" encoding="utf-8"?>
<ds:datastoreItem xmlns:ds="http://schemas.openxmlformats.org/officeDocument/2006/customXml" ds:itemID="{35689B33-49C9-4813-A4AE-A192A43B4457}">
  <ds:schemaRefs/>
</ds:datastoreItem>
</file>

<file path=customXml/itemProps31.xml><?xml version="1.0" encoding="utf-8"?>
<ds:datastoreItem xmlns:ds="http://schemas.openxmlformats.org/officeDocument/2006/customXml" ds:itemID="{F394FFD8-46B7-4549-A3F3-DE193F583A6F}">
  <ds:schemaRefs/>
</ds:datastoreItem>
</file>

<file path=customXml/itemProps32.xml><?xml version="1.0" encoding="utf-8"?>
<ds:datastoreItem xmlns:ds="http://schemas.openxmlformats.org/officeDocument/2006/customXml" ds:itemID="{02B152AC-B41F-4F22-95DE-BB0632AAACE6}">
  <ds:schemaRefs/>
</ds:datastoreItem>
</file>

<file path=customXml/itemProps33.xml><?xml version="1.0" encoding="utf-8"?>
<ds:datastoreItem xmlns:ds="http://schemas.openxmlformats.org/officeDocument/2006/customXml" ds:itemID="{ECDCD8E0-E7C6-4DBF-8D62-C3484D0848F4}">
  <ds:schemaRefs/>
</ds:datastoreItem>
</file>

<file path=customXml/itemProps34.xml><?xml version="1.0" encoding="utf-8"?>
<ds:datastoreItem xmlns:ds="http://schemas.openxmlformats.org/officeDocument/2006/customXml" ds:itemID="{1CC959EE-950B-407F-A756-68862D1E5E06}">
  <ds:schemaRefs/>
</ds:datastoreItem>
</file>

<file path=customXml/itemProps35.xml><?xml version="1.0" encoding="utf-8"?>
<ds:datastoreItem xmlns:ds="http://schemas.openxmlformats.org/officeDocument/2006/customXml" ds:itemID="{639D109D-BC40-4A71-A7A3-2632F215BB8C}">
  <ds:schemaRefs/>
</ds:datastoreItem>
</file>

<file path=customXml/itemProps36.xml><?xml version="1.0" encoding="utf-8"?>
<ds:datastoreItem xmlns:ds="http://schemas.openxmlformats.org/officeDocument/2006/customXml" ds:itemID="{7C7DF0FD-9B0F-4D9A-A523-8742FA801B2F}">
  <ds:schemaRefs/>
</ds:datastoreItem>
</file>

<file path=customXml/itemProps37.xml><?xml version="1.0" encoding="utf-8"?>
<ds:datastoreItem xmlns:ds="http://schemas.openxmlformats.org/officeDocument/2006/customXml" ds:itemID="{6B633D20-83AD-4A8C-89F4-B75B0106AEFB}">
  <ds:schemaRefs/>
</ds:datastoreItem>
</file>

<file path=customXml/itemProps38.xml><?xml version="1.0" encoding="utf-8"?>
<ds:datastoreItem xmlns:ds="http://schemas.openxmlformats.org/officeDocument/2006/customXml" ds:itemID="{1A86162C-421F-429F-8891-977C1CC3BC4B}">
  <ds:schemaRefs/>
</ds:datastoreItem>
</file>

<file path=customXml/itemProps39.xml><?xml version="1.0" encoding="utf-8"?>
<ds:datastoreItem xmlns:ds="http://schemas.openxmlformats.org/officeDocument/2006/customXml" ds:itemID="{CC78586E-DDF3-4494-90A4-B6AE4C9CCE95}">
  <ds:schemaRefs/>
</ds:datastoreItem>
</file>

<file path=customXml/itemProps4.xml><?xml version="1.0" encoding="utf-8"?>
<ds:datastoreItem xmlns:ds="http://schemas.openxmlformats.org/officeDocument/2006/customXml" ds:itemID="{11CF0693-113B-4223-B998-574DF98062A2}">
  <ds:schemaRefs/>
</ds:datastoreItem>
</file>

<file path=customXml/itemProps40.xml><?xml version="1.0" encoding="utf-8"?>
<ds:datastoreItem xmlns:ds="http://schemas.openxmlformats.org/officeDocument/2006/customXml" ds:itemID="{E635A45F-E5AD-4150-A88D-A52348173B74}">
  <ds:schemaRefs/>
</ds:datastoreItem>
</file>

<file path=customXml/itemProps41.xml><?xml version="1.0" encoding="utf-8"?>
<ds:datastoreItem xmlns:ds="http://schemas.openxmlformats.org/officeDocument/2006/customXml" ds:itemID="{7A90D6A2-BDB8-488F-8A7E-1E928F9668C2}">
  <ds:schemaRefs/>
</ds:datastoreItem>
</file>

<file path=customXml/itemProps42.xml><?xml version="1.0" encoding="utf-8"?>
<ds:datastoreItem xmlns:ds="http://schemas.openxmlformats.org/officeDocument/2006/customXml" ds:itemID="{049B14A3-D9D6-40AE-B56F-6A91661A7BE0}">
  <ds:schemaRefs/>
</ds:datastoreItem>
</file>

<file path=customXml/itemProps43.xml><?xml version="1.0" encoding="utf-8"?>
<ds:datastoreItem xmlns:ds="http://schemas.openxmlformats.org/officeDocument/2006/customXml" ds:itemID="{0984B549-29B2-46F4-86D4-DA80DA82DE66}">
  <ds:schemaRefs/>
</ds:datastoreItem>
</file>

<file path=customXml/itemProps44.xml><?xml version="1.0" encoding="utf-8"?>
<ds:datastoreItem xmlns:ds="http://schemas.openxmlformats.org/officeDocument/2006/customXml" ds:itemID="{CABBD9F2-1EDA-4B1E-A1F7-1C9C99D1B6D0}">
  <ds:schemaRefs/>
</ds:datastoreItem>
</file>

<file path=customXml/itemProps45.xml><?xml version="1.0" encoding="utf-8"?>
<ds:datastoreItem xmlns:ds="http://schemas.openxmlformats.org/officeDocument/2006/customXml" ds:itemID="{EDF02334-D1DF-41BA-8464-22A9B3D2E02B}">
  <ds:schemaRefs/>
</ds:datastoreItem>
</file>

<file path=customXml/itemProps46.xml><?xml version="1.0" encoding="utf-8"?>
<ds:datastoreItem xmlns:ds="http://schemas.openxmlformats.org/officeDocument/2006/customXml" ds:itemID="{C2C5AC8C-29AC-45E4-9BA9-18850AB1AD71}">
  <ds:schemaRefs/>
</ds:datastoreItem>
</file>

<file path=customXml/itemProps47.xml><?xml version="1.0" encoding="utf-8"?>
<ds:datastoreItem xmlns:ds="http://schemas.openxmlformats.org/officeDocument/2006/customXml" ds:itemID="{189F6BB0-B5FC-4C7F-B3D1-19A3FF79909D}">
  <ds:schemaRefs/>
</ds:datastoreItem>
</file>

<file path=customXml/itemProps5.xml><?xml version="1.0" encoding="utf-8"?>
<ds:datastoreItem xmlns:ds="http://schemas.openxmlformats.org/officeDocument/2006/customXml" ds:itemID="{984CB6EC-A54D-4124-BA53-D987499E83ED}">
  <ds:schemaRefs/>
</ds:datastoreItem>
</file>

<file path=customXml/itemProps6.xml><?xml version="1.0" encoding="utf-8"?>
<ds:datastoreItem xmlns:ds="http://schemas.openxmlformats.org/officeDocument/2006/customXml" ds:itemID="{11B63F2B-F8CF-465E-94CA-7C0FE1F961E9}">
  <ds:schemaRefs/>
</ds:datastoreItem>
</file>

<file path=customXml/itemProps7.xml><?xml version="1.0" encoding="utf-8"?>
<ds:datastoreItem xmlns:ds="http://schemas.openxmlformats.org/officeDocument/2006/customXml" ds:itemID="{0BDBA3C9-E662-4BEE-A8F1-84D386212CDB}">
  <ds:schemaRefs/>
</ds:datastoreItem>
</file>

<file path=customXml/itemProps8.xml><?xml version="1.0" encoding="utf-8"?>
<ds:datastoreItem xmlns:ds="http://schemas.openxmlformats.org/officeDocument/2006/customXml" ds:itemID="{F931AA43-3174-4F3B-94CD-57A8CE1BA0DC}">
  <ds:schemaRefs/>
</ds:datastoreItem>
</file>

<file path=customXml/itemProps9.xml><?xml version="1.0" encoding="utf-8"?>
<ds:datastoreItem xmlns:ds="http://schemas.openxmlformats.org/officeDocument/2006/customXml" ds:itemID="{52E26B75-C7FE-48B5-B432-3938216AE377}">
  <ds:schemaRefs/>
</ds:datastoreItem>
</file>

<file path=docProps/app.xml><?xml version="1.0" encoding="utf-8"?>
<Properties xmlns="http://schemas.openxmlformats.org/officeDocument/2006/extended-properties" xmlns:vt="http://schemas.openxmlformats.org/officeDocument/2006/docPropsVTypes">
  <Template>Normal.dotm</Template>
  <Pages>35</Pages>
  <Words>10076</Words>
  <Characters>11839</Characters>
  <Lines>106</Lines>
  <Paragraphs>29</Paragraphs>
  <TotalTime>0</TotalTime>
  <ScaleCrop>false</ScaleCrop>
  <LinksUpToDate>false</LinksUpToDate>
  <CharactersWithSpaces>12015</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2023-01-16T23:41:00Z</dcterms:created>
  <dc:creator>Administrator</dc:creator>
  <cp:lastModifiedBy>Administrator</cp:lastModifiedBy>
  <dcterms:modified xsi:type="dcterms:W3CDTF">2023-09-06T08:36:16Z</dcterms:modified>
  <cp:revision>43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9518F7C5B50E45F2930E107D8826DE59_12</vt:lpwstr>
  </property>
</Properties>
</file>