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jc w:val="center"/>
        <w:rPr>
          <w:rFonts w:eastAsia="Times New Roman"/>
        </w:rPr>
      </w:pPr>
      <w:r>
        <w:rPr>
          <w:rFonts w:hint="eastAsia" w:ascii="黑体" w:hAnsi="黑体" w:eastAsia="黑体" w:cs="黑体"/>
          <w:b/>
          <w:color w:val="000000"/>
          <w:sz w:val="30"/>
          <w:lang w:val="en-US" w:eastAsia="zh-CN"/>
        </w:rPr>
        <w:t>单位</w:t>
      </w:r>
      <w:r>
        <w:rPr>
          <w:rFonts w:hint="eastAsia" w:ascii="黑体" w:hAnsi="黑体" w:eastAsia="黑体" w:cs="黑体"/>
          <w:b/>
          <w:color w:val="000000"/>
          <w:sz w:val="30"/>
        </w:rPr>
        <w:t>预算</w:t>
      </w:r>
    </w:p>
    <w:p>
      <w:pPr>
        <w:rPr>
          <w:rFonts w:eastAsia="Times New Roman"/>
        </w:rPr>
      </w:pPr>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rPr>
          <w:rFonts w:hint="eastAsia"/>
        </w:rPr>
        <w:t>预算收支总表</w:t>
      </w:r>
      <w:r>
        <w:tab/>
      </w:r>
      <w:r>
        <w:rPr>
          <w:rFonts w:hint="eastAsia"/>
          <w:lang w:val="en-US" w:eastAsia="zh-CN"/>
        </w:rPr>
        <w:t>2</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rPr>
          <w:rFonts w:hint="eastAsia"/>
        </w:rPr>
        <w:t>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rPr>
          <w:rFonts w:hint="eastAsia"/>
        </w:rPr>
        <w:t>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rPr>
          <w:rFonts w:hint="eastAsia"/>
        </w:rPr>
        <w:t>预算财政拨款收支总表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rPr>
          <w:rFonts w:hint="eastAsia"/>
        </w:rPr>
        <w:t>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rPr>
          <w:rFonts w:hint="eastAsia"/>
        </w:rPr>
        <w:t>预算政府基金预算财政拨款支出表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val="en-US"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val="en-US" w:eastAsia="zh-CN"/>
        </w:rPr>
        <w:t>单位</w:t>
      </w:r>
      <w:r>
        <w:rPr>
          <w:rFonts w:hint="eastAsia"/>
        </w:rPr>
        <w:t>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2</w:t>
      </w:r>
      <w:r>
        <w:fldChar w:fldCharType="end"/>
      </w:r>
      <w:r>
        <w:rPr>
          <w:rFonts w:hint="eastAsia"/>
          <w:lang w:val="en-US" w:eastAsia="zh-CN"/>
        </w:rPr>
        <w:t>9</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val="en-US" w:eastAsia="zh-CN"/>
        </w:rPr>
        <w:t>单位</w:t>
      </w:r>
      <w:r>
        <w:rPr>
          <w:rFonts w:hint="eastAsia" w:ascii="方正小标宋_GBK" w:hAnsi="方正小标宋_GBK" w:eastAsia="方正小标宋_GBK" w:cs="方正小标宋_GBK"/>
          <w:color w:val="000000"/>
          <w:sz w:val="72"/>
        </w:rPr>
        <w:t>预算</w:t>
      </w:r>
    </w:p>
    <w:p>
      <w:pPr>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预算收支总表</w:t>
      </w:r>
      <w:bookmarkEnd w:id="0"/>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126"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6662" w:type="dxa"/>
            <w:gridSpan w:val="2"/>
            <w:vAlign w:val="center"/>
          </w:tcPr>
          <w:p>
            <w:pPr>
              <w:pStyle w:val="12"/>
            </w:pPr>
            <w:r>
              <w:rPr>
                <w:rFonts w:hint="eastAsia"/>
              </w:rPr>
              <w:t>收入</w:t>
            </w:r>
          </w:p>
        </w:tc>
        <w:tc>
          <w:tcPr>
            <w:tcW w:w="6661" w:type="dxa"/>
            <w:gridSpan w:val="2"/>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c>
          <w:tcPr>
            <w:tcW w:w="4535"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rPr>
                <w:rFonts w:hint="eastAsia"/>
              </w:rPr>
              <w:t>一、一般公共预算拨款收入</w:t>
            </w:r>
          </w:p>
        </w:tc>
        <w:tc>
          <w:tcPr>
            <w:tcW w:w="2126" w:type="dxa"/>
            <w:vAlign w:val="center"/>
          </w:tcPr>
          <w:p>
            <w:pPr>
              <w:pStyle w:val="13"/>
            </w:pPr>
            <w:r>
              <w:t>1486.85</w:t>
            </w:r>
          </w:p>
        </w:tc>
        <w:tc>
          <w:tcPr>
            <w:tcW w:w="4535" w:type="dxa"/>
            <w:vAlign w:val="center"/>
          </w:tcPr>
          <w:p>
            <w:pPr>
              <w:pStyle w:val="14"/>
            </w:pPr>
            <w:r>
              <w:rPr>
                <w:rFonts w:hint="eastAsia"/>
              </w:rPr>
              <w:t>一、一般公共服务支出</w:t>
            </w:r>
          </w:p>
        </w:tc>
        <w:tc>
          <w:tcPr>
            <w:tcW w:w="2126" w:type="dxa"/>
            <w:vAlign w:val="center"/>
          </w:tcPr>
          <w:p>
            <w:pPr>
              <w:pStyle w:val="13"/>
            </w:pPr>
            <w:r>
              <w:t>1308.22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rPr>
                <w:rFonts w:hint="eastAsia"/>
              </w:rPr>
              <w:t>二、政府性基金预算拨款收入</w:t>
            </w:r>
          </w:p>
        </w:tc>
        <w:tc>
          <w:tcPr>
            <w:tcW w:w="2126" w:type="dxa"/>
            <w:vAlign w:val="center"/>
          </w:tcPr>
          <w:p>
            <w:pPr>
              <w:pStyle w:val="13"/>
            </w:pPr>
          </w:p>
        </w:tc>
        <w:tc>
          <w:tcPr>
            <w:tcW w:w="4535" w:type="dxa"/>
            <w:vAlign w:val="center"/>
          </w:tcPr>
          <w:p>
            <w:pPr>
              <w:pStyle w:val="14"/>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rPr>
                <w:rFonts w:hint="eastAsia"/>
              </w:rPr>
              <w:t>三、国有资本经营预算拨款收入</w:t>
            </w:r>
          </w:p>
        </w:tc>
        <w:tc>
          <w:tcPr>
            <w:tcW w:w="2126" w:type="dxa"/>
            <w:vAlign w:val="center"/>
          </w:tcPr>
          <w:p>
            <w:pPr>
              <w:pStyle w:val="13"/>
            </w:pPr>
          </w:p>
        </w:tc>
        <w:tc>
          <w:tcPr>
            <w:tcW w:w="4535" w:type="dxa"/>
            <w:vAlign w:val="center"/>
          </w:tcPr>
          <w:p>
            <w:pPr>
              <w:pStyle w:val="14"/>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rPr>
                <w:rFonts w:hint="eastAsia"/>
              </w:rPr>
              <w:t>四、财政专户管理资金收入</w:t>
            </w:r>
          </w:p>
        </w:tc>
        <w:tc>
          <w:tcPr>
            <w:tcW w:w="2126" w:type="dxa"/>
            <w:vAlign w:val="center"/>
          </w:tcPr>
          <w:p>
            <w:pPr>
              <w:pStyle w:val="13"/>
            </w:pPr>
          </w:p>
        </w:tc>
        <w:tc>
          <w:tcPr>
            <w:tcW w:w="4535" w:type="dxa"/>
            <w:vAlign w:val="center"/>
          </w:tcPr>
          <w:p>
            <w:pPr>
              <w:pStyle w:val="14"/>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rPr>
                <w:rFonts w:hint="eastAsia"/>
              </w:rPr>
              <w:t>五、事业收入</w:t>
            </w:r>
          </w:p>
        </w:tc>
        <w:tc>
          <w:tcPr>
            <w:tcW w:w="2126" w:type="dxa"/>
            <w:vAlign w:val="center"/>
          </w:tcPr>
          <w:p>
            <w:pPr>
              <w:pStyle w:val="13"/>
            </w:pPr>
          </w:p>
        </w:tc>
        <w:tc>
          <w:tcPr>
            <w:tcW w:w="4535" w:type="dxa"/>
            <w:vAlign w:val="center"/>
          </w:tcPr>
          <w:p>
            <w:pPr>
              <w:pStyle w:val="14"/>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rPr>
                <w:rFonts w:hint="eastAsia"/>
              </w:rPr>
              <w:t>六、事业单位经营收入</w:t>
            </w:r>
          </w:p>
        </w:tc>
        <w:tc>
          <w:tcPr>
            <w:tcW w:w="2126" w:type="dxa"/>
            <w:vAlign w:val="center"/>
          </w:tcPr>
          <w:p>
            <w:pPr>
              <w:pStyle w:val="13"/>
            </w:pPr>
          </w:p>
        </w:tc>
        <w:tc>
          <w:tcPr>
            <w:tcW w:w="4535" w:type="dxa"/>
            <w:vAlign w:val="center"/>
          </w:tcPr>
          <w:p>
            <w:pPr>
              <w:pStyle w:val="14"/>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rPr>
                <w:rFonts w:hint="eastAsia"/>
              </w:rPr>
              <w:t>七、上级补助收入</w:t>
            </w:r>
          </w:p>
        </w:tc>
        <w:tc>
          <w:tcPr>
            <w:tcW w:w="2126" w:type="dxa"/>
            <w:vAlign w:val="center"/>
          </w:tcPr>
          <w:p>
            <w:pPr>
              <w:pStyle w:val="13"/>
            </w:pPr>
          </w:p>
        </w:tc>
        <w:tc>
          <w:tcPr>
            <w:tcW w:w="4535" w:type="dxa"/>
            <w:vAlign w:val="center"/>
          </w:tcPr>
          <w:p>
            <w:pPr>
              <w:pStyle w:val="14"/>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rPr>
                <w:rFonts w:hint="eastAsia"/>
              </w:rPr>
              <w:t>八、附属单位上缴收入</w:t>
            </w:r>
          </w:p>
        </w:tc>
        <w:tc>
          <w:tcPr>
            <w:tcW w:w="2126" w:type="dxa"/>
            <w:vAlign w:val="center"/>
          </w:tcPr>
          <w:p>
            <w:pPr>
              <w:pStyle w:val="13"/>
            </w:pPr>
          </w:p>
        </w:tc>
        <w:tc>
          <w:tcPr>
            <w:tcW w:w="4535" w:type="dxa"/>
            <w:vAlign w:val="center"/>
          </w:tcPr>
          <w:p>
            <w:pPr>
              <w:pStyle w:val="14"/>
            </w:pPr>
            <w:r>
              <w:rPr>
                <w:rFonts w:hint="eastAsia"/>
              </w:rPr>
              <w:t>八、社会保障和就业支出</w:t>
            </w:r>
          </w:p>
        </w:tc>
        <w:tc>
          <w:tcPr>
            <w:tcW w:w="2126" w:type="dxa"/>
            <w:vAlign w:val="center"/>
          </w:tcPr>
          <w:p>
            <w:pPr>
              <w:pStyle w:val="13"/>
            </w:pPr>
            <w:r>
              <w:t>76.97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rPr>
                <w:rFonts w:hint="eastAsia"/>
              </w:rPr>
              <w:t>九、其他收入</w:t>
            </w:r>
          </w:p>
        </w:tc>
        <w:tc>
          <w:tcPr>
            <w:tcW w:w="2126" w:type="dxa"/>
            <w:vAlign w:val="center"/>
          </w:tcPr>
          <w:p>
            <w:pPr>
              <w:pStyle w:val="13"/>
            </w:pPr>
          </w:p>
        </w:tc>
        <w:tc>
          <w:tcPr>
            <w:tcW w:w="4535" w:type="dxa"/>
            <w:vAlign w:val="center"/>
          </w:tcPr>
          <w:p>
            <w:pPr>
              <w:pStyle w:val="14"/>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十、卫生健康支出</w:t>
            </w:r>
          </w:p>
        </w:tc>
        <w:tc>
          <w:tcPr>
            <w:tcW w:w="2126" w:type="dxa"/>
            <w:vAlign w:val="center"/>
          </w:tcPr>
          <w:p>
            <w:pPr>
              <w:pStyle w:val="13"/>
            </w:pPr>
            <w:r>
              <w:t>36.85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十四、交通运输支出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十五、资源勘探工业信息等支出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十九、自然资源海洋气象等支出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二十、住房保障支出</w:t>
            </w:r>
          </w:p>
        </w:tc>
        <w:tc>
          <w:tcPr>
            <w:tcW w:w="2126" w:type="dxa"/>
            <w:vAlign w:val="center"/>
          </w:tcPr>
          <w:p>
            <w:pPr>
              <w:pStyle w:val="13"/>
            </w:pPr>
            <w:r>
              <w:t>64.82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二十四、预备费</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二十五、其他支出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二十七、转移性支出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rPr>
                <w:rFonts w:hint="eastAsia"/>
              </w:rPr>
              <w:t>本年收入合计</w:t>
            </w:r>
          </w:p>
        </w:tc>
        <w:tc>
          <w:tcPr>
            <w:tcW w:w="2126" w:type="dxa"/>
            <w:vAlign w:val="center"/>
          </w:tcPr>
          <w:p>
            <w:pPr>
              <w:pStyle w:val="17"/>
            </w:pPr>
            <w:r>
              <w:t>1486.85</w:t>
            </w:r>
          </w:p>
        </w:tc>
        <w:tc>
          <w:tcPr>
            <w:tcW w:w="4535" w:type="dxa"/>
            <w:vAlign w:val="center"/>
          </w:tcPr>
          <w:p>
            <w:pPr>
              <w:pStyle w:val="16"/>
            </w:pPr>
            <w:r>
              <w:rPr>
                <w:rFonts w:hint="eastAsia"/>
              </w:rPr>
              <w:t>本年支出合计</w:t>
            </w:r>
          </w:p>
        </w:tc>
        <w:tc>
          <w:tcPr>
            <w:tcW w:w="2126" w:type="dxa"/>
            <w:vAlign w:val="center"/>
          </w:tcPr>
          <w:p>
            <w:pPr>
              <w:pStyle w:val="17"/>
            </w:pPr>
            <w:r>
              <w:t>1486.85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rPr>
                <w:rFonts w:hint="eastAsia"/>
              </w:rPr>
              <w:t>上年结转结余</w:t>
            </w:r>
          </w:p>
        </w:tc>
        <w:tc>
          <w:tcPr>
            <w:tcW w:w="2126" w:type="dxa"/>
            <w:vAlign w:val="center"/>
          </w:tcPr>
          <w:p>
            <w:pPr>
              <w:pStyle w:val="13"/>
            </w:pPr>
          </w:p>
        </w:tc>
        <w:tc>
          <w:tcPr>
            <w:tcW w:w="4535" w:type="dxa"/>
            <w:vAlign w:val="center"/>
          </w:tcPr>
          <w:p>
            <w:pPr>
              <w:pStyle w:val="14"/>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rPr>
                <w:rFonts w:hint="eastAsia"/>
              </w:rPr>
              <w:t>收入总计</w:t>
            </w:r>
          </w:p>
        </w:tc>
        <w:tc>
          <w:tcPr>
            <w:tcW w:w="2126" w:type="dxa"/>
            <w:vAlign w:val="center"/>
          </w:tcPr>
          <w:p>
            <w:pPr>
              <w:pStyle w:val="17"/>
            </w:pPr>
            <w:r>
              <w:t>1486.85</w:t>
            </w:r>
          </w:p>
        </w:tc>
        <w:tc>
          <w:tcPr>
            <w:tcW w:w="4535" w:type="dxa"/>
            <w:vAlign w:val="center"/>
          </w:tcPr>
          <w:p>
            <w:pPr>
              <w:pStyle w:val="16"/>
            </w:pPr>
            <w:r>
              <w:rPr>
                <w:rFonts w:hint="eastAsia"/>
              </w:rPr>
              <w:t>支出总计</w:t>
            </w:r>
          </w:p>
        </w:tc>
        <w:tc>
          <w:tcPr>
            <w:tcW w:w="2126" w:type="dxa"/>
            <w:vAlign w:val="center"/>
          </w:tcPr>
          <w:p>
            <w:pPr>
              <w:pStyle w:val="17"/>
            </w:pPr>
            <w:r>
              <w:t>1486.85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rPr>
                <w:rFonts w:hint="eastAsia"/>
              </w:rPr>
              <w:t>序号</w:t>
            </w:r>
          </w:p>
        </w:tc>
        <w:tc>
          <w:tcPr>
            <w:tcW w:w="2551" w:type="dxa"/>
            <w:gridSpan w:val="2"/>
            <w:vAlign w:val="center"/>
          </w:tcPr>
          <w:p>
            <w:pPr>
              <w:pStyle w:val="12"/>
            </w:pPr>
            <w:r>
              <w:rPr>
                <w:rFonts w:hint="eastAsia"/>
              </w:rPr>
              <w:t>功能分类科目</w:t>
            </w:r>
          </w:p>
        </w:tc>
        <w:tc>
          <w:tcPr>
            <w:tcW w:w="1134" w:type="dxa"/>
            <w:vMerge w:val="restart"/>
            <w:vAlign w:val="center"/>
          </w:tcPr>
          <w:p>
            <w:pPr>
              <w:pStyle w:val="12"/>
            </w:pPr>
            <w:r>
              <w:rPr>
                <w:rFonts w:hint="eastAsia"/>
              </w:rPr>
              <w:t>合计</w:t>
            </w:r>
          </w:p>
        </w:tc>
        <w:tc>
          <w:tcPr>
            <w:tcW w:w="9072" w:type="dxa"/>
            <w:gridSpan w:val="8"/>
            <w:vAlign w:val="center"/>
          </w:tcPr>
          <w:p>
            <w:pPr>
              <w:pStyle w:val="12"/>
            </w:pPr>
            <w:r>
              <w:rPr>
                <w:rFonts w:hint="eastAsia"/>
              </w:rPr>
              <w:t>本年收入</w:t>
            </w:r>
          </w:p>
        </w:tc>
        <w:tc>
          <w:tcPr>
            <w:tcW w:w="1134" w:type="dxa"/>
            <w:vMerge w:val="restart"/>
            <w:vAlign w:val="center"/>
          </w:tcPr>
          <w:p>
            <w:pPr>
              <w:pStyle w:val="12"/>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rPr>
                <w:rFonts w:hint="eastAsia"/>
              </w:rPr>
              <w:t>科目</w:t>
            </w:r>
            <w:r>
              <w:t xml:space="preserve">    </w:t>
            </w:r>
            <w:r>
              <w:rPr>
                <w:rFonts w:hint="eastAsia"/>
              </w:rPr>
              <w:t>编码</w:t>
            </w:r>
          </w:p>
        </w:tc>
        <w:tc>
          <w:tcPr>
            <w:tcW w:w="1559" w:type="dxa"/>
            <w:vAlign w:val="center"/>
          </w:tcPr>
          <w:p>
            <w:pPr>
              <w:pStyle w:val="12"/>
            </w:pPr>
            <w:r>
              <w:rPr>
                <w:rFonts w:hint="eastAsia"/>
              </w:rPr>
              <w:t>科目名称</w:t>
            </w:r>
          </w:p>
        </w:tc>
        <w:tc>
          <w:tcPr>
            <w:tcW w:w="1134" w:type="dxa"/>
            <w:vMerge w:val="continue"/>
          </w:tcPr>
          <w:p/>
        </w:tc>
        <w:tc>
          <w:tcPr>
            <w:tcW w:w="1134" w:type="dxa"/>
            <w:vAlign w:val="center"/>
          </w:tcPr>
          <w:p>
            <w:pPr>
              <w:pStyle w:val="12"/>
            </w:pPr>
            <w:r>
              <w:rPr>
                <w:rFonts w:hint="eastAsia"/>
              </w:rPr>
              <w:t>小计</w:t>
            </w:r>
          </w:p>
        </w:tc>
        <w:tc>
          <w:tcPr>
            <w:tcW w:w="1134" w:type="dxa"/>
            <w:vAlign w:val="center"/>
          </w:tcPr>
          <w:p>
            <w:pPr>
              <w:pStyle w:val="12"/>
            </w:pPr>
            <w:r>
              <w:rPr>
                <w:rFonts w:hint="eastAsia"/>
              </w:rPr>
              <w:t>财政拨款</w:t>
            </w:r>
            <w:r>
              <w:t xml:space="preserve"> </w:t>
            </w:r>
            <w:r>
              <w:rPr>
                <w:rFonts w:hint="eastAsia"/>
              </w:rPr>
              <w:t>收入</w:t>
            </w:r>
          </w:p>
        </w:tc>
        <w:tc>
          <w:tcPr>
            <w:tcW w:w="1134" w:type="dxa"/>
            <w:vAlign w:val="center"/>
          </w:tcPr>
          <w:p>
            <w:pPr>
              <w:pStyle w:val="12"/>
            </w:pPr>
            <w:r>
              <w:rPr>
                <w:rFonts w:hint="eastAsia"/>
              </w:rPr>
              <w:t>财政专户</w:t>
            </w:r>
            <w:r>
              <w:t xml:space="preserve"> </w:t>
            </w:r>
            <w:r>
              <w:rPr>
                <w:rFonts w:hint="eastAsia"/>
              </w:rPr>
              <w:t>收入</w:t>
            </w:r>
          </w:p>
        </w:tc>
        <w:tc>
          <w:tcPr>
            <w:tcW w:w="1134" w:type="dxa"/>
            <w:vAlign w:val="center"/>
          </w:tcPr>
          <w:p>
            <w:pPr>
              <w:pStyle w:val="12"/>
            </w:pPr>
            <w:r>
              <w:rPr>
                <w:rFonts w:hint="eastAsia"/>
              </w:rPr>
              <w:t>事业收入</w:t>
            </w:r>
          </w:p>
        </w:tc>
        <w:tc>
          <w:tcPr>
            <w:tcW w:w="1134" w:type="dxa"/>
            <w:vAlign w:val="center"/>
          </w:tcPr>
          <w:p>
            <w:pPr>
              <w:pStyle w:val="12"/>
            </w:pPr>
            <w:r>
              <w:rPr>
                <w:rFonts w:hint="eastAsia"/>
              </w:rPr>
              <w:t>经营收入</w:t>
            </w:r>
          </w:p>
        </w:tc>
        <w:tc>
          <w:tcPr>
            <w:tcW w:w="1134" w:type="dxa"/>
            <w:vAlign w:val="center"/>
          </w:tcPr>
          <w:p>
            <w:pPr>
              <w:pStyle w:val="12"/>
            </w:pPr>
            <w:r>
              <w:rPr>
                <w:rFonts w:hint="eastAsia"/>
              </w:rPr>
              <w:t>上级补助收入</w:t>
            </w:r>
          </w:p>
        </w:tc>
        <w:tc>
          <w:tcPr>
            <w:tcW w:w="1134" w:type="dxa"/>
            <w:vAlign w:val="center"/>
          </w:tcPr>
          <w:p>
            <w:pPr>
              <w:pStyle w:val="12"/>
            </w:pPr>
            <w:r>
              <w:rPr>
                <w:rFonts w:hint="eastAsia"/>
              </w:rPr>
              <w:t>附属单位上缴收入</w:t>
            </w:r>
          </w:p>
        </w:tc>
        <w:tc>
          <w:tcPr>
            <w:tcW w:w="1134" w:type="dxa"/>
            <w:vAlign w:val="center"/>
          </w:tcPr>
          <w:p>
            <w:pPr>
              <w:pStyle w:val="12"/>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rPr>
                <w:rFonts w:hint="eastAsia"/>
              </w:rP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rPr>
                <w:rFonts w:hint="eastAsia"/>
              </w:rPr>
              <w:t>合计</w:t>
            </w:r>
          </w:p>
        </w:tc>
        <w:tc>
          <w:tcPr>
            <w:tcW w:w="1134" w:type="dxa"/>
            <w:vAlign w:val="center"/>
          </w:tcPr>
          <w:p>
            <w:pPr>
              <w:pStyle w:val="17"/>
            </w:pPr>
            <w:r>
              <w:t>1486.85</w:t>
            </w:r>
          </w:p>
        </w:tc>
        <w:tc>
          <w:tcPr>
            <w:tcW w:w="1134" w:type="dxa"/>
            <w:vAlign w:val="center"/>
          </w:tcPr>
          <w:p>
            <w:pPr>
              <w:pStyle w:val="17"/>
            </w:pPr>
            <w:r>
              <w:t>1486.85</w:t>
            </w:r>
          </w:p>
        </w:tc>
        <w:tc>
          <w:tcPr>
            <w:tcW w:w="1134" w:type="dxa"/>
            <w:vAlign w:val="center"/>
          </w:tcPr>
          <w:p>
            <w:pPr>
              <w:pStyle w:val="17"/>
            </w:pPr>
            <w:r>
              <w:t>1486.85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rPr>
                <w:rFonts w:hint="eastAsia"/>
              </w:rPr>
              <w:t>一般公共服务支出</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rPr>
                <w:rFonts w:hint="eastAsia"/>
              </w:rPr>
              <w:t>纪检监察事务</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rPr>
                <w:rFonts w:hint="eastAsia"/>
              </w:rPr>
              <w:t>行政运行</w:t>
            </w:r>
          </w:p>
        </w:tc>
        <w:tc>
          <w:tcPr>
            <w:tcW w:w="1134" w:type="dxa"/>
            <w:vAlign w:val="center"/>
          </w:tcPr>
          <w:p>
            <w:pPr>
              <w:pStyle w:val="13"/>
            </w:pPr>
            <w:r>
              <w:t>953.62</w:t>
            </w:r>
          </w:p>
        </w:tc>
        <w:tc>
          <w:tcPr>
            <w:tcW w:w="1134" w:type="dxa"/>
            <w:vAlign w:val="center"/>
          </w:tcPr>
          <w:p>
            <w:pPr>
              <w:pStyle w:val="13"/>
            </w:pPr>
            <w:r>
              <w:t>953.62</w:t>
            </w:r>
          </w:p>
        </w:tc>
        <w:tc>
          <w:tcPr>
            <w:tcW w:w="1134" w:type="dxa"/>
            <w:vAlign w:val="center"/>
          </w:tcPr>
          <w:p>
            <w:pPr>
              <w:pStyle w:val="13"/>
            </w:pPr>
            <w:r>
              <w:t>953.62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2011102</w:t>
            </w:r>
          </w:p>
        </w:tc>
        <w:tc>
          <w:tcPr>
            <w:tcW w:w="1559" w:type="dxa"/>
            <w:vAlign w:val="center"/>
          </w:tcPr>
          <w:p>
            <w:pPr>
              <w:pStyle w:val="14"/>
            </w:pPr>
            <w:r>
              <w:rPr>
                <w:rFonts w:hint="eastAsia"/>
              </w:rPr>
              <w:t>一般行政管理事务</w:t>
            </w:r>
          </w:p>
        </w:tc>
        <w:tc>
          <w:tcPr>
            <w:tcW w:w="1134" w:type="dxa"/>
            <w:vAlign w:val="center"/>
          </w:tcPr>
          <w:p>
            <w:pPr>
              <w:pStyle w:val="13"/>
            </w:pPr>
            <w:r>
              <w:t>116.60</w:t>
            </w:r>
          </w:p>
        </w:tc>
        <w:tc>
          <w:tcPr>
            <w:tcW w:w="1134" w:type="dxa"/>
            <w:vAlign w:val="center"/>
          </w:tcPr>
          <w:p>
            <w:pPr>
              <w:pStyle w:val="13"/>
            </w:pPr>
            <w:r>
              <w:t>116.60</w:t>
            </w:r>
          </w:p>
        </w:tc>
        <w:tc>
          <w:tcPr>
            <w:tcW w:w="1134" w:type="dxa"/>
            <w:vAlign w:val="center"/>
          </w:tcPr>
          <w:p>
            <w:pPr>
              <w:pStyle w:val="13"/>
            </w:pPr>
            <w:r>
              <w:t>116.60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2011104</w:t>
            </w:r>
          </w:p>
        </w:tc>
        <w:tc>
          <w:tcPr>
            <w:tcW w:w="1559" w:type="dxa"/>
            <w:vAlign w:val="center"/>
          </w:tcPr>
          <w:p>
            <w:pPr>
              <w:pStyle w:val="14"/>
            </w:pPr>
            <w:r>
              <w:rPr>
                <w:rFonts w:hint="eastAsia"/>
              </w:rPr>
              <w:t>大案要案查处</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2011105</w:t>
            </w:r>
          </w:p>
        </w:tc>
        <w:tc>
          <w:tcPr>
            <w:tcW w:w="1559" w:type="dxa"/>
            <w:vAlign w:val="center"/>
          </w:tcPr>
          <w:p>
            <w:pPr>
              <w:pStyle w:val="14"/>
            </w:pPr>
            <w:r>
              <w:rPr>
                <w:rFonts w:hint="eastAsia"/>
              </w:rPr>
              <w:t>派驻派出机构</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2011106</w:t>
            </w:r>
          </w:p>
        </w:tc>
        <w:tc>
          <w:tcPr>
            <w:tcW w:w="1559" w:type="dxa"/>
            <w:vAlign w:val="center"/>
          </w:tcPr>
          <w:p>
            <w:pPr>
              <w:pStyle w:val="14"/>
            </w:pPr>
            <w:r>
              <w:rPr>
                <w:rFonts w:hint="eastAsia"/>
              </w:rPr>
              <w:t>巡视工作</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rPr>
                <w:rFonts w:hint="eastAsia"/>
              </w:rPr>
              <w:t>社会保障和就业支出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rPr>
                <w:rFonts w:hint="eastAsia"/>
              </w:rPr>
              <w:t>行政事业单位养老支出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rPr>
                <w:rFonts w:hint="eastAsia"/>
              </w:rPr>
              <w:t>机关事业单位基本养老保险缴费支出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rPr>
                <w:rFonts w:hint="eastAsia"/>
              </w:rPr>
              <w:t>卫生健康支出</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rPr>
                <w:rFonts w:hint="eastAsia"/>
              </w:rPr>
              <w:t>行政事业单位医疗</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rPr>
                <w:rFonts w:hint="eastAsia"/>
              </w:rPr>
              <w:t>行政单位医疗</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rPr>
                <w:rFonts w:hint="eastAsia"/>
              </w:rPr>
              <w:t>住房保障支出</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rPr>
                <w:rFonts w:hint="eastAsia"/>
              </w:rPr>
              <w:t>住房改革支出</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rPr>
                <w:rFonts w:hint="eastAsia"/>
              </w:rPr>
              <w:t>住房公积金</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预算支出总表</w:t>
      </w:r>
      <w:bookmarkEnd w:id="2"/>
    </w:p>
    <w:tbl>
      <w:tblPr>
        <w:tblStyle w:val="7"/>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528" w:type="dxa"/>
            <w:gridSpan w:val="2"/>
            <w:vAlign w:val="center"/>
          </w:tcPr>
          <w:p>
            <w:pPr>
              <w:pStyle w:val="12"/>
            </w:pPr>
            <w:r>
              <w:rPr>
                <w:rFonts w:hint="eastAsia"/>
              </w:rPr>
              <w:t>功能分类科目</w:t>
            </w:r>
          </w:p>
        </w:tc>
        <w:tc>
          <w:tcPr>
            <w:tcW w:w="1361" w:type="dxa"/>
            <w:vMerge w:val="restart"/>
            <w:vAlign w:val="center"/>
          </w:tcPr>
          <w:p>
            <w:pPr>
              <w:pStyle w:val="12"/>
            </w:pPr>
            <w:r>
              <w:rPr>
                <w:rFonts w:hint="eastAsia"/>
              </w:rPr>
              <w:t>合计</w:t>
            </w:r>
          </w:p>
        </w:tc>
        <w:tc>
          <w:tcPr>
            <w:tcW w:w="1361" w:type="dxa"/>
            <w:vMerge w:val="restart"/>
            <w:vAlign w:val="center"/>
          </w:tcPr>
          <w:p>
            <w:pPr>
              <w:pStyle w:val="12"/>
            </w:pPr>
            <w:r>
              <w:rPr>
                <w:rFonts w:hint="eastAsia"/>
              </w:rPr>
              <w:t>基本支出</w:t>
            </w:r>
          </w:p>
        </w:tc>
        <w:tc>
          <w:tcPr>
            <w:tcW w:w="1361" w:type="dxa"/>
            <w:vMerge w:val="restart"/>
            <w:vAlign w:val="center"/>
          </w:tcPr>
          <w:p>
            <w:pPr>
              <w:pStyle w:val="12"/>
            </w:pPr>
            <w:r>
              <w:rPr>
                <w:rFonts w:hint="eastAsia"/>
              </w:rPr>
              <w:t>项目支出</w:t>
            </w:r>
          </w:p>
        </w:tc>
        <w:tc>
          <w:tcPr>
            <w:tcW w:w="1361" w:type="dxa"/>
            <w:vMerge w:val="restart"/>
            <w:vAlign w:val="center"/>
          </w:tcPr>
          <w:p>
            <w:pPr>
              <w:pStyle w:val="12"/>
            </w:pPr>
            <w:r>
              <w:rPr>
                <w:rFonts w:hint="eastAsia"/>
              </w:rPr>
              <w:t>经营支出</w:t>
            </w:r>
          </w:p>
        </w:tc>
        <w:tc>
          <w:tcPr>
            <w:tcW w:w="1361" w:type="dxa"/>
            <w:vMerge w:val="restart"/>
            <w:vAlign w:val="center"/>
          </w:tcPr>
          <w:p>
            <w:pPr>
              <w:pStyle w:val="12"/>
            </w:pPr>
            <w:r>
              <w:rPr>
                <w:rFonts w:hint="eastAsia"/>
              </w:rPr>
              <w:t>上解上级</w:t>
            </w:r>
            <w:r>
              <w:t xml:space="preserve">     </w:t>
            </w:r>
            <w:r>
              <w:rPr>
                <w:rFonts w:hint="eastAsia"/>
              </w:rPr>
              <w:t>支出</w:t>
            </w:r>
          </w:p>
        </w:tc>
        <w:tc>
          <w:tcPr>
            <w:tcW w:w="1361" w:type="dxa"/>
            <w:vMerge w:val="restart"/>
            <w:vAlign w:val="center"/>
          </w:tcPr>
          <w:p>
            <w:pPr>
              <w:pStyle w:val="12"/>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rPr>
                <w:rFonts w:hint="eastAsia"/>
              </w:rPr>
              <w:t>科目</w:t>
            </w:r>
            <w:r>
              <w:t xml:space="preserve">    </w:t>
            </w:r>
            <w:r>
              <w:rPr>
                <w:rFonts w:hint="eastAsia"/>
              </w:rPr>
              <w:t>编码</w:t>
            </w:r>
          </w:p>
        </w:tc>
        <w:tc>
          <w:tcPr>
            <w:tcW w:w="4536" w:type="dxa"/>
            <w:vAlign w:val="center"/>
          </w:tcPr>
          <w:p>
            <w:pPr>
              <w:pStyle w:val="12"/>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rPr>
                <w:rFonts w:hint="eastAsia"/>
              </w:rPr>
              <w:t>合计</w:t>
            </w:r>
          </w:p>
        </w:tc>
        <w:tc>
          <w:tcPr>
            <w:tcW w:w="1361" w:type="dxa"/>
            <w:vAlign w:val="center"/>
          </w:tcPr>
          <w:p>
            <w:pPr>
              <w:pStyle w:val="17"/>
            </w:pPr>
            <w:r>
              <w:t>1486.85</w:t>
            </w:r>
          </w:p>
        </w:tc>
        <w:tc>
          <w:tcPr>
            <w:tcW w:w="1361" w:type="dxa"/>
            <w:vAlign w:val="center"/>
          </w:tcPr>
          <w:p>
            <w:pPr>
              <w:pStyle w:val="17"/>
            </w:pPr>
            <w:r>
              <w:t>1062.05</w:t>
            </w:r>
          </w:p>
        </w:tc>
        <w:tc>
          <w:tcPr>
            <w:tcW w:w="1361" w:type="dxa"/>
            <w:vAlign w:val="center"/>
          </w:tcPr>
          <w:p>
            <w:pPr>
              <w:pStyle w:val="17"/>
            </w:pPr>
            <w:r>
              <w:t>424.80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rPr>
                <w:rFonts w:hint="eastAsia"/>
              </w:rPr>
              <w:t>一般公共服务支出</w:t>
            </w:r>
          </w:p>
        </w:tc>
        <w:tc>
          <w:tcPr>
            <w:tcW w:w="1361" w:type="dxa"/>
            <w:vAlign w:val="center"/>
          </w:tcPr>
          <w:p>
            <w:pPr>
              <w:pStyle w:val="13"/>
            </w:pPr>
            <w:r>
              <w:t>1308.22</w:t>
            </w:r>
          </w:p>
        </w:tc>
        <w:tc>
          <w:tcPr>
            <w:tcW w:w="1361" w:type="dxa"/>
            <w:vAlign w:val="center"/>
          </w:tcPr>
          <w:p>
            <w:pPr>
              <w:pStyle w:val="13"/>
            </w:pPr>
            <w:r>
              <w:t>883.42</w:t>
            </w:r>
          </w:p>
        </w:tc>
        <w:tc>
          <w:tcPr>
            <w:tcW w:w="1361" w:type="dxa"/>
            <w:vAlign w:val="center"/>
          </w:tcPr>
          <w:p>
            <w:pPr>
              <w:pStyle w:val="13"/>
            </w:pPr>
            <w:r>
              <w:t>424.80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6" w:type="dxa"/>
            <w:vAlign w:val="center"/>
          </w:tcPr>
          <w:p>
            <w:pPr>
              <w:pStyle w:val="14"/>
            </w:pPr>
            <w:r>
              <w:rPr>
                <w:rFonts w:hint="eastAsia"/>
              </w:rPr>
              <w:t>纪检监察事务</w:t>
            </w:r>
          </w:p>
        </w:tc>
        <w:tc>
          <w:tcPr>
            <w:tcW w:w="1361" w:type="dxa"/>
            <w:vAlign w:val="center"/>
          </w:tcPr>
          <w:p>
            <w:pPr>
              <w:pStyle w:val="13"/>
            </w:pPr>
            <w:r>
              <w:t>1308.22</w:t>
            </w:r>
          </w:p>
        </w:tc>
        <w:tc>
          <w:tcPr>
            <w:tcW w:w="1361" w:type="dxa"/>
            <w:vAlign w:val="center"/>
          </w:tcPr>
          <w:p>
            <w:pPr>
              <w:pStyle w:val="13"/>
            </w:pPr>
            <w:r>
              <w:t>883.42</w:t>
            </w:r>
          </w:p>
        </w:tc>
        <w:tc>
          <w:tcPr>
            <w:tcW w:w="1361" w:type="dxa"/>
            <w:vAlign w:val="center"/>
          </w:tcPr>
          <w:p>
            <w:pPr>
              <w:pStyle w:val="13"/>
            </w:pPr>
            <w:r>
              <w:t>424.80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6" w:type="dxa"/>
            <w:vAlign w:val="center"/>
          </w:tcPr>
          <w:p>
            <w:pPr>
              <w:pStyle w:val="14"/>
            </w:pPr>
            <w:r>
              <w:rPr>
                <w:rFonts w:hint="eastAsia"/>
              </w:rPr>
              <w:t>行政运行</w:t>
            </w:r>
          </w:p>
        </w:tc>
        <w:tc>
          <w:tcPr>
            <w:tcW w:w="1361" w:type="dxa"/>
            <w:vAlign w:val="center"/>
          </w:tcPr>
          <w:p>
            <w:pPr>
              <w:pStyle w:val="13"/>
            </w:pPr>
            <w:r>
              <w:t>953.62</w:t>
            </w:r>
          </w:p>
        </w:tc>
        <w:tc>
          <w:tcPr>
            <w:tcW w:w="1361" w:type="dxa"/>
            <w:vAlign w:val="center"/>
          </w:tcPr>
          <w:p>
            <w:pPr>
              <w:pStyle w:val="13"/>
            </w:pPr>
            <w:r>
              <w:t>883.42</w:t>
            </w:r>
          </w:p>
        </w:tc>
        <w:tc>
          <w:tcPr>
            <w:tcW w:w="1361" w:type="dxa"/>
            <w:vAlign w:val="center"/>
          </w:tcPr>
          <w:p>
            <w:pPr>
              <w:pStyle w:val="13"/>
            </w:pPr>
            <w:r>
              <w:t>70.20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2011102</w:t>
            </w:r>
          </w:p>
        </w:tc>
        <w:tc>
          <w:tcPr>
            <w:tcW w:w="4536" w:type="dxa"/>
            <w:vAlign w:val="center"/>
          </w:tcPr>
          <w:p>
            <w:pPr>
              <w:pStyle w:val="14"/>
            </w:pPr>
            <w:r>
              <w:rPr>
                <w:rFonts w:hint="eastAsia"/>
              </w:rPr>
              <w:t>一般行政管理事务</w:t>
            </w:r>
          </w:p>
        </w:tc>
        <w:tc>
          <w:tcPr>
            <w:tcW w:w="1361" w:type="dxa"/>
            <w:vAlign w:val="center"/>
          </w:tcPr>
          <w:p>
            <w:pPr>
              <w:pStyle w:val="13"/>
            </w:pPr>
            <w:r>
              <w:t>116.60</w:t>
            </w:r>
          </w:p>
        </w:tc>
        <w:tc>
          <w:tcPr>
            <w:tcW w:w="1361" w:type="dxa"/>
            <w:vAlign w:val="center"/>
          </w:tcPr>
          <w:p>
            <w:pPr>
              <w:pStyle w:val="13"/>
            </w:pPr>
          </w:p>
        </w:tc>
        <w:tc>
          <w:tcPr>
            <w:tcW w:w="1361" w:type="dxa"/>
            <w:vAlign w:val="center"/>
          </w:tcPr>
          <w:p>
            <w:pPr>
              <w:pStyle w:val="13"/>
            </w:pPr>
            <w:r>
              <w:t>116.60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2011104</w:t>
            </w:r>
          </w:p>
        </w:tc>
        <w:tc>
          <w:tcPr>
            <w:tcW w:w="4536" w:type="dxa"/>
            <w:vAlign w:val="center"/>
          </w:tcPr>
          <w:p>
            <w:pPr>
              <w:pStyle w:val="14"/>
            </w:pPr>
            <w:r>
              <w:rPr>
                <w:rFonts w:hint="eastAsia"/>
              </w:rPr>
              <w:t>大案要案查处</w:t>
            </w: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2011105</w:t>
            </w:r>
          </w:p>
        </w:tc>
        <w:tc>
          <w:tcPr>
            <w:tcW w:w="4536" w:type="dxa"/>
            <w:vAlign w:val="center"/>
          </w:tcPr>
          <w:p>
            <w:pPr>
              <w:pStyle w:val="14"/>
            </w:pPr>
            <w:r>
              <w:rPr>
                <w:rFonts w:hint="eastAsia"/>
              </w:rPr>
              <w:t>派驻派出机构</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2011106</w:t>
            </w:r>
          </w:p>
        </w:tc>
        <w:tc>
          <w:tcPr>
            <w:tcW w:w="4536" w:type="dxa"/>
            <w:vAlign w:val="center"/>
          </w:tcPr>
          <w:p>
            <w:pPr>
              <w:pStyle w:val="14"/>
            </w:pPr>
            <w:r>
              <w:rPr>
                <w:rFonts w:hint="eastAsia"/>
              </w:rPr>
              <w:t>巡视工作</w:t>
            </w: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6" w:type="dxa"/>
            <w:vAlign w:val="center"/>
          </w:tcPr>
          <w:p>
            <w:pPr>
              <w:pStyle w:val="14"/>
            </w:pPr>
            <w:r>
              <w:rPr>
                <w:rFonts w:hint="eastAsia"/>
              </w:rPr>
              <w:t>社会保障和就业支出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6" w:type="dxa"/>
            <w:vAlign w:val="center"/>
          </w:tcPr>
          <w:p>
            <w:pPr>
              <w:pStyle w:val="14"/>
            </w:pPr>
            <w:r>
              <w:rPr>
                <w:rFonts w:hint="eastAsia"/>
              </w:rPr>
              <w:t>行政事业单位养老支出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rPr>
                <w:rFonts w:hint="eastAsia"/>
              </w:rPr>
              <w:t>机关事业单位基本养老保险缴费支出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rPr>
                <w:rFonts w:hint="eastAsia"/>
              </w:rPr>
              <w:t>卫生健康支出</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rPr>
                <w:rFonts w:hint="eastAsia"/>
              </w:rPr>
              <w:t>行政事业单位医疗</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rPr>
                <w:rFonts w:hint="eastAsia"/>
              </w:rPr>
              <w:t>行政单位医疗</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6" w:type="dxa"/>
            <w:vAlign w:val="center"/>
          </w:tcPr>
          <w:p>
            <w:pPr>
              <w:pStyle w:val="14"/>
            </w:pPr>
            <w:r>
              <w:rPr>
                <w:rFonts w:hint="eastAsia"/>
              </w:rPr>
              <w:t>住房保障支出</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6" w:type="dxa"/>
            <w:vAlign w:val="center"/>
          </w:tcPr>
          <w:p>
            <w:pPr>
              <w:pStyle w:val="14"/>
            </w:pPr>
            <w:r>
              <w:rPr>
                <w:rFonts w:hint="eastAsia"/>
              </w:rPr>
              <w:t>住房改革支出</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6" w:type="dxa"/>
            <w:vAlign w:val="center"/>
          </w:tcPr>
          <w:p>
            <w:pPr>
              <w:pStyle w:val="14"/>
            </w:pPr>
            <w:r>
              <w:rPr>
                <w:rFonts w:hint="eastAsia"/>
              </w:rPr>
              <w:t>住房公积金</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3402"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4876" w:type="dxa"/>
            <w:gridSpan w:val="2"/>
            <w:vAlign w:val="center"/>
          </w:tcPr>
          <w:p>
            <w:pPr>
              <w:pStyle w:val="12"/>
            </w:pPr>
            <w:r>
              <w:rPr>
                <w:rFonts w:hint="eastAsia"/>
              </w:rPr>
              <w:t>收入</w:t>
            </w:r>
          </w:p>
        </w:tc>
        <w:tc>
          <w:tcPr>
            <w:tcW w:w="9298" w:type="dxa"/>
            <w:gridSpan w:val="5"/>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金额</w:t>
            </w: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合计</w:t>
            </w:r>
          </w:p>
        </w:tc>
        <w:tc>
          <w:tcPr>
            <w:tcW w:w="1474" w:type="dxa"/>
            <w:vAlign w:val="center"/>
          </w:tcPr>
          <w:p>
            <w:pPr>
              <w:pStyle w:val="12"/>
            </w:pPr>
            <w:r>
              <w:rPr>
                <w:rFonts w:hint="eastAsia"/>
              </w:rPr>
              <w:t>一般公共预算财政拨款</w:t>
            </w:r>
          </w:p>
        </w:tc>
        <w:tc>
          <w:tcPr>
            <w:tcW w:w="1474" w:type="dxa"/>
            <w:vAlign w:val="center"/>
          </w:tcPr>
          <w:p>
            <w:pPr>
              <w:pStyle w:val="12"/>
            </w:pPr>
            <w:r>
              <w:rPr>
                <w:rFonts w:hint="eastAsia"/>
              </w:rPr>
              <w:t>政府性基金预算财政</w:t>
            </w:r>
            <w:r>
              <w:t xml:space="preserve">    </w:t>
            </w:r>
            <w:r>
              <w:rPr>
                <w:rFonts w:hint="eastAsia"/>
              </w:rPr>
              <w:t>拨款</w:t>
            </w:r>
          </w:p>
        </w:tc>
        <w:tc>
          <w:tcPr>
            <w:tcW w:w="1474" w:type="dxa"/>
            <w:vAlign w:val="center"/>
          </w:tcPr>
          <w:p>
            <w:pPr>
              <w:pStyle w:val="12"/>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rPr>
                <w:rFonts w:hint="eastAsia"/>
              </w:rPr>
              <w:t>一、一般公共预算拨款</w:t>
            </w:r>
          </w:p>
        </w:tc>
        <w:tc>
          <w:tcPr>
            <w:tcW w:w="1474" w:type="dxa"/>
            <w:vAlign w:val="center"/>
          </w:tcPr>
          <w:p>
            <w:pPr>
              <w:pStyle w:val="13"/>
            </w:pPr>
            <w:r>
              <w:t>1486.85</w:t>
            </w:r>
          </w:p>
        </w:tc>
        <w:tc>
          <w:tcPr>
            <w:tcW w:w="3402" w:type="dxa"/>
            <w:vAlign w:val="center"/>
          </w:tcPr>
          <w:p>
            <w:pPr>
              <w:pStyle w:val="14"/>
            </w:pPr>
            <w:r>
              <w:rPr>
                <w:rFonts w:hint="eastAsia"/>
              </w:rPr>
              <w:t>一、一般公共服务支出</w:t>
            </w:r>
          </w:p>
        </w:tc>
        <w:tc>
          <w:tcPr>
            <w:tcW w:w="1474" w:type="dxa"/>
            <w:vAlign w:val="center"/>
          </w:tcPr>
          <w:p>
            <w:pPr>
              <w:pStyle w:val="13"/>
            </w:pPr>
            <w:r>
              <w:t>1308.22</w:t>
            </w:r>
          </w:p>
        </w:tc>
        <w:tc>
          <w:tcPr>
            <w:tcW w:w="1474" w:type="dxa"/>
            <w:vAlign w:val="center"/>
          </w:tcPr>
          <w:p>
            <w:pPr>
              <w:pStyle w:val="13"/>
            </w:pPr>
            <w:r>
              <w:t>1308.22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八、社会保障和就业支出</w:t>
            </w:r>
          </w:p>
        </w:tc>
        <w:tc>
          <w:tcPr>
            <w:tcW w:w="1474" w:type="dxa"/>
            <w:vAlign w:val="center"/>
          </w:tcPr>
          <w:p>
            <w:pPr>
              <w:pStyle w:val="13"/>
            </w:pPr>
            <w:r>
              <w:t>76.97</w:t>
            </w:r>
          </w:p>
        </w:tc>
        <w:tc>
          <w:tcPr>
            <w:tcW w:w="1474" w:type="dxa"/>
            <w:vAlign w:val="center"/>
          </w:tcPr>
          <w:p>
            <w:pPr>
              <w:pStyle w:val="13"/>
            </w:pPr>
            <w:r>
              <w:t>76.97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十、卫生健康支出</w:t>
            </w:r>
          </w:p>
        </w:tc>
        <w:tc>
          <w:tcPr>
            <w:tcW w:w="1474" w:type="dxa"/>
            <w:vAlign w:val="center"/>
          </w:tcPr>
          <w:p>
            <w:pPr>
              <w:pStyle w:val="13"/>
            </w:pPr>
            <w:r>
              <w:t>36.85</w:t>
            </w:r>
          </w:p>
        </w:tc>
        <w:tc>
          <w:tcPr>
            <w:tcW w:w="1474" w:type="dxa"/>
            <w:vAlign w:val="center"/>
          </w:tcPr>
          <w:p>
            <w:pPr>
              <w:pStyle w:val="13"/>
            </w:pPr>
            <w:r>
              <w:t>36.85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二十、住房保障支出</w:t>
            </w:r>
          </w:p>
        </w:tc>
        <w:tc>
          <w:tcPr>
            <w:tcW w:w="1474" w:type="dxa"/>
            <w:vAlign w:val="center"/>
          </w:tcPr>
          <w:p>
            <w:pPr>
              <w:pStyle w:val="13"/>
            </w:pPr>
            <w:r>
              <w:t>64.82</w:t>
            </w:r>
          </w:p>
        </w:tc>
        <w:tc>
          <w:tcPr>
            <w:tcW w:w="1474" w:type="dxa"/>
            <w:vAlign w:val="center"/>
          </w:tcPr>
          <w:p>
            <w:pPr>
              <w:pStyle w:val="13"/>
            </w:pPr>
            <w:r>
              <w:t>64.82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rPr>
                <w:rFonts w:hint="eastAsia"/>
              </w:rPr>
              <w:t>本年收入合计</w:t>
            </w:r>
          </w:p>
        </w:tc>
        <w:tc>
          <w:tcPr>
            <w:tcW w:w="1474" w:type="dxa"/>
            <w:vAlign w:val="center"/>
          </w:tcPr>
          <w:p>
            <w:pPr>
              <w:pStyle w:val="17"/>
            </w:pPr>
            <w:r>
              <w:t>1486.85</w:t>
            </w:r>
          </w:p>
        </w:tc>
        <w:tc>
          <w:tcPr>
            <w:tcW w:w="3402" w:type="dxa"/>
            <w:vAlign w:val="center"/>
          </w:tcPr>
          <w:p>
            <w:pPr>
              <w:pStyle w:val="16"/>
            </w:pPr>
            <w:r>
              <w:rPr>
                <w:rFonts w:hint="eastAsia"/>
              </w:rPr>
              <w:t>本年支出合计</w:t>
            </w:r>
          </w:p>
        </w:tc>
        <w:tc>
          <w:tcPr>
            <w:tcW w:w="1474" w:type="dxa"/>
            <w:vAlign w:val="center"/>
          </w:tcPr>
          <w:p>
            <w:pPr>
              <w:pStyle w:val="17"/>
            </w:pPr>
            <w:r>
              <w:t>1486.85</w:t>
            </w:r>
          </w:p>
        </w:tc>
        <w:tc>
          <w:tcPr>
            <w:tcW w:w="1474" w:type="dxa"/>
            <w:vAlign w:val="center"/>
          </w:tcPr>
          <w:p>
            <w:pPr>
              <w:pStyle w:val="17"/>
            </w:pPr>
            <w:r>
              <w:t>1486.85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rPr>
                <w:rFonts w:hint="eastAsia"/>
              </w:rPr>
              <w:t>年初财政拨款结转和结余</w:t>
            </w:r>
          </w:p>
        </w:tc>
        <w:tc>
          <w:tcPr>
            <w:tcW w:w="1474" w:type="dxa"/>
            <w:vAlign w:val="center"/>
          </w:tcPr>
          <w:p>
            <w:pPr>
              <w:pStyle w:val="13"/>
            </w:pPr>
          </w:p>
        </w:tc>
        <w:tc>
          <w:tcPr>
            <w:tcW w:w="3402" w:type="dxa"/>
            <w:vAlign w:val="center"/>
          </w:tcPr>
          <w:p>
            <w:pPr>
              <w:pStyle w:val="14"/>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rPr>
                <w:rFonts w:hint="eastAsia"/>
              </w:rP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rPr>
                <w:rFonts w:hint="eastAsia"/>
              </w:rPr>
              <w:t>收入总计</w:t>
            </w:r>
          </w:p>
        </w:tc>
        <w:tc>
          <w:tcPr>
            <w:tcW w:w="1474" w:type="dxa"/>
            <w:vAlign w:val="center"/>
          </w:tcPr>
          <w:p>
            <w:pPr>
              <w:pStyle w:val="17"/>
            </w:pPr>
            <w:r>
              <w:t>1486.85</w:t>
            </w:r>
          </w:p>
        </w:tc>
        <w:tc>
          <w:tcPr>
            <w:tcW w:w="3402" w:type="dxa"/>
            <w:vAlign w:val="center"/>
          </w:tcPr>
          <w:p>
            <w:pPr>
              <w:pStyle w:val="16"/>
            </w:pPr>
            <w:r>
              <w:rPr>
                <w:rFonts w:hint="eastAsia"/>
              </w:rPr>
              <w:t>支出总计</w:t>
            </w:r>
          </w:p>
        </w:tc>
        <w:tc>
          <w:tcPr>
            <w:tcW w:w="1474" w:type="dxa"/>
            <w:vAlign w:val="center"/>
          </w:tcPr>
          <w:p>
            <w:pPr>
              <w:pStyle w:val="17"/>
            </w:pPr>
            <w:r>
              <w:t>1486.85</w:t>
            </w:r>
          </w:p>
        </w:tc>
        <w:tc>
          <w:tcPr>
            <w:tcW w:w="1474" w:type="dxa"/>
            <w:vAlign w:val="center"/>
          </w:tcPr>
          <w:p>
            <w:pPr>
              <w:pStyle w:val="17"/>
            </w:pPr>
            <w:r>
              <w:t>1486.85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rPr>
                <w:rFonts w:hint="eastAsia"/>
              </w:rPr>
              <w:t>合计</w:t>
            </w:r>
          </w:p>
        </w:tc>
        <w:tc>
          <w:tcPr>
            <w:tcW w:w="2551" w:type="dxa"/>
            <w:vAlign w:val="center"/>
          </w:tcPr>
          <w:p>
            <w:pPr>
              <w:pStyle w:val="17"/>
            </w:pPr>
            <w:r>
              <w:t>1486.85</w:t>
            </w:r>
          </w:p>
        </w:tc>
        <w:tc>
          <w:tcPr>
            <w:tcW w:w="2551" w:type="dxa"/>
            <w:vAlign w:val="center"/>
          </w:tcPr>
          <w:p>
            <w:pPr>
              <w:pStyle w:val="17"/>
            </w:pPr>
            <w:r>
              <w:t>1062.05</w:t>
            </w:r>
          </w:p>
        </w:tc>
        <w:tc>
          <w:tcPr>
            <w:tcW w:w="2551" w:type="dxa"/>
            <w:vAlign w:val="center"/>
          </w:tcPr>
          <w:p>
            <w:pPr>
              <w:pStyle w:val="17"/>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rPr>
                <w:rFonts w:hint="eastAsia"/>
              </w:rPr>
              <w:t>一般公共服务支出</w:t>
            </w:r>
          </w:p>
        </w:tc>
        <w:tc>
          <w:tcPr>
            <w:tcW w:w="2551" w:type="dxa"/>
            <w:vAlign w:val="center"/>
          </w:tcPr>
          <w:p>
            <w:pPr>
              <w:pStyle w:val="13"/>
            </w:pPr>
            <w:r>
              <w:t>1308.22</w:t>
            </w:r>
          </w:p>
        </w:tc>
        <w:tc>
          <w:tcPr>
            <w:tcW w:w="2551" w:type="dxa"/>
            <w:vAlign w:val="center"/>
          </w:tcPr>
          <w:p>
            <w:pPr>
              <w:pStyle w:val="13"/>
            </w:pPr>
            <w:r>
              <w:t>883.42</w:t>
            </w:r>
          </w:p>
        </w:tc>
        <w:tc>
          <w:tcPr>
            <w:tcW w:w="2551" w:type="dxa"/>
            <w:vAlign w:val="center"/>
          </w:tcPr>
          <w:p>
            <w:pPr>
              <w:pStyle w:val="13"/>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rPr>
                <w:rFonts w:hint="eastAsia"/>
              </w:rPr>
              <w:t>纪检监察事务</w:t>
            </w:r>
          </w:p>
        </w:tc>
        <w:tc>
          <w:tcPr>
            <w:tcW w:w="2551" w:type="dxa"/>
            <w:vAlign w:val="center"/>
          </w:tcPr>
          <w:p>
            <w:pPr>
              <w:pStyle w:val="13"/>
            </w:pPr>
            <w:r>
              <w:t>1308.22</w:t>
            </w:r>
          </w:p>
        </w:tc>
        <w:tc>
          <w:tcPr>
            <w:tcW w:w="2551" w:type="dxa"/>
            <w:vAlign w:val="center"/>
          </w:tcPr>
          <w:p>
            <w:pPr>
              <w:pStyle w:val="13"/>
            </w:pPr>
            <w:r>
              <w:t>883.42</w:t>
            </w:r>
          </w:p>
        </w:tc>
        <w:tc>
          <w:tcPr>
            <w:tcW w:w="2551" w:type="dxa"/>
            <w:vAlign w:val="center"/>
          </w:tcPr>
          <w:p>
            <w:pPr>
              <w:pStyle w:val="13"/>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rPr>
                <w:rFonts w:hint="eastAsia"/>
              </w:rPr>
              <w:t>行政运行</w:t>
            </w:r>
          </w:p>
        </w:tc>
        <w:tc>
          <w:tcPr>
            <w:tcW w:w="2551" w:type="dxa"/>
            <w:vAlign w:val="center"/>
          </w:tcPr>
          <w:p>
            <w:pPr>
              <w:pStyle w:val="13"/>
            </w:pPr>
            <w:r>
              <w:t>953.62</w:t>
            </w:r>
          </w:p>
        </w:tc>
        <w:tc>
          <w:tcPr>
            <w:tcW w:w="2551" w:type="dxa"/>
            <w:vAlign w:val="center"/>
          </w:tcPr>
          <w:p>
            <w:pPr>
              <w:pStyle w:val="13"/>
            </w:pPr>
            <w:r>
              <w:t>883.42</w:t>
            </w:r>
          </w:p>
        </w:tc>
        <w:tc>
          <w:tcPr>
            <w:tcW w:w="2551" w:type="dxa"/>
            <w:vAlign w:val="center"/>
          </w:tcPr>
          <w:p>
            <w:pPr>
              <w:pStyle w:val="13"/>
            </w:pPr>
            <w:r>
              <w:t>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2011102</w:t>
            </w:r>
          </w:p>
        </w:tc>
        <w:tc>
          <w:tcPr>
            <w:tcW w:w="4535" w:type="dxa"/>
            <w:vAlign w:val="center"/>
          </w:tcPr>
          <w:p>
            <w:pPr>
              <w:pStyle w:val="14"/>
            </w:pPr>
            <w:r>
              <w:rPr>
                <w:rFonts w:hint="eastAsia"/>
              </w:rPr>
              <w:t>一般行政管理事务</w:t>
            </w:r>
          </w:p>
        </w:tc>
        <w:tc>
          <w:tcPr>
            <w:tcW w:w="2551" w:type="dxa"/>
            <w:vAlign w:val="center"/>
          </w:tcPr>
          <w:p>
            <w:pPr>
              <w:pStyle w:val="13"/>
            </w:pPr>
            <w:r>
              <w:t>116.60</w:t>
            </w:r>
          </w:p>
        </w:tc>
        <w:tc>
          <w:tcPr>
            <w:tcW w:w="2551" w:type="dxa"/>
            <w:vAlign w:val="center"/>
          </w:tcPr>
          <w:p>
            <w:pPr>
              <w:pStyle w:val="13"/>
            </w:pPr>
          </w:p>
        </w:tc>
        <w:tc>
          <w:tcPr>
            <w:tcW w:w="2551" w:type="dxa"/>
            <w:vAlign w:val="center"/>
          </w:tcPr>
          <w:p>
            <w:pPr>
              <w:pStyle w:val="13"/>
            </w:pPr>
            <w:r>
              <w:t>116.60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2011104</w:t>
            </w:r>
          </w:p>
        </w:tc>
        <w:tc>
          <w:tcPr>
            <w:tcW w:w="4535" w:type="dxa"/>
            <w:vAlign w:val="center"/>
          </w:tcPr>
          <w:p>
            <w:pPr>
              <w:pStyle w:val="14"/>
            </w:pPr>
            <w:r>
              <w:rPr>
                <w:rFonts w:hint="eastAsia"/>
              </w:rPr>
              <w:t>大案要案查处</w:t>
            </w:r>
          </w:p>
        </w:tc>
        <w:tc>
          <w:tcPr>
            <w:tcW w:w="2551" w:type="dxa"/>
            <w:vAlign w:val="center"/>
          </w:tcPr>
          <w:p>
            <w:pPr>
              <w:pStyle w:val="13"/>
            </w:pPr>
            <w:r>
              <w:t>140.00</w:t>
            </w:r>
          </w:p>
        </w:tc>
        <w:tc>
          <w:tcPr>
            <w:tcW w:w="2551" w:type="dxa"/>
            <w:vAlign w:val="center"/>
          </w:tcPr>
          <w:p>
            <w:pPr>
              <w:pStyle w:val="13"/>
            </w:pPr>
          </w:p>
        </w:tc>
        <w:tc>
          <w:tcPr>
            <w:tcW w:w="2551"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2011105</w:t>
            </w:r>
          </w:p>
        </w:tc>
        <w:tc>
          <w:tcPr>
            <w:tcW w:w="4535" w:type="dxa"/>
            <w:vAlign w:val="center"/>
          </w:tcPr>
          <w:p>
            <w:pPr>
              <w:pStyle w:val="14"/>
            </w:pPr>
            <w:r>
              <w:rPr>
                <w:rFonts w:hint="eastAsia"/>
              </w:rPr>
              <w:t>派驻派出机构</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2011106</w:t>
            </w:r>
          </w:p>
        </w:tc>
        <w:tc>
          <w:tcPr>
            <w:tcW w:w="4535" w:type="dxa"/>
            <w:vAlign w:val="center"/>
          </w:tcPr>
          <w:p>
            <w:pPr>
              <w:pStyle w:val="14"/>
            </w:pPr>
            <w:r>
              <w:rPr>
                <w:rFonts w:hint="eastAsia"/>
              </w:rPr>
              <w:t>巡视工作</w:t>
            </w:r>
          </w:p>
        </w:tc>
        <w:tc>
          <w:tcPr>
            <w:tcW w:w="2551" w:type="dxa"/>
            <w:vAlign w:val="center"/>
          </w:tcPr>
          <w:p>
            <w:pPr>
              <w:pStyle w:val="13"/>
            </w:pPr>
            <w:r>
              <w:t>74.00</w:t>
            </w:r>
          </w:p>
        </w:tc>
        <w:tc>
          <w:tcPr>
            <w:tcW w:w="2551" w:type="dxa"/>
            <w:vAlign w:val="center"/>
          </w:tcPr>
          <w:p>
            <w:pPr>
              <w:pStyle w:val="13"/>
            </w:pPr>
          </w:p>
        </w:tc>
        <w:tc>
          <w:tcPr>
            <w:tcW w:w="2551" w:type="dxa"/>
            <w:vAlign w:val="center"/>
          </w:tcPr>
          <w:p>
            <w:pPr>
              <w:pStyle w:val="13"/>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rPr>
                <w:rFonts w:hint="eastAsia"/>
              </w:rPr>
              <w:t>社会保障和就业支出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rPr>
                <w:rFonts w:hint="eastAsia"/>
              </w:rPr>
              <w:t>行政事业单位养老支出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rPr>
                <w:rFonts w:hint="eastAsia"/>
              </w:rPr>
              <w:t>机关事业单位基本养老保险缴费支出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rPr>
                <w:rFonts w:hint="eastAsia"/>
              </w:rPr>
              <w:t>卫生健康支出</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rPr>
                <w:rFonts w:hint="eastAsia"/>
              </w:rPr>
              <w:t>行政事业单位医疗</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rPr>
                <w:rFonts w:hint="eastAsia"/>
              </w:rPr>
              <w:t>行政单位医疗</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rPr>
                <w:rFonts w:hint="eastAsia"/>
              </w:rPr>
              <w:t>住房保障支出</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rPr>
                <w:rFonts w:hint="eastAsia"/>
              </w:rPr>
              <w:t>住房改革支出</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rPr>
                <w:rFonts w:hint="eastAsia"/>
              </w:rPr>
              <w:t>住房公积金</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预算一般公共预算财政拨款基本支出表</w:t>
      </w:r>
      <w:bookmarkEnd w:id="5"/>
    </w:p>
    <w:tbl>
      <w:tblPr>
        <w:tblStyle w:val="7"/>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支出部门经济分类科目</w:t>
            </w:r>
          </w:p>
        </w:tc>
        <w:tc>
          <w:tcPr>
            <w:tcW w:w="7654" w:type="dxa"/>
            <w:gridSpan w:val="3"/>
            <w:vAlign w:val="center"/>
          </w:tcPr>
          <w:p>
            <w:pPr>
              <w:pStyle w:val="12"/>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Align w:val="center"/>
          </w:tcPr>
          <w:p>
            <w:pPr>
              <w:pStyle w:val="12"/>
            </w:pPr>
            <w:r>
              <w:rPr>
                <w:rFonts w:hint="eastAsia"/>
              </w:rPr>
              <w:t>合计</w:t>
            </w:r>
          </w:p>
        </w:tc>
        <w:tc>
          <w:tcPr>
            <w:tcW w:w="2551" w:type="dxa"/>
            <w:vAlign w:val="center"/>
          </w:tcPr>
          <w:p>
            <w:pPr>
              <w:pStyle w:val="12"/>
            </w:pPr>
            <w:r>
              <w:rPr>
                <w:rFonts w:hint="eastAsia"/>
              </w:rPr>
              <w:t>人员经费</w:t>
            </w:r>
          </w:p>
        </w:tc>
        <w:tc>
          <w:tcPr>
            <w:tcW w:w="2552" w:type="dxa"/>
            <w:vAlign w:val="center"/>
          </w:tcPr>
          <w:p>
            <w:pPr>
              <w:pStyle w:val="12"/>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rPr>
                <w:rFonts w:hint="eastAsia"/>
              </w:rPr>
              <w:t>合计</w:t>
            </w:r>
          </w:p>
        </w:tc>
        <w:tc>
          <w:tcPr>
            <w:tcW w:w="2551" w:type="dxa"/>
            <w:vAlign w:val="center"/>
          </w:tcPr>
          <w:p>
            <w:pPr>
              <w:pStyle w:val="17"/>
            </w:pPr>
            <w:r>
              <w:t>1062.05</w:t>
            </w:r>
          </w:p>
        </w:tc>
        <w:tc>
          <w:tcPr>
            <w:tcW w:w="2551" w:type="dxa"/>
            <w:vAlign w:val="center"/>
          </w:tcPr>
          <w:p>
            <w:pPr>
              <w:pStyle w:val="17"/>
            </w:pPr>
            <w:r>
              <w:t>824.35</w:t>
            </w:r>
          </w:p>
        </w:tc>
        <w:tc>
          <w:tcPr>
            <w:tcW w:w="2552" w:type="dxa"/>
            <w:vAlign w:val="center"/>
          </w:tcPr>
          <w:p>
            <w:pPr>
              <w:pStyle w:val="17"/>
            </w:pPr>
            <w:r>
              <w:t>237.70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rPr>
                <w:rFonts w:hint="eastAsia"/>
              </w:rPr>
              <w:t>工资福利支出</w:t>
            </w:r>
          </w:p>
        </w:tc>
        <w:tc>
          <w:tcPr>
            <w:tcW w:w="2551" w:type="dxa"/>
            <w:vAlign w:val="center"/>
          </w:tcPr>
          <w:p>
            <w:pPr>
              <w:pStyle w:val="13"/>
            </w:pPr>
            <w:r>
              <w:t>821.14</w:t>
            </w:r>
          </w:p>
        </w:tc>
        <w:tc>
          <w:tcPr>
            <w:tcW w:w="2551" w:type="dxa"/>
            <w:vAlign w:val="center"/>
          </w:tcPr>
          <w:p>
            <w:pPr>
              <w:pStyle w:val="13"/>
            </w:pPr>
            <w:r>
              <w:t>821.14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rPr>
                <w:rFonts w:hint="eastAsia"/>
              </w:rPr>
              <w:t>基本工资</w:t>
            </w:r>
          </w:p>
        </w:tc>
        <w:tc>
          <w:tcPr>
            <w:tcW w:w="2551" w:type="dxa"/>
            <w:vAlign w:val="center"/>
          </w:tcPr>
          <w:p>
            <w:pPr>
              <w:pStyle w:val="13"/>
            </w:pPr>
            <w:r>
              <w:t>328.46</w:t>
            </w:r>
          </w:p>
        </w:tc>
        <w:tc>
          <w:tcPr>
            <w:tcW w:w="2551" w:type="dxa"/>
            <w:vAlign w:val="center"/>
          </w:tcPr>
          <w:p>
            <w:pPr>
              <w:pStyle w:val="13"/>
            </w:pPr>
            <w:r>
              <w:t>328.46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rPr>
                <w:rFonts w:hint="eastAsia"/>
              </w:rPr>
              <w:t>津贴补贴</w:t>
            </w:r>
          </w:p>
        </w:tc>
        <w:tc>
          <w:tcPr>
            <w:tcW w:w="2551" w:type="dxa"/>
            <w:vAlign w:val="center"/>
          </w:tcPr>
          <w:p>
            <w:pPr>
              <w:pStyle w:val="13"/>
            </w:pPr>
            <w:r>
              <w:t>242.53</w:t>
            </w:r>
          </w:p>
        </w:tc>
        <w:tc>
          <w:tcPr>
            <w:tcW w:w="2551" w:type="dxa"/>
            <w:vAlign w:val="center"/>
          </w:tcPr>
          <w:p>
            <w:pPr>
              <w:pStyle w:val="13"/>
            </w:pPr>
            <w:r>
              <w:t>242.53</w:t>
            </w:r>
          </w:p>
        </w:tc>
        <w:tc>
          <w:tcPr>
            <w:tcW w:w="255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rPr>
                <w:rFonts w:hint="eastAsia"/>
              </w:rPr>
              <w:t>奖金</w:t>
            </w:r>
          </w:p>
        </w:tc>
        <w:tc>
          <w:tcPr>
            <w:tcW w:w="2551" w:type="dxa"/>
            <w:vAlign w:val="center"/>
          </w:tcPr>
          <w:p>
            <w:pPr>
              <w:pStyle w:val="13"/>
            </w:pPr>
            <w:r>
              <w:t>27.37</w:t>
            </w:r>
          </w:p>
        </w:tc>
        <w:tc>
          <w:tcPr>
            <w:tcW w:w="2551" w:type="dxa"/>
            <w:vAlign w:val="center"/>
          </w:tcPr>
          <w:p>
            <w:pPr>
              <w:pStyle w:val="13"/>
            </w:pPr>
            <w:r>
              <w:t>27.37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rPr>
                <w:rFonts w:hint="eastAsia"/>
              </w:rPr>
              <w:t>绩效工资</w:t>
            </w:r>
          </w:p>
        </w:tc>
        <w:tc>
          <w:tcPr>
            <w:tcW w:w="2551" w:type="dxa"/>
            <w:vAlign w:val="center"/>
          </w:tcPr>
          <w:p>
            <w:pPr>
              <w:pStyle w:val="13"/>
            </w:pPr>
            <w:r>
              <w:t>37.09</w:t>
            </w:r>
          </w:p>
        </w:tc>
        <w:tc>
          <w:tcPr>
            <w:tcW w:w="2551" w:type="dxa"/>
            <w:vAlign w:val="center"/>
          </w:tcPr>
          <w:p>
            <w:pPr>
              <w:pStyle w:val="13"/>
            </w:pPr>
            <w:r>
              <w:t>37.09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rPr>
                <w:rFonts w:hint="eastAsia"/>
              </w:rPr>
              <w:t>机关事业单位基本养老保险缴费</w:t>
            </w:r>
          </w:p>
        </w:tc>
        <w:tc>
          <w:tcPr>
            <w:tcW w:w="2551" w:type="dxa"/>
            <w:vAlign w:val="center"/>
          </w:tcPr>
          <w:p>
            <w:pPr>
              <w:pStyle w:val="13"/>
            </w:pPr>
            <w:r>
              <w:t>76.97</w:t>
            </w:r>
          </w:p>
        </w:tc>
        <w:tc>
          <w:tcPr>
            <w:tcW w:w="2551" w:type="dxa"/>
            <w:vAlign w:val="center"/>
          </w:tcPr>
          <w:p>
            <w:pPr>
              <w:pStyle w:val="13"/>
            </w:pPr>
            <w:r>
              <w:t>76.97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rPr>
                <w:rFonts w:hint="eastAsia"/>
              </w:rPr>
              <w:t>职工基本医疗保险缴费</w:t>
            </w:r>
          </w:p>
        </w:tc>
        <w:tc>
          <w:tcPr>
            <w:tcW w:w="2551" w:type="dxa"/>
            <w:vAlign w:val="center"/>
          </w:tcPr>
          <w:p>
            <w:pPr>
              <w:pStyle w:val="13"/>
            </w:pPr>
            <w:r>
              <w:t>36.85</w:t>
            </w:r>
          </w:p>
        </w:tc>
        <w:tc>
          <w:tcPr>
            <w:tcW w:w="2551" w:type="dxa"/>
            <w:vAlign w:val="center"/>
          </w:tcPr>
          <w:p>
            <w:pPr>
              <w:pStyle w:val="13"/>
            </w:pPr>
            <w:r>
              <w:t>36.85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rPr>
                <w:rFonts w:hint="eastAsia"/>
              </w:rPr>
              <w:t>其他社会保障缴费</w:t>
            </w:r>
          </w:p>
        </w:tc>
        <w:tc>
          <w:tcPr>
            <w:tcW w:w="2551" w:type="dxa"/>
            <w:vAlign w:val="center"/>
          </w:tcPr>
          <w:p>
            <w:pPr>
              <w:pStyle w:val="13"/>
            </w:pPr>
            <w:r>
              <w:t>7.07</w:t>
            </w:r>
          </w:p>
        </w:tc>
        <w:tc>
          <w:tcPr>
            <w:tcW w:w="2551" w:type="dxa"/>
            <w:vAlign w:val="center"/>
          </w:tcPr>
          <w:p>
            <w:pPr>
              <w:pStyle w:val="13"/>
            </w:pPr>
            <w:r>
              <w:t>7.07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rPr>
                <w:rFonts w:hint="eastAsia"/>
              </w:rPr>
              <w:t>住房公积金</w:t>
            </w:r>
          </w:p>
        </w:tc>
        <w:tc>
          <w:tcPr>
            <w:tcW w:w="2551" w:type="dxa"/>
            <w:vAlign w:val="center"/>
          </w:tcPr>
          <w:p>
            <w:pPr>
              <w:pStyle w:val="13"/>
            </w:pPr>
            <w:r>
              <w:t>64.82</w:t>
            </w:r>
          </w:p>
        </w:tc>
        <w:tc>
          <w:tcPr>
            <w:tcW w:w="2551" w:type="dxa"/>
            <w:vAlign w:val="center"/>
          </w:tcPr>
          <w:p>
            <w:pPr>
              <w:pStyle w:val="13"/>
            </w:pPr>
            <w:r>
              <w:t>64.82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rPr>
                <w:rFonts w:hint="eastAsia"/>
              </w:rPr>
              <w:t>商品和服务支出</w:t>
            </w:r>
          </w:p>
        </w:tc>
        <w:tc>
          <w:tcPr>
            <w:tcW w:w="2551" w:type="dxa"/>
            <w:vAlign w:val="center"/>
          </w:tcPr>
          <w:p>
            <w:pPr>
              <w:pStyle w:val="13"/>
            </w:pPr>
            <w:r>
              <w:t>205.70</w:t>
            </w:r>
          </w:p>
        </w:tc>
        <w:tc>
          <w:tcPr>
            <w:tcW w:w="2551" w:type="dxa"/>
            <w:vAlign w:val="center"/>
          </w:tcPr>
          <w:p>
            <w:pPr>
              <w:pStyle w:val="13"/>
            </w:pPr>
          </w:p>
        </w:tc>
        <w:tc>
          <w:tcPr>
            <w:tcW w:w="2552" w:type="dxa"/>
            <w:vAlign w:val="center"/>
          </w:tcPr>
          <w:p>
            <w:pPr>
              <w:pStyle w:val="13"/>
            </w:pPr>
            <w:r>
              <w:t>205.70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rPr>
                <w:rFonts w:hint="eastAsia"/>
              </w:rPr>
              <w:t>办公费</w:t>
            </w:r>
          </w:p>
        </w:tc>
        <w:tc>
          <w:tcPr>
            <w:tcW w:w="2551" w:type="dxa"/>
            <w:vAlign w:val="center"/>
          </w:tcPr>
          <w:p>
            <w:pPr>
              <w:pStyle w:val="13"/>
            </w:pPr>
            <w:r>
              <w:t>8.00</w:t>
            </w:r>
          </w:p>
        </w:tc>
        <w:tc>
          <w:tcPr>
            <w:tcW w:w="2551" w:type="dxa"/>
            <w:vAlign w:val="center"/>
          </w:tcPr>
          <w:p>
            <w:pPr>
              <w:pStyle w:val="13"/>
            </w:pPr>
          </w:p>
        </w:tc>
        <w:tc>
          <w:tcPr>
            <w:tcW w:w="2552" w:type="dxa"/>
            <w:vAlign w:val="center"/>
          </w:tcPr>
          <w:p>
            <w:pPr>
              <w:pStyle w:val="13"/>
            </w:pPr>
            <w:r>
              <w:t>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rPr>
                <w:rFonts w:hint="eastAsia"/>
              </w:rPr>
              <w:t>印刷费</w:t>
            </w:r>
          </w:p>
        </w:tc>
        <w:tc>
          <w:tcPr>
            <w:tcW w:w="2551" w:type="dxa"/>
            <w:vAlign w:val="center"/>
          </w:tcPr>
          <w:p>
            <w:pPr>
              <w:pStyle w:val="13"/>
            </w:pPr>
            <w:r>
              <w:t>8.00</w:t>
            </w:r>
          </w:p>
        </w:tc>
        <w:tc>
          <w:tcPr>
            <w:tcW w:w="2551" w:type="dxa"/>
            <w:vAlign w:val="center"/>
          </w:tcPr>
          <w:p>
            <w:pPr>
              <w:pStyle w:val="13"/>
            </w:pPr>
          </w:p>
        </w:tc>
        <w:tc>
          <w:tcPr>
            <w:tcW w:w="2552"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rPr>
                <w:rFonts w:hint="eastAsia"/>
              </w:rPr>
              <w:t>水费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rPr>
                <w:rFonts w:hint="eastAsia"/>
              </w:rPr>
              <w:t>电费</w:t>
            </w:r>
          </w:p>
        </w:tc>
        <w:tc>
          <w:tcPr>
            <w:tcW w:w="2551" w:type="dxa"/>
            <w:vAlign w:val="center"/>
          </w:tcPr>
          <w:p>
            <w:pPr>
              <w:pStyle w:val="13"/>
            </w:pPr>
            <w:r>
              <w:t>12.00</w:t>
            </w:r>
          </w:p>
        </w:tc>
        <w:tc>
          <w:tcPr>
            <w:tcW w:w="2551" w:type="dxa"/>
            <w:vAlign w:val="center"/>
          </w:tcPr>
          <w:p>
            <w:pPr>
              <w:pStyle w:val="13"/>
            </w:pPr>
          </w:p>
        </w:tc>
        <w:tc>
          <w:tcPr>
            <w:tcW w:w="2552"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rPr>
                <w:rFonts w:hint="eastAsia"/>
              </w:rPr>
              <w:t>邮电费</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rPr>
                <w:rFonts w:hint="eastAsia"/>
              </w:rPr>
              <w:t>取暖费</w:t>
            </w:r>
          </w:p>
        </w:tc>
        <w:tc>
          <w:tcPr>
            <w:tcW w:w="2551" w:type="dxa"/>
            <w:vAlign w:val="center"/>
          </w:tcPr>
          <w:p>
            <w:pPr>
              <w:pStyle w:val="13"/>
            </w:pPr>
            <w:r>
              <w:t>7.00</w:t>
            </w:r>
          </w:p>
        </w:tc>
        <w:tc>
          <w:tcPr>
            <w:tcW w:w="2551" w:type="dxa"/>
            <w:vAlign w:val="center"/>
          </w:tcPr>
          <w:p>
            <w:pPr>
              <w:pStyle w:val="13"/>
            </w:pPr>
          </w:p>
        </w:tc>
        <w:tc>
          <w:tcPr>
            <w:tcW w:w="2552"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rPr>
                <w:rFonts w:hint="eastAsia"/>
              </w:rPr>
              <w:t>物业管理费</w:t>
            </w:r>
          </w:p>
        </w:tc>
        <w:tc>
          <w:tcPr>
            <w:tcW w:w="2551" w:type="dxa"/>
            <w:vAlign w:val="center"/>
          </w:tcPr>
          <w:p>
            <w:pPr>
              <w:pStyle w:val="13"/>
            </w:pPr>
            <w:r>
              <w:t>31.00</w:t>
            </w:r>
          </w:p>
        </w:tc>
        <w:tc>
          <w:tcPr>
            <w:tcW w:w="2551" w:type="dxa"/>
            <w:vAlign w:val="center"/>
          </w:tcPr>
          <w:p>
            <w:pPr>
              <w:pStyle w:val="13"/>
            </w:pPr>
          </w:p>
        </w:tc>
        <w:tc>
          <w:tcPr>
            <w:tcW w:w="2552"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rPr>
                <w:rFonts w:hint="eastAsia"/>
              </w:rPr>
              <w:t>差旅费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rPr>
                <w:rFonts w:hint="eastAsia"/>
              </w:rPr>
              <w:t>维修</w:t>
            </w:r>
            <w:r>
              <w:t>(</w:t>
            </w:r>
            <w:r>
              <w:rPr>
                <w:rFonts w:hint="eastAsia"/>
              </w:rPr>
              <w:t>护</w:t>
            </w:r>
            <w:r>
              <w:t>)</w:t>
            </w:r>
            <w:r>
              <w:rPr>
                <w:rFonts w:hint="eastAsia"/>
              </w:rPr>
              <w:t>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rPr>
                <w:rFonts w:hint="eastAsia"/>
              </w:rPr>
              <w:t>会议费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rPr>
                <w:rFonts w:hint="eastAsia"/>
              </w:rPr>
              <w:t>培训费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rPr>
                <w:rFonts w:hint="eastAsia"/>
              </w:rPr>
              <w:t>公务接待费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rPr>
                <w:rFonts w:hint="eastAsia"/>
              </w:rPr>
              <w:t>劳务费</w:t>
            </w:r>
          </w:p>
        </w:tc>
        <w:tc>
          <w:tcPr>
            <w:tcW w:w="2551" w:type="dxa"/>
            <w:vAlign w:val="center"/>
          </w:tcPr>
          <w:p>
            <w:pPr>
              <w:pStyle w:val="13"/>
            </w:pPr>
            <w:r>
              <w:t>10.00</w:t>
            </w:r>
          </w:p>
        </w:tc>
        <w:tc>
          <w:tcPr>
            <w:tcW w:w="2551" w:type="dxa"/>
            <w:vAlign w:val="center"/>
          </w:tcPr>
          <w:p>
            <w:pPr>
              <w:pStyle w:val="13"/>
            </w:pPr>
          </w:p>
        </w:tc>
        <w:tc>
          <w:tcPr>
            <w:tcW w:w="2552" w:type="dxa"/>
            <w:vAlign w:val="center"/>
          </w:tcPr>
          <w:p>
            <w:pPr>
              <w:pStyle w:val="13"/>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30228</w:t>
            </w:r>
          </w:p>
        </w:tc>
        <w:tc>
          <w:tcPr>
            <w:tcW w:w="4535" w:type="dxa"/>
            <w:vAlign w:val="center"/>
          </w:tcPr>
          <w:p>
            <w:pPr>
              <w:pStyle w:val="14"/>
            </w:pPr>
            <w:r>
              <w:rPr>
                <w:rFonts w:hint="eastAsia"/>
              </w:rPr>
              <w:t>工会经费</w:t>
            </w:r>
          </w:p>
        </w:tc>
        <w:tc>
          <w:tcPr>
            <w:tcW w:w="2551" w:type="dxa"/>
            <w:vAlign w:val="center"/>
          </w:tcPr>
          <w:p>
            <w:pPr>
              <w:pStyle w:val="13"/>
            </w:pPr>
            <w:r>
              <w:t>1.76</w:t>
            </w:r>
          </w:p>
        </w:tc>
        <w:tc>
          <w:tcPr>
            <w:tcW w:w="2551" w:type="dxa"/>
            <w:vAlign w:val="center"/>
          </w:tcPr>
          <w:p>
            <w:pPr>
              <w:pStyle w:val="13"/>
            </w:pPr>
          </w:p>
        </w:tc>
        <w:tc>
          <w:tcPr>
            <w:tcW w:w="2552" w:type="dxa"/>
            <w:vAlign w:val="center"/>
          </w:tcPr>
          <w:p>
            <w:pPr>
              <w:pStyle w:val="13"/>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30229</w:t>
            </w:r>
          </w:p>
        </w:tc>
        <w:tc>
          <w:tcPr>
            <w:tcW w:w="4535" w:type="dxa"/>
            <w:vAlign w:val="center"/>
          </w:tcPr>
          <w:p>
            <w:pPr>
              <w:pStyle w:val="14"/>
            </w:pPr>
            <w:r>
              <w:rPr>
                <w:rFonts w:hint="eastAsia"/>
              </w:rPr>
              <w:t>福利费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30239</w:t>
            </w:r>
          </w:p>
        </w:tc>
        <w:tc>
          <w:tcPr>
            <w:tcW w:w="4535" w:type="dxa"/>
            <w:vAlign w:val="center"/>
          </w:tcPr>
          <w:p>
            <w:pPr>
              <w:pStyle w:val="14"/>
            </w:pPr>
            <w:r>
              <w:rPr>
                <w:rFonts w:hint="eastAsia"/>
              </w:rPr>
              <w:t>其他交通费用</w:t>
            </w:r>
          </w:p>
        </w:tc>
        <w:tc>
          <w:tcPr>
            <w:tcW w:w="2551" w:type="dxa"/>
            <w:vAlign w:val="center"/>
          </w:tcPr>
          <w:p>
            <w:pPr>
              <w:pStyle w:val="13"/>
            </w:pPr>
            <w:r>
              <w:t>53.94</w:t>
            </w:r>
          </w:p>
        </w:tc>
        <w:tc>
          <w:tcPr>
            <w:tcW w:w="2551" w:type="dxa"/>
            <w:vAlign w:val="center"/>
          </w:tcPr>
          <w:p>
            <w:pPr>
              <w:pStyle w:val="13"/>
            </w:pPr>
          </w:p>
        </w:tc>
        <w:tc>
          <w:tcPr>
            <w:tcW w:w="2552" w:type="dxa"/>
            <w:vAlign w:val="center"/>
          </w:tcPr>
          <w:p>
            <w:pPr>
              <w:pStyle w:val="13"/>
            </w:pPr>
            <w:r>
              <w:t>53.94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30299</w:t>
            </w:r>
          </w:p>
        </w:tc>
        <w:tc>
          <w:tcPr>
            <w:tcW w:w="4535" w:type="dxa"/>
            <w:vAlign w:val="center"/>
          </w:tcPr>
          <w:p>
            <w:pPr>
              <w:pStyle w:val="14"/>
            </w:pPr>
            <w:r>
              <w:rPr>
                <w:rFonts w:hint="eastAsia"/>
              </w:rPr>
              <w:t>其他商品和服务支出</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w:t>
            </w:r>
          </w:p>
        </w:tc>
        <w:tc>
          <w:tcPr>
            <w:tcW w:w="4535" w:type="dxa"/>
            <w:vAlign w:val="center"/>
          </w:tcPr>
          <w:p>
            <w:pPr>
              <w:pStyle w:val="14"/>
            </w:pPr>
            <w:r>
              <w:rPr>
                <w:rFonts w:hint="eastAsia"/>
              </w:rPr>
              <w:t>对个人和家庭的补助</w:t>
            </w:r>
          </w:p>
        </w:tc>
        <w:tc>
          <w:tcPr>
            <w:tcW w:w="2551" w:type="dxa"/>
            <w:vAlign w:val="center"/>
          </w:tcPr>
          <w:p>
            <w:pPr>
              <w:pStyle w:val="13"/>
            </w:pPr>
            <w:r>
              <w:t>3.21</w:t>
            </w:r>
          </w:p>
        </w:tc>
        <w:tc>
          <w:tcPr>
            <w:tcW w:w="2551" w:type="dxa"/>
            <w:vAlign w:val="center"/>
          </w:tcPr>
          <w:p>
            <w:pPr>
              <w:pStyle w:val="13"/>
            </w:pPr>
            <w:r>
              <w:t>3.21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rPr>
                <w:rFonts w:hint="eastAsia"/>
              </w:rPr>
              <w:t>退休费</w:t>
            </w:r>
          </w:p>
        </w:tc>
        <w:tc>
          <w:tcPr>
            <w:tcW w:w="2551" w:type="dxa"/>
            <w:vAlign w:val="center"/>
          </w:tcPr>
          <w:p>
            <w:pPr>
              <w:pStyle w:val="13"/>
            </w:pPr>
            <w:r>
              <w:t>2.42</w:t>
            </w:r>
          </w:p>
        </w:tc>
        <w:tc>
          <w:tcPr>
            <w:tcW w:w="2551" w:type="dxa"/>
            <w:vAlign w:val="center"/>
          </w:tcPr>
          <w:p>
            <w:pPr>
              <w:pStyle w:val="13"/>
            </w:pPr>
            <w:r>
              <w:t>2.42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30305</w:t>
            </w:r>
          </w:p>
        </w:tc>
        <w:tc>
          <w:tcPr>
            <w:tcW w:w="4535" w:type="dxa"/>
            <w:vAlign w:val="center"/>
          </w:tcPr>
          <w:p>
            <w:pPr>
              <w:pStyle w:val="14"/>
            </w:pPr>
            <w:r>
              <w:rPr>
                <w:rFonts w:hint="eastAsia"/>
              </w:rPr>
              <w:t>生活补助</w:t>
            </w:r>
          </w:p>
        </w:tc>
        <w:tc>
          <w:tcPr>
            <w:tcW w:w="2551" w:type="dxa"/>
            <w:vAlign w:val="center"/>
          </w:tcPr>
          <w:p>
            <w:pPr>
              <w:pStyle w:val="13"/>
            </w:pPr>
            <w:r>
              <w:t>0.79</w:t>
            </w:r>
          </w:p>
        </w:tc>
        <w:tc>
          <w:tcPr>
            <w:tcW w:w="2551" w:type="dxa"/>
            <w:vAlign w:val="center"/>
          </w:tcPr>
          <w:p>
            <w:pPr>
              <w:pStyle w:val="13"/>
            </w:pPr>
            <w:r>
              <w:t>0.79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310</w:t>
            </w:r>
          </w:p>
        </w:tc>
        <w:tc>
          <w:tcPr>
            <w:tcW w:w="4535" w:type="dxa"/>
            <w:vAlign w:val="center"/>
          </w:tcPr>
          <w:p>
            <w:pPr>
              <w:pStyle w:val="14"/>
            </w:pPr>
            <w:r>
              <w:rPr>
                <w:rFonts w:hint="eastAsia"/>
              </w:rPr>
              <w:t>资本性支出</w:t>
            </w:r>
          </w:p>
        </w:tc>
        <w:tc>
          <w:tcPr>
            <w:tcW w:w="2551" w:type="dxa"/>
            <w:vAlign w:val="center"/>
          </w:tcPr>
          <w:p>
            <w:pPr>
              <w:pStyle w:val="13"/>
            </w:pPr>
            <w:r>
              <w:t>32.00</w:t>
            </w:r>
          </w:p>
        </w:tc>
        <w:tc>
          <w:tcPr>
            <w:tcW w:w="2551" w:type="dxa"/>
            <w:vAlign w:val="center"/>
          </w:tcPr>
          <w:p>
            <w:pPr>
              <w:pStyle w:val="13"/>
            </w:pPr>
          </w:p>
        </w:tc>
        <w:tc>
          <w:tcPr>
            <w:tcW w:w="2552"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31002</w:t>
            </w:r>
          </w:p>
        </w:tc>
        <w:tc>
          <w:tcPr>
            <w:tcW w:w="4535" w:type="dxa"/>
            <w:vAlign w:val="center"/>
          </w:tcPr>
          <w:p>
            <w:pPr>
              <w:pStyle w:val="14"/>
            </w:pPr>
            <w:r>
              <w:rPr>
                <w:rFonts w:hint="eastAsia"/>
              </w:rPr>
              <w:t>办公设备购置</w:t>
            </w:r>
          </w:p>
        </w:tc>
        <w:tc>
          <w:tcPr>
            <w:tcW w:w="2551" w:type="dxa"/>
            <w:vAlign w:val="center"/>
          </w:tcPr>
          <w:p>
            <w:pPr>
              <w:pStyle w:val="13"/>
            </w:pPr>
            <w:r>
              <w:t>32.00</w:t>
            </w:r>
          </w:p>
        </w:tc>
        <w:tc>
          <w:tcPr>
            <w:tcW w:w="2551" w:type="dxa"/>
            <w:vAlign w:val="center"/>
          </w:tcPr>
          <w:p>
            <w:pPr>
              <w:pStyle w:val="13"/>
            </w:pPr>
          </w:p>
        </w:tc>
        <w:tc>
          <w:tcPr>
            <w:tcW w:w="2552" w:type="dxa"/>
            <w:vAlign w:val="center"/>
          </w:tcPr>
          <w:p>
            <w:pPr>
              <w:pStyle w:val="13"/>
            </w:pPr>
            <w:r>
              <w:t>32.00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预算政府基金预算财政拨款支出表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预算财政拨款“三公”经费支出表</w:t>
      </w:r>
      <w:bookmarkEnd w:id="8"/>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38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3798" w:type="dxa"/>
            <w:vMerge w:val="restart"/>
            <w:vAlign w:val="center"/>
          </w:tcPr>
          <w:p>
            <w:pPr>
              <w:pStyle w:val="12"/>
            </w:pPr>
            <w:r>
              <w:rPr>
                <w:rFonts w:hint="eastAsia"/>
              </w:rPr>
              <w:t>项</w:t>
            </w:r>
            <w:r>
              <w:t xml:space="preserve">  </w:t>
            </w:r>
            <w:r>
              <w:rPr>
                <w:rFonts w:hint="eastAsia"/>
              </w:rPr>
              <w:t>目</w:t>
            </w:r>
          </w:p>
        </w:tc>
        <w:tc>
          <w:tcPr>
            <w:tcW w:w="9525" w:type="dxa"/>
            <w:gridSpan w:val="4"/>
            <w:vAlign w:val="center"/>
          </w:tcPr>
          <w:p>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rPr>
                <w:rFonts w:hint="eastAsia"/>
              </w:rPr>
              <w:t>合计</w:t>
            </w:r>
          </w:p>
        </w:tc>
        <w:tc>
          <w:tcPr>
            <w:tcW w:w="2381" w:type="dxa"/>
            <w:vAlign w:val="center"/>
          </w:tcPr>
          <w:p>
            <w:pPr>
              <w:pStyle w:val="12"/>
            </w:pPr>
            <w:r>
              <w:rPr>
                <w:rFonts w:hint="eastAsia"/>
              </w:rPr>
              <w:t>一般公共预算</w:t>
            </w:r>
            <w:r>
              <w:t xml:space="preserve">              </w:t>
            </w:r>
            <w:r>
              <w:rPr>
                <w:rFonts w:hint="eastAsia"/>
              </w:rPr>
              <w:t>财政拨款</w:t>
            </w:r>
          </w:p>
        </w:tc>
        <w:tc>
          <w:tcPr>
            <w:tcW w:w="2381" w:type="dxa"/>
            <w:vAlign w:val="center"/>
          </w:tcPr>
          <w:p>
            <w:pPr>
              <w:pStyle w:val="12"/>
            </w:pPr>
            <w:r>
              <w:rPr>
                <w:rFonts w:hint="eastAsia"/>
              </w:rPr>
              <w:t>政府性基金</w:t>
            </w:r>
            <w:r>
              <w:t xml:space="preserve">                  </w:t>
            </w:r>
            <w:r>
              <w:rPr>
                <w:rFonts w:hint="eastAsia"/>
              </w:rPr>
              <w:t>预算拨款</w:t>
            </w:r>
          </w:p>
        </w:tc>
        <w:tc>
          <w:tcPr>
            <w:tcW w:w="2381" w:type="dxa"/>
            <w:vAlign w:val="center"/>
          </w:tcPr>
          <w:p>
            <w:pPr>
              <w:pStyle w:val="12"/>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rPr>
                <w:rFonts w:hint="eastAsia"/>
              </w:rP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rPr>
                <w:rFonts w:hint="eastAsia"/>
              </w:rPr>
              <w:t>合计</w:t>
            </w:r>
          </w:p>
        </w:tc>
        <w:tc>
          <w:tcPr>
            <w:tcW w:w="2382" w:type="dxa"/>
            <w:vAlign w:val="center"/>
          </w:tcPr>
          <w:p>
            <w:pPr>
              <w:pStyle w:val="17"/>
              <w:rPr>
                <w:rFonts w:hint="default" w:eastAsia="方正书宋_GBK"/>
                <w:lang w:val="en-US" w:eastAsia="zh-CN"/>
              </w:rPr>
            </w:pPr>
            <w:r>
              <w:rPr>
                <w:rFonts w:hint="eastAsia"/>
                <w:lang w:val="en-US" w:eastAsia="zh-CN"/>
              </w:rPr>
              <w:t>61</w:t>
            </w:r>
          </w:p>
        </w:tc>
        <w:tc>
          <w:tcPr>
            <w:tcW w:w="2381" w:type="dxa"/>
            <w:vAlign w:val="center"/>
          </w:tcPr>
          <w:p>
            <w:pPr>
              <w:pStyle w:val="17"/>
              <w:rPr>
                <w:rFonts w:hint="default" w:eastAsia="方正书宋_GBK"/>
                <w:lang w:val="en-US" w:eastAsia="zh-CN"/>
              </w:rPr>
            </w:pPr>
            <w:r>
              <w:rPr>
                <w:rFonts w:hint="eastAsia"/>
                <w:lang w:val="en-US" w:eastAsia="zh-CN"/>
              </w:rPr>
              <w:t>61</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rPr>
                <w:rFonts w:hint="eastAsia"/>
              </w:rPr>
              <w:t>“三公”经费小计</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w:t>
            </w:r>
            <w:r>
              <w:rPr>
                <w:rFonts w:hint="eastAsia"/>
              </w:rPr>
              <w:t>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w:t>
            </w:r>
            <w:r>
              <w:rPr>
                <w:rFonts w:hint="eastAsia"/>
              </w:rPr>
              <w:t>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rPr>
                <w:rFonts w:hint="eastAsia"/>
              </w:rP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w:t>
            </w:r>
            <w:r>
              <w:rPr>
                <w:rFonts w:hint="eastAsia"/>
              </w:rPr>
              <w:t>其中：公务用车购置费</w:t>
            </w:r>
          </w:p>
        </w:tc>
        <w:tc>
          <w:tcPr>
            <w:tcW w:w="2382" w:type="dxa"/>
            <w:vAlign w:val="center"/>
          </w:tcPr>
          <w:p>
            <w:pPr>
              <w:pStyle w:val="13"/>
            </w:pPr>
            <w:r>
              <w:t>56.00</w:t>
            </w:r>
          </w:p>
        </w:tc>
        <w:tc>
          <w:tcPr>
            <w:tcW w:w="2381" w:type="dxa"/>
            <w:vAlign w:val="center"/>
          </w:tcPr>
          <w:p>
            <w:pPr>
              <w:pStyle w:val="13"/>
            </w:pPr>
            <w:r>
              <w:t>56.00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w:t>
            </w:r>
            <w:r>
              <w:rPr>
                <w:rFonts w:hint="eastAsia"/>
              </w:rPr>
              <w:t>公务用车运行维护费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rPr>
                <w:rFonts w:hint="eastAsia"/>
              </w:rPr>
              <w:t>三、公务接待费</w:t>
            </w:r>
          </w:p>
        </w:tc>
        <w:tc>
          <w:tcPr>
            <w:tcW w:w="2382"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rPr>
                <w:rFonts w:hint="eastAsia"/>
              </w:rPr>
              <w:t>四、会议费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rPr>
                <w:rFonts w:hint="eastAsia"/>
              </w:rPr>
              <w:t>五、培训费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中国共产党隆尧县纪律检查委员会</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中国共产党隆尧县纪律检查委员会</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hint="eastAsia" w:ascii="方正小标宋_GBK" w:hAnsi="方正小标宋_GBK" w:eastAsia="方正小标宋_GBK" w:cs="方正小标宋_GBK"/>
          <w:color w:val="000000"/>
          <w:sz w:val="44"/>
        </w:rPr>
        <w:t>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按照《预算法》、《地方预决算公开操作规程》和《关于进一步推进预算公开工作的实施意见》规定，现将中国共产党隆尧县纪律检查委员会</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w:t>
      </w:r>
      <w:r>
        <w:rPr>
          <w:rFonts w:hint="eastAsia" w:ascii="黑体" w:hAnsi="黑体" w:eastAsia="黑体" w:cs="黑体"/>
          <w:color w:val="000000"/>
          <w:sz w:val="32"/>
          <w:lang w:val="en-US" w:eastAsia="zh-CN"/>
        </w:rPr>
        <w:t>单位</w:t>
      </w:r>
      <w:r>
        <w:rPr>
          <w:rFonts w:hint="eastAsia" w:ascii="黑体" w:hAnsi="黑体" w:eastAsia="黑体" w:cs="黑体"/>
          <w:color w:val="000000"/>
          <w:sz w:val="32"/>
        </w:rPr>
        <w:t>职责及机构设置情况</w:t>
      </w:r>
      <w:bookmarkEnd w:id="9"/>
    </w:p>
    <w:p>
      <w:pPr>
        <w:ind w:firstLine="640"/>
      </w:pPr>
      <w:r>
        <w:rPr>
          <w:rFonts w:hint="eastAsia" w:ascii="方正楷体_GBK" w:hAnsi="方正楷体_GBK" w:eastAsia="方正楷体_GBK" w:cs="方正楷体_GBK"/>
          <w:b/>
          <w:color w:val="000000"/>
          <w:sz w:val="32"/>
          <w:lang w:val="en-US" w:eastAsia="zh-CN"/>
        </w:rPr>
        <w:t>单位</w:t>
      </w:r>
      <w:r>
        <w:rPr>
          <w:rFonts w:hint="eastAsia" w:ascii="方正楷体_GBK" w:hAnsi="方正楷体_GBK" w:eastAsia="方正楷体_GBK" w:cs="方正楷体_GBK"/>
          <w:b/>
          <w:color w:val="000000"/>
          <w:sz w:val="32"/>
        </w:rPr>
        <w:t>职责：</w:t>
      </w:r>
    </w:p>
    <w:p>
      <w:pPr>
        <w:pStyle w:val="19"/>
      </w:pPr>
      <w:r>
        <w:rPr>
          <w:rFonts w:hint="eastAsia"/>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pStyle w:val="19"/>
      </w:pPr>
      <w:r>
        <w:rPr>
          <w:rFonts w:hint="eastAsia"/>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9"/>
      </w:pPr>
      <w:r>
        <w:rPr>
          <w:rFonts w:hint="eastAsia"/>
        </w:rPr>
        <w:t>（三）支持配合巡视、巡察工作。承担巡视、巡察整改日常监督责任，做好巡视、巡察整改督查督办工作，依规依纪依法处置巡视、巡察移交的反映领导干部问题线索。</w:t>
      </w:r>
    </w:p>
    <w:p>
      <w:pPr>
        <w:pStyle w:val="19"/>
      </w:pPr>
      <w:r>
        <w:rPr>
          <w:rFonts w:hint="eastAsia"/>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19"/>
      </w:pPr>
      <w:r>
        <w:rPr>
          <w:rFonts w:hint="eastAsia"/>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9"/>
      </w:pPr>
      <w:r>
        <w:rPr>
          <w:rFonts w:hint="eastAsia"/>
        </w:rPr>
        <w:t>（六）负责组织协调全面从严治党、党风廉政建设和反腐败宣传教育工作。</w:t>
      </w:r>
    </w:p>
    <w:p>
      <w:pPr>
        <w:pStyle w:val="19"/>
      </w:pPr>
      <w:r>
        <w:rPr>
          <w:rFonts w:hint="eastAsia"/>
        </w:rPr>
        <w:t>（七）负责综合分析全面从严治党、党风廉政建设和反腐败工作情况，对纪检监察工作重要理论及实践问题进行调查研究；制定或者修改全县纪检监察法规制度，参与起草有关法规和规范性文件。</w:t>
      </w:r>
    </w:p>
    <w:p>
      <w:pPr>
        <w:pStyle w:val="19"/>
      </w:pPr>
      <w:r>
        <w:rPr>
          <w:rFonts w:hint="eastAsia"/>
        </w:rPr>
        <w:t>（八）负责组织协调全县反腐败追逃追赃和防逃工作，督促有关单位做好相关工作。</w:t>
      </w:r>
    </w:p>
    <w:p>
      <w:pPr>
        <w:pStyle w:val="19"/>
      </w:pPr>
      <w:r>
        <w:rPr>
          <w:rFonts w:hint="eastAsia"/>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pStyle w:val="19"/>
      </w:pPr>
      <w:r>
        <w:rPr>
          <w:rFonts w:hint="eastAsia"/>
        </w:rPr>
        <w:t>（十）完成市纪委、市监委、县委交办的其他任务。</w:t>
      </w:r>
    </w:p>
    <w:p>
      <w:pPr>
        <w:pStyle w:val="19"/>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val="en-US" w:eastAsia="zh-CN"/>
        </w:rPr>
        <w:t>单位</w:t>
      </w:r>
      <w:r>
        <w:rPr>
          <w:rFonts w:hint="eastAsia" w:ascii="方正小标宋_GBK" w:hAnsi="方正小标宋_GBK" w:eastAsia="方正小标宋_GBK" w:cs="方正小标宋_GBK"/>
          <w:color w:val="000000"/>
          <w:sz w:val="32"/>
        </w:rPr>
        <w:t>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rPr>
                <w:rFonts w:hint="eastAsia"/>
              </w:rPr>
              <w:t>单位名称</w:t>
            </w:r>
          </w:p>
        </w:tc>
        <w:tc>
          <w:tcPr>
            <w:tcW w:w="1843" w:type="dxa"/>
            <w:vAlign w:val="center"/>
          </w:tcPr>
          <w:p>
            <w:pPr>
              <w:pStyle w:val="12"/>
            </w:pPr>
            <w:r>
              <w:rPr>
                <w:rFonts w:hint="eastAsia"/>
              </w:rPr>
              <w:t>单位性质</w:t>
            </w:r>
          </w:p>
        </w:tc>
        <w:tc>
          <w:tcPr>
            <w:tcW w:w="2126" w:type="dxa"/>
            <w:vAlign w:val="center"/>
          </w:tcPr>
          <w:p>
            <w:pPr>
              <w:pStyle w:val="12"/>
            </w:pPr>
            <w:r>
              <w:rPr>
                <w:rFonts w:hint="eastAsia"/>
              </w:rPr>
              <w:t>单位规格</w:t>
            </w:r>
          </w:p>
        </w:tc>
        <w:tc>
          <w:tcPr>
            <w:tcW w:w="3827" w:type="dxa"/>
            <w:vAlign w:val="center"/>
          </w:tcPr>
          <w:p>
            <w:pPr>
              <w:pStyle w:val="12"/>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rPr>
                <w:rFonts w:hint="eastAsia"/>
              </w:rPr>
              <w:t>中国共产党隆尧县纪律检查委员会本级</w:t>
            </w:r>
          </w:p>
        </w:tc>
        <w:tc>
          <w:tcPr>
            <w:tcW w:w="1843" w:type="dxa"/>
            <w:vAlign w:val="center"/>
          </w:tcPr>
          <w:p>
            <w:pPr>
              <w:pStyle w:val="15"/>
            </w:pPr>
            <w:r>
              <w:rPr>
                <w:rFonts w:hint="eastAsia"/>
              </w:rPr>
              <w:t>行政</w:t>
            </w:r>
          </w:p>
        </w:tc>
        <w:tc>
          <w:tcPr>
            <w:tcW w:w="2126" w:type="dxa"/>
            <w:vAlign w:val="center"/>
          </w:tcPr>
          <w:p>
            <w:pPr>
              <w:pStyle w:val="15"/>
            </w:pPr>
            <w:r>
              <w:rPr>
                <w:rFonts w:hint="eastAsia"/>
              </w:rPr>
              <w:t>正科级</w:t>
            </w:r>
          </w:p>
        </w:tc>
        <w:tc>
          <w:tcPr>
            <w:tcW w:w="3827" w:type="dxa"/>
            <w:vAlign w:val="center"/>
          </w:tcPr>
          <w:p>
            <w:pPr>
              <w:pStyle w:val="15"/>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w:t>
      </w:r>
      <w:r>
        <w:rPr>
          <w:rFonts w:hint="eastAsia" w:ascii="黑体" w:hAnsi="黑体" w:eastAsia="黑体" w:cs="黑体"/>
          <w:color w:val="000000"/>
          <w:sz w:val="32"/>
          <w:lang w:val="en-US" w:eastAsia="zh-CN"/>
        </w:rPr>
        <w:t>单位</w:t>
      </w:r>
      <w:r>
        <w:rPr>
          <w:rFonts w:hint="eastAsia" w:ascii="黑体" w:hAnsi="黑体" w:eastAsia="黑体" w:cs="黑体"/>
          <w:color w:val="000000"/>
          <w:sz w:val="32"/>
        </w:rPr>
        <w:t>预算安排的总体情况</w:t>
      </w:r>
      <w:bookmarkEnd w:id="10"/>
    </w:p>
    <w:p>
      <w:pPr>
        <w:spacing w:line="500" w:lineRule="exact"/>
        <w:ind w:firstLine="560"/>
      </w:pPr>
      <w:r>
        <w:rPr>
          <w:rFonts w:hint="eastAsia" w:eastAsia="方正仿宋_GBK"/>
          <w:color w:val="000000"/>
          <w:sz w:val="28"/>
        </w:rPr>
        <w:t>按照预算管理有关规定，目前我省</w:t>
      </w:r>
      <w:r>
        <w:rPr>
          <w:rFonts w:hint="eastAsia" w:eastAsia="方正仿宋_GBK"/>
          <w:color w:val="000000"/>
          <w:sz w:val="28"/>
          <w:lang w:val="en-US" w:eastAsia="zh-CN"/>
        </w:rPr>
        <w:t>单位</w:t>
      </w:r>
      <w:r>
        <w:rPr>
          <w:rFonts w:hint="eastAsia" w:eastAsia="方正仿宋_GBK"/>
          <w:color w:val="000000"/>
          <w:sz w:val="28"/>
        </w:rPr>
        <w:t>预算的编制实行综合预算管理，即全部收入和支出都反映在预算中。中国共产党隆尧县纪律检查委员会机关及所属事业单位的收支包含在</w:t>
      </w:r>
      <w:r>
        <w:rPr>
          <w:rFonts w:hint="eastAsia" w:eastAsia="方正仿宋_GBK"/>
          <w:color w:val="000000"/>
          <w:sz w:val="28"/>
          <w:lang w:val="en-US" w:eastAsia="zh-CN"/>
        </w:rPr>
        <w:t>单位</w:t>
      </w:r>
      <w:r>
        <w:rPr>
          <w:rFonts w:hint="eastAsia" w:eastAsia="方正仿宋_GBK"/>
          <w:color w:val="000000"/>
          <w:sz w:val="28"/>
        </w:rPr>
        <w:t>预算中。</w:t>
      </w:r>
    </w:p>
    <w:p>
      <w:pPr>
        <w:pStyle w:val="20"/>
      </w:pPr>
      <w:r>
        <w:t>1</w:t>
      </w:r>
      <w:r>
        <w:rPr>
          <w:rFonts w:hint="eastAsia"/>
        </w:rPr>
        <w:t>、收入说明</w:t>
      </w:r>
    </w:p>
    <w:p>
      <w:pPr>
        <w:pStyle w:val="20"/>
      </w:pPr>
      <w:r>
        <w:rPr>
          <w:rFonts w:hint="eastAsia"/>
        </w:rPr>
        <w:t>反映本</w:t>
      </w:r>
      <w:r>
        <w:rPr>
          <w:rFonts w:hint="eastAsia"/>
          <w:lang w:val="en-US" w:eastAsia="zh-CN"/>
        </w:rPr>
        <w:t>单位</w:t>
      </w:r>
      <w:r>
        <w:rPr>
          <w:rFonts w:hint="eastAsia"/>
        </w:rPr>
        <w:t>当年全部收入。</w:t>
      </w:r>
      <w:r>
        <w:t>2022</w:t>
      </w:r>
      <w:r>
        <w:rPr>
          <w:rFonts w:hint="eastAsia"/>
        </w:rPr>
        <w:t>年预算收入</w:t>
      </w:r>
      <w:r>
        <w:t>1486.85101</w:t>
      </w:r>
      <w:r>
        <w:rPr>
          <w:rFonts w:hint="eastAsia"/>
        </w:rPr>
        <w:t>万元，其中：一般公共预算收入</w:t>
      </w:r>
      <w:r>
        <w:t>1486.85101</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0"/>
      </w:pPr>
      <w:r>
        <w:t>2</w:t>
      </w:r>
      <w:r>
        <w:rPr>
          <w:rFonts w:hint="eastAsia"/>
        </w:rPr>
        <w:t>、支出说明</w:t>
      </w:r>
    </w:p>
    <w:p>
      <w:pPr>
        <w:pStyle w:val="20"/>
      </w:pPr>
      <w:r>
        <w:rPr>
          <w:rFonts w:hint="eastAsia"/>
        </w:rPr>
        <w:t>收支预算总表支出栏、基本支出表、项目支出表按经济分类和支出功能分类科目编制，反映中共隆尧县纪委</w:t>
      </w:r>
      <w:r>
        <w:t>2022</w:t>
      </w:r>
      <w:r>
        <w:rPr>
          <w:rFonts w:hint="eastAsia"/>
        </w:rPr>
        <w:t>年度</w:t>
      </w:r>
      <w:r>
        <w:rPr>
          <w:rFonts w:hint="eastAsia"/>
          <w:lang w:val="en-US" w:eastAsia="zh-CN"/>
        </w:rPr>
        <w:t>单位</w:t>
      </w:r>
      <w:r>
        <w:rPr>
          <w:rFonts w:hint="eastAsia"/>
        </w:rPr>
        <w:t>预算中支出预算的总体情况。</w:t>
      </w:r>
      <w:r>
        <w:t>2022</w:t>
      </w:r>
      <w:r>
        <w:rPr>
          <w:rFonts w:hint="eastAsia"/>
        </w:rPr>
        <w:t>年支出预算为</w:t>
      </w:r>
      <w:r>
        <w:t>1486.85101</w:t>
      </w:r>
      <w:r>
        <w:rPr>
          <w:rFonts w:hint="eastAsia"/>
        </w:rPr>
        <w:t>万元，其中基本支出</w:t>
      </w:r>
      <w:r>
        <w:t>1062.05101</w:t>
      </w:r>
      <w:r>
        <w:rPr>
          <w:rFonts w:hint="eastAsia"/>
        </w:rPr>
        <w:t>万元，包括人员经费</w:t>
      </w:r>
      <w:r>
        <w:t>824.35101</w:t>
      </w:r>
      <w:r>
        <w:rPr>
          <w:rFonts w:hint="eastAsia"/>
        </w:rPr>
        <w:t>万元和日常公用经费</w:t>
      </w:r>
      <w:r>
        <w:t>237.7</w:t>
      </w:r>
      <w:r>
        <w:rPr>
          <w:rFonts w:hint="eastAsia"/>
        </w:rPr>
        <w:t>万元；项目支出</w:t>
      </w:r>
      <w:r>
        <w:t>424.8</w:t>
      </w:r>
      <w:r>
        <w:rPr>
          <w:rFonts w:hint="eastAsia"/>
        </w:rPr>
        <w:t>万元，主要为乡镇纪委工作经费、执纪执法经费、廉政展厅提升工程、巡察办工作经费、派驻纪检组工作经费、办公场所修缮、车辆购置、大数据监督平台、英才入冀人员房租补贴、外墙保温工程等。</w:t>
      </w:r>
    </w:p>
    <w:p>
      <w:pPr>
        <w:pStyle w:val="20"/>
      </w:pPr>
      <w:r>
        <w:t>3</w:t>
      </w:r>
      <w:r>
        <w:rPr>
          <w:rFonts w:hint="eastAsia"/>
        </w:rPr>
        <w:t>、比上年增减情况</w:t>
      </w:r>
    </w:p>
    <w:p>
      <w:pPr>
        <w:pStyle w:val="20"/>
      </w:pPr>
      <w:r>
        <w:t>2022</w:t>
      </w:r>
      <w:r>
        <w:rPr>
          <w:rFonts w:hint="eastAsia"/>
        </w:rPr>
        <w:t>年</w:t>
      </w:r>
      <w:r>
        <w:rPr>
          <w:rFonts w:hint="eastAsia"/>
          <w:lang w:val="en-US" w:eastAsia="zh-CN"/>
        </w:rPr>
        <w:t>单位</w:t>
      </w:r>
      <w:r>
        <w:rPr>
          <w:rFonts w:hint="eastAsia"/>
        </w:rPr>
        <w:t>预算收支安排</w:t>
      </w:r>
      <w:r>
        <w:t>1486.85101</w:t>
      </w:r>
      <w:r>
        <w:rPr>
          <w:rFonts w:hint="eastAsia"/>
        </w:rPr>
        <w:t>万元，较</w:t>
      </w:r>
      <w:r>
        <w:t>2021</w:t>
      </w:r>
      <w:r>
        <w:rPr>
          <w:rFonts w:hint="eastAsia"/>
        </w:rPr>
        <w:t>年增加</w:t>
      </w:r>
      <w:r>
        <w:t>34.12181</w:t>
      </w:r>
      <w:r>
        <w:rPr>
          <w:rFonts w:hint="eastAsia"/>
        </w:rPr>
        <w:t>万元，其中：基本支出增加</w:t>
      </w:r>
      <w:r>
        <w:t>191.90181</w:t>
      </w:r>
      <w:r>
        <w:rPr>
          <w:rFonts w:hint="eastAsia"/>
        </w:rPr>
        <w:t>万元，主要是人员增加，保障经费增加；项目支出减少</w:t>
      </w:r>
      <w:r>
        <w:t>157.78</w:t>
      </w:r>
      <w:r>
        <w:rPr>
          <w:rFonts w:hint="eastAsia"/>
        </w:rPr>
        <w:t>万元，主要因为项目较去年有所减少。</w:t>
      </w:r>
    </w:p>
    <w:p>
      <w:pPr>
        <w:pStyle w:val="20"/>
      </w:pP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1"/>
      </w:pPr>
      <w:r>
        <w:t>2022</w:t>
      </w:r>
      <w:r>
        <w:rPr>
          <w:rFonts w:hint="eastAsia"/>
        </w:rPr>
        <w:t>年，我</w:t>
      </w:r>
      <w:r>
        <w:rPr>
          <w:rFonts w:hint="eastAsia"/>
          <w:lang w:val="en-US" w:eastAsia="zh-CN"/>
        </w:rPr>
        <w:t>单位</w:t>
      </w:r>
      <w:r>
        <w:rPr>
          <w:rFonts w:hint="eastAsia"/>
        </w:rPr>
        <w:t>机关运行经费共计安排</w:t>
      </w:r>
      <w:r>
        <w:t>237.7</w:t>
      </w:r>
      <w:r>
        <w:rPr>
          <w:rFonts w:hint="eastAsia"/>
        </w:rPr>
        <w:t>万元，主要用于保证机关正常运转的办公及印刷费、邮电费、差旅费、会议费、福利费、办公设备购置费、办公用房水电费、办公用房取暖费、日常维修费、办公楼物业管理费等支出。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2"/>
      </w:pPr>
      <w:r>
        <w:t>2022</w:t>
      </w:r>
      <w:r>
        <w:rPr>
          <w:rFonts w:hint="eastAsia"/>
        </w:rPr>
        <w:t>年，我</w:t>
      </w:r>
      <w:r>
        <w:rPr>
          <w:rFonts w:hint="eastAsia"/>
          <w:lang w:val="en-US" w:eastAsia="zh-CN"/>
        </w:rPr>
        <w:t>单位</w:t>
      </w:r>
      <w:r>
        <w:rPr>
          <w:rFonts w:hint="eastAsia"/>
        </w:rPr>
        <w:t>财政拨款</w:t>
      </w:r>
      <w:r>
        <w:t>“</w:t>
      </w:r>
      <w:r>
        <w:rPr>
          <w:rFonts w:hint="eastAsia"/>
        </w:rPr>
        <w:t>三公</w:t>
      </w:r>
      <w:r>
        <w:t>”</w:t>
      </w:r>
      <w:r>
        <w:rPr>
          <w:rFonts w:hint="eastAsia"/>
        </w:rPr>
        <w:t>经费预算安排</w:t>
      </w:r>
      <w:r>
        <w:t>57</w:t>
      </w:r>
      <w:r>
        <w:rPr>
          <w:rFonts w:hint="eastAsia"/>
        </w:rPr>
        <w:t>万元，其中：因公出国（境）费</w:t>
      </w:r>
      <w:r>
        <w:t>0</w:t>
      </w:r>
      <w:r>
        <w:rPr>
          <w:rFonts w:hint="eastAsia"/>
        </w:rPr>
        <w:t>万元；公务用车购置及运维费</w:t>
      </w:r>
      <w:r>
        <w:t>56</w:t>
      </w:r>
      <w:r>
        <w:rPr>
          <w:rFonts w:hint="eastAsia"/>
        </w:rPr>
        <w:t>万元（其中：公务用车购置费</w:t>
      </w:r>
      <w:r>
        <w:t>56</w:t>
      </w:r>
      <w:r>
        <w:rPr>
          <w:rFonts w:hint="eastAsia"/>
        </w:rPr>
        <w:t>万元，公务用车运行维护费</w:t>
      </w:r>
      <w:r>
        <w:t>0</w:t>
      </w:r>
      <w:r>
        <w:rPr>
          <w:rFonts w:hint="eastAsia"/>
        </w:rPr>
        <w:t>万元</w:t>
      </w:r>
      <w:r>
        <w:t>)</w:t>
      </w:r>
      <w:r>
        <w:rPr>
          <w:rFonts w:hint="eastAsia"/>
        </w:rPr>
        <w:t>；公务接待费</w:t>
      </w:r>
      <w:r>
        <w:t>1</w:t>
      </w:r>
      <w:r>
        <w:rPr>
          <w:rFonts w:hint="eastAsia"/>
        </w:rPr>
        <w:t>万元。</w:t>
      </w:r>
      <w:r>
        <w:t>“</w:t>
      </w:r>
      <w:r>
        <w:rPr>
          <w:rFonts w:hint="eastAsia"/>
        </w:rPr>
        <w:t>三公</w:t>
      </w:r>
      <w:r>
        <w:t>”</w:t>
      </w:r>
      <w:r>
        <w:rPr>
          <w:rFonts w:hint="eastAsia"/>
        </w:rPr>
        <w:t>经费比上年增加</w:t>
      </w:r>
      <w:r>
        <w:t>32.32</w:t>
      </w:r>
      <w:r>
        <w:rPr>
          <w:rFonts w:hint="eastAsia"/>
        </w:rPr>
        <w:t>万元，主要原因是部分车辆使用年限较长，车况较差，符合相关规定，已进行处置，</w:t>
      </w:r>
      <w:r>
        <w:t>2022</w:t>
      </w:r>
      <w:r>
        <w:rPr>
          <w:rFonts w:hint="eastAsia"/>
        </w:rPr>
        <w:t>年需重新购置。</w:t>
      </w:r>
    </w:p>
    <w:p>
      <w:pPr>
        <w:pStyle w:val="22"/>
      </w:pP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lang w:val="en-US" w:eastAsia="zh-CN"/>
        </w:rPr>
        <w:t>单位</w:t>
      </w:r>
      <w:r>
        <w:rPr>
          <w:rFonts w:hint="eastAsia" w:ascii="方正楷体_GBK" w:hAnsi="方正楷体_GBK" w:eastAsia="方正楷体_GBK" w:cs="方正楷体_GBK"/>
          <w:b/>
          <w:color w:val="000000"/>
          <w:sz w:val="32"/>
        </w:rPr>
        <w:t>整体绩效目标</w:t>
      </w:r>
    </w:p>
    <w:p>
      <w:pPr>
        <w:spacing w:line="500" w:lineRule="exact"/>
        <w:ind w:firstLine="560"/>
      </w:pPr>
      <w:r>
        <w:rPr>
          <w:rFonts w:hint="eastAsia" w:eastAsia="方正仿宋_GBK"/>
          <w:color w:val="000000"/>
          <w:sz w:val="28"/>
        </w:rPr>
        <w:t>（一）总体绩效目标</w:t>
      </w:r>
    </w:p>
    <w:p>
      <w:pPr>
        <w:pStyle w:val="23"/>
      </w:pPr>
      <w:r>
        <w:rPr>
          <w:rFonts w:hint="eastAsia"/>
        </w:rPr>
        <w:t>在市纪委和县委的坚强领导下，隆尧县纪委监委认真学习习近平新时代中国特色社会主义思想，切实增强</w:t>
      </w:r>
      <w:r>
        <w:t>“</w:t>
      </w:r>
      <w:r>
        <w:rPr>
          <w:rFonts w:hint="eastAsia"/>
        </w:rPr>
        <w:t>四个意识</w:t>
      </w:r>
      <w:r>
        <w:t>”</w:t>
      </w:r>
      <w:r>
        <w:rPr>
          <w:rFonts w:hint="eastAsia"/>
        </w:rPr>
        <w:t>、坚定</w:t>
      </w:r>
      <w:r>
        <w:t>“</w:t>
      </w:r>
      <w:r>
        <w:rPr>
          <w:rFonts w:hint="eastAsia"/>
        </w:rPr>
        <w:t>四个自信</w:t>
      </w:r>
      <w:r>
        <w:t>”</w:t>
      </w:r>
      <w:r>
        <w:rPr>
          <w:rFonts w:hint="eastAsia"/>
        </w:rPr>
        <w:t>、做到</w:t>
      </w:r>
      <w:r>
        <w:t>“</w:t>
      </w:r>
      <w:r>
        <w:rPr>
          <w:rFonts w:hint="eastAsia"/>
        </w:rPr>
        <w:t>两个维护</w:t>
      </w:r>
      <w:r>
        <w:t>”</w:t>
      </w:r>
      <w:r>
        <w:rPr>
          <w:rFonts w:hint="eastAsia"/>
        </w:rPr>
        <w:t>，聚焦主责主业，强化监督执纪问责，持之以恒正风肃纪，深入推进党风廉政建设和反腐败斗争取得新成效，为全县经济社会高质量赶超发展提供坚强纪律保障。</w:t>
      </w:r>
    </w:p>
    <w:p>
      <w:pPr>
        <w:spacing w:line="500" w:lineRule="exact"/>
        <w:ind w:firstLine="560"/>
      </w:pPr>
      <w:r>
        <w:rPr>
          <w:rFonts w:hint="eastAsia" w:eastAsia="方正仿宋_GBK"/>
          <w:color w:val="000000"/>
          <w:sz w:val="28"/>
        </w:rPr>
        <w:t>（二）分项绩效目标</w:t>
      </w:r>
    </w:p>
    <w:p>
      <w:pPr>
        <w:pStyle w:val="24"/>
      </w:pPr>
      <w:r>
        <w:t>1</w:t>
      </w:r>
      <w:r>
        <w:rPr>
          <w:rFonts w:hint="eastAsia"/>
        </w:rPr>
        <w:t>、着力强化政治监督，坚决做到</w:t>
      </w:r>
      <w:r>
        <w:t>“</w:t>
      </w:r>
      <w:r>
        <w:rPr>
          <w:rFonts w:hint="eastAsia"/>
        </w:rPr>
        <w:t>两个维护</w:t>
      </w:r>
      <w:r>
        <w:t>”</w:t>
      </w:r>
    </w:p>
    <w:p>
      <w:pPr>
        <w:pStyle w:val="24"/>
      </w:pPr>
      <w:r>
        <w:rPr>
          <w:rFonts w:hint="eastAsia"/>
        </w:rP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pStyle w:val="24"/>
      </w:pPr>
      <w:r>
        <w:rPr>
          <w:rFonts w:hint="eastAsia"/>
        </w:rPr>
        <w:t>绩效指标：各项政策落实落地，群众满意度不低于</w:t>
      </w:r>
      <w:r>
        <w:t xml:space="preserve">95% </w:t>
      </w:r>
      <w:r>
        <w:rPr>
          <w:rFonts w:hint="eastAsia"/>
        </w:rPr>
        <w:t>。</w:t>
      </w:r>
    </w:p>
    <w:p>
      <w:pPr>
        <w:pStyle w:val="24"/>
      </w:pPr>
      <w:r>
        <w:t>2</w:t>
      </w:r>
      <w:r>
        <w:rPr>
          <w:rFonts w:hint="eastAsia"/>
        </w:rPr>
        <w:t>、着力深化体制改革，把改革成果转化为治理效能</w:t>
      </w:r>
      <w:r>
        <w:t xml:space="preserve"> </w:t>
      </w:r>
    </w:p>
    <w:p>
      <w:pPr>
        <w:pStyle w:val="24"/>
      </w:pPr>
      <w:r>
        <w:rPr>
          <w:rFonts w:hint="eastAsia"/>
        </w:rPr>
        <w:t>绩效目标：结合深化乡镇改革，持续加强乡镇纪委标准化规范化建设，积极探索推进派驻机构标准化规范化建设。制发《派驻机构标准化规范化建设手册》及相关文件制度，打造标准化办公场所。</w:t>
      </w:r>
    </w:p>
    <w:p>
      <w:pPr>
        <w:pStyle w:val="24"/>
      </w:pPr>
      <w:r>
        <w:rPr>
          <w:rFonts w:hint="eastAsia"/>
        </w:rPr>
        <w:t>绩效指标：加强设备保障，办案人员满意度不低于</w:t>
      </w:r>
      <w:r>
        <w:t>95%</w:t>
      </w:r>
      <w:r>
        <w:rPr>
          <w:rFonts w:hint="eastAsia"/>
        </w:rPr>
        <w:t>。</w:t>
      </w:r>
      <w:r>
        <w:t xml:space="preserve"> </w:t>
      </w:r>
    </w:p>
    <w:p>
      <w:pPr>
        <w:pStyle w:val="24"/>
      </w:pPr>
      <w:r>
        <w:t>3</w:t>
      </w:r>
      <w:r>
        <w:rPr>
          <w:rFonts w:hint="eastAsia"/>
        </w:rPr>
        <w:t>、着力发挥监督专责作用，做细做实监督工作</w:t>
      </w:r>
    </w:p>
    <w:p>
      <w:pPr>
        <w:pStyle w:val="24"/>
      </w:pPr>
      <w:r>
        <w:rPr>
          <w:rFonts w:hint="eastAsia"/>
        </w:rPr>
        <w:t>绩效目标：加强同级监督，明确党委领导班子及其成员在履行职责、行使权力和廉洁自律等</w:t>
      </w:r>
      <w:r>
        <w:t>8</w:t>
      </w:r>
      <w:r>
        <w:rPr>
          <w:rFonts w:hint="eastAsia"/>
        </w:rPr>
        <w:t>项监督内容。加强乡镇机构改革监督。通过制定监督事项清单将</w:t>
      </w:r>
      <w:r>
        <w:t>298</w:t>
      </w:r>
      <w:r>
        <w:rPr>
          <w:rFonts w:hint="eastAsia"/>
        </w:rPr>
        <w:t>项监督内容细化风险等级，建立常态化监督检查和定期抽查机制。充分发挥村级监督</w:t>
      </w:r>
      <w:r>
        <w:t>“</w:t>
      </w:r>
      <w:r>
        <w:rPr>
          <w:rFonts w:hint="eastAsia"/>
        </w:rPr>
        <w:t>前沿哨</w:t>
      </w:r>
      <w:r>
        <w:t>”</w:t>
      </w:r>
      <w:r>
        <w:rPr>
          <w:rFonts w:hint="eastAsia"/>
        </w:rPr>
        <w:t>作用。推进</w:t>
      </w:r>
      <w:r>
        <w:t>“</w:t>
      </w:r>
      <w:r>
        <w:rPr>
          <w:rFonts w:hint="eastAsia"/>
        </w:rPr>
        <w:t>大数据</w:t>
      </w:r>
      <w:r>
        <w:t>”</w:t>
      </w:r>
      <w:r>
        <w:rPr>
          <w:rFonts w:hint="eastAsia"/>
        </w:rPr>
        <w:t>监督平台建设，加强科学精准监督。</w:t>
      </w:r>
    </w:p>
    <w:p>
      <w:pPr>
        <w:pStyle w:val="24"/>
      </w:pPr>
      <w:r>
        <w:rPr>
          <w:rFonts w:hint="eastAsia"/>
        </w:rPr>
        <w:t>绩效指标：开展警示教育宣传。</w:t>
      </w:r>
    </w:p>
    <w:p>
      <w:pPr>
        <w:pStyle w:val="24"/>
      </w:pPr>
      <w:r>
        <w:t>4</w:t>
      </w:r>
      <w:r>
        <w:rPr>
          <w:rFonts w:hint="eastAsia"/>
        </w:rPr>
        <w:t>、着力巩固拓展作风建设成效，推动化风成俗、成为习惯</w:t>
      </w:r>
    </w:p>
    <w:p>
      <w:pPr>
        <w:pStyle w:val="24"/>
      </w:pPr>
      <w:r>
        <w:rPr>
          <w:rFonts w:hint="eastAsia"/>
        </w:rPr>
        <w:t>绩效目标：深入贯彻落实中央八项规定精神，开展督查活动。通过召开警示教育大会、印发学习资料、加强廉政教育基地建设强化警示教育。</w:t>
      </w:r>
    </w:p>
    <w:p>
      <w:pPr>
        <w:pStyle w:val="24"/>
      </w:pPr>
      <w:r>
        <w:rPr>
          <w:rFonts w:hint="eastAsia"/>
        </w:rPr>
        <w:t>绩效指标：对发现问题全部整改到位。</w:t>
      </w:r>
    </w:p>
    <w:p>
      <w:pPr>
        <w:pStyle w:val="24"/>
      </w:pPr>
      <w:r>
        <w:t>5</w:t>
      </w:r>
      <w:r>
        <w:rPr>
          <w:rFonts w:hint="eastAsia"/>
        </w:rPr>
        <w:t>、着力强化政治巡察，不断提升巡察工作水平</w:t>
      </w:r>
    </w:p>
    <w:p>
      <w:pPr>
        <w:pStyle w:val="24"/>
      </w:pPr>
      <w:r>
        <w:rPr>
          <w:rFonts w:hint="eastAsia"/>
        </w:rPr>
        <w:t>绩效目标：明确巡察重点，抓好整改落实工作，修订完善《抽调农村纪检员参与巡察工作暂行办法》等</w:t>
      </w:r>
      <w:r>
        <w:t>8</w:t>
      </w:r>
      <w:r>
        <w:rPr>
          <w:rFonts w:hint="eastAsia"/>
        </w:rPr>
        <w:t>项工作制度。</w:t>
      </w:r>
    </w:p>
    <w:p>
      <w:pPr>
        <w:pStyle w:val="24"/>
      </w:pPr>
      <w:r>
        <w:rPr>
          <w:rFonts w:hint="eastAsia"/>
        </w:rPr>
        <w:t>绩效指标：巡察实现重点领域全覆盖。</w:t>
      </w:r>
    </w:p>
    <w:p>
      <w:pPr>
        <w:pStyle w:val="24"/>
      </w:pPr>
      <w:r>
        <w:t>6</w:t>
      </w:r>
      <w:r>
        <w:rPr>
          <w:rFonts w:hint="eastAsia"/>
        </w:rPr>
        <w:t>、着力锤炼干部作风，建设政治过硬、本领高强的纪律铁军</w:t>
      </w:r>
    </w:p>
    <w:p>
      <w:pPr>
        <w:pStyle w:val="24"/>
      </w:pPr>
      <w:r>
        <w:rPr>
          <w:rFonts w:hint="eastAsia"/>
        </w:rPr>
        <w:t>绩效目标：坚持严管厚爱，加强业务知识培训。通过开办</w:t>
      </w:r>
      <w:r>
        <w:t>“</w:t>
      </w:r>
      <w:r>
        <w:rPr>
          <w:rFonts w:hint="eastAsia"/>
        </w:rPr>
        <w:t>周一夜校</w:t>
      </w:r>
      <w:r>
        <w:t>”</w:t>
      </w:r>
      <w:r>
        <w:rPr>
          <w:rFonts w:hint="eastAsia"/>
        </w:rPr>
        <w:t>和岗位实战练兵相结合，切实提升履职能力，强化考核激励。</w:t>
      </w:r>
    </w:p>
    <w:p>
      <w:pPr>
        <w:pStyle w:val="24"/>
      </w:pPr>
      <w:r>
        <w:rPr>
          <w:rFonts w:hint="eastAsia"/>
        </w:rPr>
        <w:t>绩效指标：开展业务培训不少于</w:t>
      </w:r>
      <w:r>
        <w:t>2</w:t>
      </w:r>
      <w:r>
        <w:rPr>
          <w:rFonts w:hint="eastAsia"/>
        </w:rPr>
        <w:t>场；培训合格率不低于</w:t>
      </w:r>
      <w:r>
        <w:t>95%</w:t>
      </w:r>
      <w:r>
        <w:rPr>
          <w:rFonts w:hint="eastAsia"/>
        </w:rPr>
        <w:t>；受培训人员满意度不低于</w:t>
      </w:r>
      <w:r>
        <w:t>95%</w:t>
      </w:r>
      <w:r>
        <w:rPr>
          <w:rFonts w:hint="eastAsia"/>
        </w:rPr>
        <w:t>。</w:t>
      </w:r>
    </w:p>
    <w:p>
      <w:pPr>
        <w:pStyle w:val="24"/>
      </w:pPr>
    </w:p>
    <w:p>
      <w:pPr>
        <w:spacing w:line="500" w:lineRule="exact"/>
        <w:ind w:firstLine="560"/>
      </w:pPr>
      <w:r>
        <w:rPr>
          <w:rFonts w:hint="eastAsia" w:eastAsia="方正仿宋_GBK"/>
          <w:color w:val="000000"/>
          <w:sz w:val="28"/>
        </w:rPr>
        <w:t>（三）工作保障措施</w:t>
      </w:r>
    </w:p>
    <w:p>
      <w:pPr>
        <w:pStyle w:val="25"/>
      </w:pPr>
      <w:r>
        <w:t>1</w:t>
      </w:r>
      <w:r>
        <w:rPr>
          <w:rFonts w:hint="eastAsia"/>
        </w:rPr>
        <w:t>、完善制度建设。制定完善预算绩效管理制度、资金管理办法、工作保障制度等，为全年预算绩效目标实现奠定制度基础。</w:t>
      </w:r>
    </w:p>
    <w:p>
      <w:pPr>
        <w:pStyle w:val="25"/>
      </w:pPr>
      <w:r>
        <w:t>2</w:t>
      </w:r>
      <w:r>
        <w:rPr>
          <w:rFonts w:hint="eastAsia"/>
        </w:rPr>
        <w:t>、加强支出管理。通过优化支出结构、编细编实预算、加快履行政府采购手续、按规定及时下达资金等多种措施，确保支出进度达标。</w:t>
      </w:r>
      <w:r>
        <w:t xml:space="preserve"> </w:t>
      </w:r>
    </w:p>
    <w:p>
      <w:pPr>
        <w:pStyle w:val="25"/>
      </w:pPr>
      <w:r>
        <w:t>3</w:t>
      </w:r>
      <w:r>
        <w:rPr>
          <w:rFonts w:hint="eastAsia"/>
        </w:rPr>
        <w:t>、加强绩效运行监控。按要求开展绩效运行监控，发现问题及时采取措施，确保绩效目标如期保质实现。</w:t>
      </w:r>
    </w:p>
    <w:p>
      <w:pPr>
        <w:pStyle w:val="25"/>
      </w:pPr>
      <w:r>
        <w:t>4</w:t>
      </w:r>
      <w:r>
        <w:rPr>
          <w:rFonts w:hint="eastAsia"/>
        </w:rPr>
        <w:t>、做好绩效自评。按要求开展上年度</w:t>
      </w:r>
      <w:r>
        <w:rPr>
          <w:rFonts w:hint="eastAsia"/>
          <w:lang w:val="en-US" w:eastAsia="zh-CN"/>
        </w:rPr>
        <w:t>单位</w:t>
      </w:r>
      <w:r>
        <w:rPr>
          <w:rFonts w:hint="eastAsia"/>
        </w:rPr>
        <w:t>预算绩效自评和重点评价工作，对评价中发现的问题及时整改，调整优化支出结构，提高财政资金使用效益。</w:t>
      </w:r>
    </w:p>
    <w:p>
      <w:pPr>
        <w:pStyle w:val="25"/>
      </w:pPr>
      <w:r>
        <w:t>5</w:t>
      </w:r>
      <w:r>
        <w:rPr>
          <w:rFonts w:hint="eastAsia"/>
        </w:rPr>
        <w:t>、规范财务资产管理。完善财务管理制度，严格审批程序，加强固定资产登记、使用和报废处置管理，做到支出合理，物尽其用。</w:t>
      </w:r>
    </w:p>
    <w:p>
      <w:pPr>
        <w:pStyle w:val="25"/>
      </w:pPr>
      <w:r>
        <w:t>6</w:t>
      </w: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w:t>
      </w:r>
      <w:r>
        <w:rPr>
          <w:rFonts w:hint="eastAsia"/>
        </w:rPr>
        <w:t>、加强宣传培训调研。加强人员培训，提高本</w:t>
      </w:r>
      <w:r>
        <w:rPr>
          <w:rFonts w:hint="eastAsia"/>
          <w:lang w:val="en-US" w:eastAsia="zh-CN"/>
        </w:rPr>
        <w:t>单位</w:t>
      </w:r>
      <w:r>
        <w:rPr>
          <w:rFonts w:hint="eastAsia"/>
        </w:rPr>
        <w:t>职工业务素质；加强调研，提出优化财政资金配置、提高资金使用效益的意见；加大宣传力度，强化绩效管理意识，促进预算绩效管理水平进一步提升。</w:t>
      </w:r>
    </w:p>
    <w:p>
      <w:pPr>
        <w:pStyle w:val="25"/>
      </w:pPr>
    </w:p>
    <w:p>
      <w:pPr>
        <w:ind w:firstLine="640"/>
      </w:pPr>
      <w:r>
        <w:rPr>
          <w:rFonts w:hint="eastAsia" w:ascii="方正楷体_GBK" w:hAnsi="方正楷体_GBK" w:eastAsia="方正楷体_GBK" w:cs="方正楷体_GBK"/>
          <w:b/>
          <w:color w:val="000000"/>
          <w:sz w:val="32"/>
        </w:rPr>
        <w:t>第二部分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pStyle w:val="26"/>
        <w:ind w:firstLine="640"/>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pStyle w:val="26"/>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、办公场所修缮绩效目标表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及时支付办公场所修缮尾款</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支付数额</w:t>
            </w:r>
          </w:p>
        </w:tc>
        <w:tc>
          <w:tcPr>
            <w:tcW w:w="2835" w:type="dxa"/>
            <w:vAlign w:val="center"/>
          </w:tcPr>
          <w:p>
            <w:pPr>
              <w:pStyle w:val="28"/>
            </w:pPr>
            <w:r>
              <w:rPr>
                <w:rFonts w:hint="eastAsia"/>
              </w:rPr>
              <w:t>支付数额</w:t>
            </w:r>
          </w:p>
        </w:tc>
        <w:tc>
          <w:tcPr>
            <w:tcW w:w="2551" w:type="dxa"/>
            <w:vAlign w:val="center"/>
          </w:tcPr>
          <w:p>
            <w:pPr>
              <w:pStyle w:val="28"/>
            </w:pPr>
            <w:r>
              <w:rPr>
                <w:rFonts w:hint="eastAsia"/>
              </w:rPr>
              <w:t>≤</w:t>
            </w:r>
            <w:r>
              <w:t>21.6</w:t>
            </w:r>
            <w:r>
              <w:rPr>
                <w:rFonts w:hint="eastAsia"/>
              </w:rPr>
              <w:t>万</w:t>
            </w:r>
          </w:p>
        </w:tc>
        <w:tc>
          <w:tcPr>
            <w:tcW w:w="2268" w:type="dxa"/>
            <w:vAlign w:val="center"/>
          </w:tcPr>
          <w:p>
            <w:pPr>
              <w:pStyle w:val="28"/>
            </w:pPr>
            <w:r>
              <w:rPr>
                <w:rFonts w:hint="eastAsia"/>
              </w:rPr>
              <w:t>合同尾款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工程完成质量</w:t>
            </w:r>
          </w:p>
        </w:tc>
        <w:tc>
          <w:tcPr>
            <w:tcW w:w="2835" w:type="dxa"/>
            <w:vAlign w:val="center"/>
          </w:tcPr>
          <w:p>
            <w:pPr>
              <w:pStyle w:val="28"/>
            </w:pPr>
            <w:r>
              <w:rPr>
                <w:rFonts w:hint="eastAsia"/>
              </w:rPr>
              <w:t>工程完成质量</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支付及时</w:t>
            </w:r>
          </w:p>
        </w:tc>
        <w:tc>
          <w:tcPr>
            <w:tcW w:w="2835" w:type="dxa"/>
            <w:vAlign w:val="center"/>
          </w:tcPr>
          <w:p>
            <w:pPr>
              <w:pStyle w:val="28"/>
            </w:pPr>
            <w:r>
              <w:rPr>
                <w:rFonts w:hint="eastAsia"/>
              </w:rPr>
              <w:t>支付及时</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21.6</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办公环境改善情况</w:t>
            </w:r>
          </w:p>
        </w:tc>
        <w:tc>
          <w:tcPr>
            <w:tcW w:w="2835" w:type="dxa"/>
            <w:vAlign w:val="center"/>
          </w:tcPr>
          <w:p>
            <w:pPr>
              <w:pStyle w:val="28"/>
            </w:pPr>
            <w:r>
              <w:rPr>
                <w:rFonts w:hint="eastAsia"/>
              </w:rPr>
              <w:t>办公环境改善情况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支付是否及时</w:t>
            </w:r>
          </w:p>
        </w:tc>
        <w:tc>
          <w:tcPr>
            <w:tcW w:w="2835" w:type="dxa"/>
            <w:vAlign w:val="center"/>
          </w:tcPr>
          <w:p>
            <w:pPr>
              <w:pStyle w:val="28"/>
            </w:pPr>
            <w:r>
              <w:rPr>
                <w:rFonts w:hint="eastAsia"/>
              </w:rPr>
              <w:t>支付是否及时</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bl>
    <w:p>
      <w:pPr>
        <w:pStyle w:val="26"/>
      </w:pPr>
    </w:p>
    <w:p>
      <w:pPr>
        <w:pStyle w:val="26"/>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、车辆购置绩效目标表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满足执法执勤需要</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购车数量</w:t>
            </w:r>
          </w:p>
        </w:tc>
        <w:tc>
          <w:tcPr>
            <w:tcW w:w="2835" w:type="dxa"/>
            <w:vAlign w:val="center"/>
          </w:tcPr>
          <w:p>
            <w:pPr>
              <w:pStyle w:val="28"/>
            </w:pPr>
            <w:r>
              <w:rPr>
                <w:rFonts w:hint="eastAsia"/>
              </w:rPr>
              <w:t>购车数量</w:t>
            </w:r>
          </w:p>
        </w:tc>
        <w:tc>
          <w:tcPr>
            <w:tcW w:w="2551" w:type="dxa"/>
            <w:vAlign w:val="center"/>
          </w:tcPr>
          <w:p>
            <w:pPr>
              <w:pStyle w:val="28"/>
            </w:pPr>
            <w:r>
              <w:t>4</w:t>
            </w:r>
            <w:r>
              <w:rPr>
                <w:rFonts w:hint="eastAsia"/>
              </w:rPr>
              <w:t>辆</w:t>
            </w:r>
          </w:p>
        </w:tc>
        <w:tc>
          <w:tcPr>
            <w:tcW w:w="2268" w:type="dxa"/>
            <w:vAlign w:val="center"/>
          </w:tcPr>
          <w:p>
            <w:pPr>
              <w:pStyle w:val="28"/>
            </w:pPr>
            <w:r>
              <w:rPr>
                <w:rFonts w:hint="eastAsia"/>
              </w:rPr>
              <w:t>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故障率</w:t>
            </w:r>
          </w:p>
        </w:tc>
        <w:tc>
          <w:tcPr>
            <w:tcW w:w="2835" w:type="dxa"/>
            <w:vAlign w:val="center"/>
          </w:tcPr>
          <w:p>
            <w:pPr>
              <w:pStyle w:val="28"/>
            </w:pPr>
            <w:r>
              <w:rPr>
                <w:rFonts w:hint="eastAsia"/>
              </w:rPr>
              <w:t>故障率</w:t>
            </w:r>
          </w:p>
        </w:tc>
        <w:tc>
          <w:tcPr>
            <w:tcW w:w="2551" w:type="dxa"/>
            <w:vAlign w:val="center"/>
          </w:tcPr>
          <w:p>
            <w:pPr>
              <w:pStyle w:val="28"/>
            </w:pPr>
            <w:r>
              <w:rPr>
                <w:rFonts w:hint="eastAsia"/>
              </w:rPr>
              <w:t>≤</w:t>
            </w:r>
            <w:r>
              <w:t>20</w:t>
            </w:r>
            <w:r>
              <w:rPr>
                <w:rFonts w:hint="eastAsia"/>
              </w:rPr>
              <w:t>百分比</w:t>
            </w:r>
          </w:p>
        </w:tc>
        <w:tc>
          <w:tcPr>
            <w:tcW w:w="2268" w:type="dxa"/>
            <w:vAlign w:val="center"/>
          </w:tcPr>
          <w:p>
            <w:pPr>
              <w:pStyle w:val="28"/>
            </w:pPr>
            <w:r>
              <w:rPr>
                <w:rFonts w:hint="eastAsia"/>
              </w:rPr>
              <w:t>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购车时间</w:t>
            </w:r>
          </w:p>
        </w:tc>
        <w:tc>
          <w:tcPr>
            <w:tcW w:w="2835" w:type="dxa"/>
            <w:vAlign w:val="center"/>
          </w:tcPr>
          <w:p>
            <w:pPr>
              <w:pStyle w:val="28"/>
            </w:pPr>
            <w:r>
              <w:rPr>
                <w:rFonts w:hint="eastAsia"/>
              </w:rPr>
              <w:t>购车时间</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56</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完成执法执勤需要</w:t>
            </w:r>
          </w:p>
        </w:tc>
        <w:tc>
          <w:tcPr>
            <w:tcW w:w="2835" w:type="dxa"/>
            <w:vAlign w:val="center"/>
          </w:tcPr>
          <w:p>
            <w:pPr>
              <w:pStyle w:val="28"/>
            </w:pPr>
            <w:r>
              <w:rPr>
                <w:rFonts w:hint="eastAsia"/>
              </w:rPr>
              <w:t>完成执法执勤需要</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故障率</w:t>
            </w:r>
          </w:p>
        </w:tc>
        <w:tc>
          <w:tcPr>
            <w:tcW w:w="2835" w:type="dxa"/>
            <w:vAlign w:val="center"/>
          </w:tcPr>
          <w:p>
            <w:pPr>
              <w:pStyle w:val="28"/>
            </w:pPr>
            <w:r>
              <w:rPr>
                <w:rFonts w:hint="eastAsia"/>
              </w:rPr>
              <w:t>故障率</w:t>
            </w:r>
          </w:p>
        </w:tc>
        <w:tc>
          <w:tcPr>
            <w:tcW w:w="2551" w:type="dxa"/>
            <w:vAlign w:val="center"/>
          </w:tcPr>
          <w:p>
            <w:pPr>
              <w:pStyle w:val="28"/>
            </w:pPr>
            <w:r>
              <w:rPr>
                <w:rFonts w:hint="eastAsia"/>
              </w:rPr>
              <w:t>≤</w:t>
            </w:r>
            <w:r>
              <w:t>20</w:t>
            </w:r>
            <w:r>
              <w:rPr>
                <w:rFonts w:hint="eastAsia"/>
              </w:rPr>
              <w:t>百分比</w:t>
            </w:r>
          </w:p>
        </w:tc>
        <w:tc>
          <w:tcPr>
            <w:tcW w:w="2268" w:type="dxa"/>
            <w:vAlign w:val="center"/>
          </w:tcPr>
          <w:p>
            <w:pPr>
              <w:pStyle w:val="28"/>
            </w:pPr>
            <w:r>
              <w:rPr>
                <w:rFonts w:hint="eastAsia"/>
              </w:rPr>
              <w:t>安全保障</w:t>
            </w:r>
          </w:p>
        </w:tc>
      </w:tr>
    </w:tbl>
    <w:p>
      <w:pPr>
        <w:pStyle w:val="26"/>
      </w:pPr>
    </w:p>
    <w:p>
      <w:pPr>
        <w:pStyle w:val="26"/>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、大数据监督平台绩效目标表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将大数据与党风廉政建设和反腐败工作有机融合，进一步提升监督实效。</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发挥监督作用程度</w:t>
            </w:r>
          </w:p>
        </w:tc>
        <w:tc>
          <w:tcPr>
            <w:tcW w:w="2835" w:type="dxa"/>
            <w:vAlign w:val="center"/>
          </w:tcPr>
          <w:p>
            <w:pPr>
              <w:pStyle w:val="28"/>
            </w:pPr>
            <w:r>
              <w:rPr>
                <w:rFonts w:hint="eastAsia"/>
              </w:rPr>
              <w:t>发挥监督作用程度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20</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大数据监督平台作用效果</w:t>
            </w:r>
          </w:p>
        </w:tc>
        <w:tc>
          <w:tcPr>
            <w:tcW w:w="2835" w:type="dxa"/>
            <w:vAlign w:val="center"/>
          </w:tcPr>
          <w:p>
            <w:pPr>
              <w:pStyle w:val="28"/>
            </w:pPr>
            <w:r>
              <w:rPr>
                <w:rFonts w:hint="eastAsia"/>
              </w:rPr>
              <w:t>监督效果是否提升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、廉政展厅提升工程绩效目标表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利用廉政教育展厅，引导广大党员干部增强廉洁自律意识，坚守思想道德底线。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开展警示教育次数</w:t>
            </w:r>
          </w:p>
        </w:tc>
        <w:tc>
          <w:tcPr>
            <w:tcW w:w="2835" w:type="dxa"/>
            <w:vAlign w:val="center"/>
          </w:tcPr>
          <w:p>
            <w:pPr>
              <w:pStyle w:val="28"/>
            </w:pPr>
            <w:r>
              <w:rPr>
                <w:rFonts w:hint="eastAsia"/>
              </w:rPr>
              <w:t>开展警示教育次数</w:t>
            </w:r>
          </w:p>
        </w:tc>
        <w:tc>
          <w:tcPr>
            <w:tcW w:w="2551" w:type="dxa"/>
            <w:vAlign w:val="center"/>
          </w:tcPr>
          <w:p>
            <w:pPr>
              <w:pStyle w:val="28"/>
            </w:pPr>
            <w:r>
              <w:rPr>
                <w:rFonts w:hint="eastAsia"/>
              </w:rPr>
              <w:t>≥</w:t>
            </w:r>
            <w:r>
              <w:t>3</w:t>
            </w:r>
            <w:r>
              <w:rPr>
                <w:rFonts w:hint="eastAsia"/>
              </w:rPr>
              <w:t>次</w:t>
            </w:r>
          </w:p>
        </w:tc>
        <w:tc>
          <w:tcPr>
            <w:tcW w:w="2268" w:type="dxa"/>
            <w:vAlign w:val="center"/>
          </w:tcPr>
          <w:p>
            <w:pPr>
              <w:pStyle w:val="28"/>
            </w:pPr>
            <w:r>
              <w:rPr>
                <w:rFonts w:hint="eastAsia"/>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廉政展厅建设情况</w:t>
            </w:r>
          </w:p>
        </w:tc>
        <w:tc>
          <w:tcPr>
            <w:tcW w:w="2835" w:type="dxa"/>
            <w:vAlign w:val="center"/>
          </w:tcPr>
          <w:p>
            <w:pPr>
              <w:pStyle w:val="28"/>
            </w:pPr>
            <w:r>
              <w:rPr>
                <w:rFonts w:hint="eastAsia"/>
              </w:rPr>
              <w:t>维护维修次数</w:t>
            </w:r>
          </w:p>
        </w:tc>
        <w:tc>
          <w:tcPr>
            <w:tcW w:w="2551" w:type="dxa"/>
            <w:vAlign w:val="center"/>
          </w:tcPr>
          <w:p>
            <w:pPr>
              <w:pStyle w:val="28"/>
            </w:pPr>
            <w:r>
              <w:rPr>
                <w:rFonts w:hint="eastAsia"/>
              </w:rPr>
              <w:t>≥</w:t>
            </w:r>
            <w:r>
              <w:t>4</w:t>
            </w:r>
            <w:r>
              <w:rPr>
                <w:rFonts w:hint="eastAsia"/>
              </w:rPr>
              <w:t>次</w:t>
            </w:r>
          </w:p>
        </w:tc>
        <w:tc>
          <w:tcPr>
            <w:tcW w:w="2268" w:type="dxa"/>
            <w:vAlign w:val="center"/>
          </w:tcPr>
          <w:p>
            <w:pPr>
              <w:pStyle w:val="28"/>
            </w:pPr>
            <w:r>
              <w:rPr>
                <w:rFonts w:hint="eastAsia"/>
              </w:rPr>
              <w:t>展厅维护需要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完成及时率</w:t>
            </w:r>
          </w:p>
        </w:tc>
        <w:tc>
          <w:tcPr>
            <w:tcW w:w="2835" w:type="dxa"/>
            <w:vAlign w:val="center"/>
          </w:tcPr>
          <w:p>
            <w:pPr>
              <w:pStyle w:val="28"/>
            </w:pPr>
            <w:r>
              <w:rPr>
                <w:rFonts w:hint="eastAsia"/>
              </w:rPr>
              <w:t>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40</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增强廉洁自律意识，坚守思想道德底线。</w:t>
            </w:r>
          </w:p>
        </w:tc>
        <w:tc>
          <w:tcPr>
            <w:tcW w:w="2835" w:type="dxa"/>
            <w:vAlign w:val="center"/>
          </w:tcPr>
          <w:p>
            <w:pPr>
              <w:pStyle w:val="28"/>
            </w:pPr>
            <w:r>
              <w:rPr>
                <w:rFonts w:hint="eastAsia"/>
              </w:rPr>
              <w:t>增强廉洁自律意识，坚守思想道德底线。</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参观人员满意度</w:t>
            </w:r>
          </w:p>
        </w:tc>
        <w:tc>
          <w:tcPr>
            <w:tcW w:w="2835" w:type="dxa"/>
            <w:vAlign w:val="center"/>
          </w:tcPr>
          <w:p>
            <w:pPr>
              <w:pStyle w:val="28"/>
            </w:pPr>
            <w:r>
              <w:rPr>
                <w:rFonts w:hint="eastAsia"/>
              </w:rPr>
              <w:t>参观人员满意度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bl>
    <w:p>
      <w:pPr>
        <w:pStyle w:val="26"/>
      </w:pPr>
    </w:p>
    <w:p>
      <w:pPr>
        <w:pStyle w:val="26"/>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、派驻纪检组工作经费绩效目标表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对驻在部门的党组织和党员领导干部进行监督</w:t>
            </w:r>
            <w:r>
              <w:tab/>
            </w:r>
            <w:r>
              <w:tab/>
            </w:r>
            <w:r>
              <w:tab/>
            </w:r>
            <w:r>
              <w:tab/>
            </w:r>
          </w:p>
          <w:p>
            <w:pPr>
              <w:pStyle w:val="28"/>
            </w:pP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监督检查率</w:t>
            </w:r>
          </w:p>
        </w:tc>
        <w:tc>
          <w:tcPr>
            <w:tcW w:w="2835" w:type="dxa"/>
            <w:vAlign w:val="center"/>
          </w:tcPr>
          <w:p>
            <w:pPr>
              <w:pStyle w:val="28"/>
            </w:pPr>
            <w:r>
              <w:rPr>
                <w:rFonts w:hint="eastAsia"/>
              </w:rPr>
              <w:t>监督检查情况</w:t>
            </w:r>
            <w:r>
              <w:tab/>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r>
              <w:tab/>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p>
            <w:pPr>
              <w:pStyle w:val="28"/>
            </w:pPr>
          </w:p>
        </w:tc>
        <w:tc>
          <w:tcPr>
            <w:tcW w:w="2835" w:type="dxa"/>
            <w:vAlign w:val="center"/>
          </w:tcPr>
          <w:p>
            <w:pPr>
              <w:pStyle w:val="28"/>
            </w:pPr>
            <w:r>
              <w:rPr>
                <w:rFonts w:hint="eastAsia"/>
              </w:rPr>
              <w:t>监督检查完成及时率</w:t>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24</w:t>
            </w:r>
            <w:r>
              <w:rPr>
                <w:rFonts w:hint="eastAsia"/>
              </w:rPr>
              <w:t>万</w:t>
            </w:r>
          </w:p>
        </w:tc>
        <w:tc>
          <w:tcPr>
            <w:tcW w:w="2268" w:type="dxa"/>
            <w:vAlign w:val="center"/>
          </w:tcPr>
          <w:p>
            <w:pPr>
              <w:pStyle w:val="28"/>
            </w:pPr>
            <w:r>
              <w:t>2022</w:t>
            </w:r>
            <w:r>
              <w:rPr>
                <w:rFonts w:hint="eastAsia"/>
              </w:rP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完成本年度工作计划</w:t>
            </w:r>
          </w:p>
        </w:tc>
        <w:tc>
          <w:tcPr>
            <w:tcW w:w="2835" w:type="dxa"/>
            <w:vAlign w:val="center"/>
          </w:tcPr>
          <w:p>
            <w:pPr>
              <w:pStyle w:val="28"/>
            </w:pPr>
            <w:r>
              <w:rPr>
                <w:rFonts w:hint="eastAsia"/>
              </w:rPr>
              <w:t>监督检查落实整改情况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满意率</w:t>
            </w:r>
          </w:p>
        </w:tc>
        <w:tc>
          <w:tcPr>
            <w:tcW w:w="2835" w:type="dxa"/>
            <w:vAlign w:val="center"/>
          </w:tcPr>
          <w:p>
            <w:pPr>
              <w:pStyle w:val="28"/>
            </w:pPr>
            <w:r>
              <w:rPr>
                <w:rFonts w:hint="eastAsia"/>
              </w:rPr>
              <w:t>满意率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、外墙保温工程绩效目标表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及时支付对方安装保温墙费用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支付数额</w:t>
            </w:r>
          </w:p>
        </w:tc>
        <w:tc>
          <w:tcPr>
            <w:tcW w:w="2835" w:type="dxa"/>
            <w:vAlign w:val="center"/>
          </w:tcPr>
          <w:p>
            <w:pPr>
              <w:pStyle w:val="28"/>
            </w:pPr>
            <w:r>
              <w:rPr>
                <w:rFonts w:hint="eastAsia"/>
              </w:rPr>
              <w:t>支付数额</w:t>
            </w:r>
          </w:p>
        </w:tc>
        <w:tc>
          <w:tcPr>
            <w:tcW w:w="2551" w:type="dxa"/>
            <w:vAlign w:val="center"/>
          </w:tcPr>
          <w:p>
            <w:pPr>
              <w:pStyle w:val="28"/>
            </w:pPr>
            <w:r>
              <w:rPr>
                <w:rFonts w:hint="eastAsia"/>
              </w:rPr>
              <w:t>≤</w:t>
            </w:r>
            <w:r>
              <w:t>35</w:t>
            </w:r>
            <w:r>
              <w:rPr>
                <w:rFonts w:hint="eastAsia"/>
              </w:rPr>
              <w:t>万</w:t>
            </w:r>
          </w:p>
        </w:tc>
        <w:tc>
          <w:tcPr>
            <w:tcW w:w="2268" w:type="dxa"/>
            <w:vAlign w:val="center"/>
          </w:tcPr>
          <w:p>
            <w:pPr>
              <w:pStyle w:val="28"/>
            </w:pPr>
            <w:r>
              <w:rPr>
                <w:rFonts w:hint="eastAsia"/>
              </w:rPr>
              <w:t>工程实际费用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保温墙效果</w:t>
            </w:r>
          </w:p>
        </w:tc>
        <w:tc>
          <w:tcPr>
            <w:tcW w:w="2835" w:type="dxa"/>
            <w:vAlign w:val="center"/>
          </w:tcPr>
          <w:p>
            <w:pPr>
              <w:pStyle w:val="28"/>
            </w:pPr>
            <w:r>
              <w:rPr>
                <w:rFonts w:hint="eastAsia"/>
              </w:rPr>
              <w:t>室内温度是否提高</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施工要求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支付时间</w:t>
            </w:r>
          </w:p>
        </w:tc>
        <w:tc>
          <w:tcPr>
            <w:tcW w:w="2835" w:type="dxa"/>
            <w:vAlign w:val="center"/>
          </w:tcPr>
          <w:p>
            <w:pPr>
              <w:pStyle w:val="28"/>
            </w:pPr>
            <w:r>
              <w:rPr>
                <w:rFonts w:hint="eastAsia"/>
              </w:rPr>
              <w:t>支付时间</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35</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保暖效果改善情况</w:t>
            </w:r>
          </w:p>
        </w:tc>
        <w:tc>
          <w:tcPr>
            <w:tcW w:w="2835" w:type="dxa"/>
            <w:vAlign w:val="center"/>
          </w:tcPr>
          <w:p>
            <w:pPr>
              <w:pStyle w:val="28"/>
            </w:pPr>
            <w:r>
              <w:rPr>
                <w:rFonts w:hint="eastAsia"/>
              </w:rPr>
              <w:t>保暖效果改善情况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施工要求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职工反映情况</w:t>
            </w:r>
          </w:p>
        </w:tc>
        <w:tc>
          <w:tcPr>
            <w:tcW w:w="2835" w:type="dxa"/>
            <w:vAlign w:val="center"/>
          </w:tcPr>
          <w:p>
            <w:pPr>
              <w:pStyle w:val="28"/>
            </w:pPr>
            <w:r>
              <w:rPr>
                <w:rFonts w:hint="eastAsia"/>
              </w:rPr>
              <w:t>室内温度是否提高</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质量要求</w:t>
            </w:r>
          </w:p>
        </w:tc>
      </w:tr>
    </w:tbl>
    <w:p>
      <w:pPr>
        <w:pStyle w:val="26"/>
      </w:pPr>
    </w:p>
    <w:p>
      <w:pPr>
        <w:pStyle w:val="26"/>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、乡镇纪委工作经费绩效目标表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确保农村两委干部廉洁履职</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优良率</w:t>
            </w:r>
          </w:p>
        </w:tc>
        <w:tc>
          <w:tcPr>
            <w:tcW w:w="2835" w:type="dxa"/>
            <w:vAlign w:val="center"/>
          </w:tcPr>
          <w:p>
            <w:pPr>
              <w:pStyle w:val="28"/>
            </w:pPr>
            <w:r>
              <w:rPr>
                <w:rFonts w:hint="eastAsia"/>
              </w:rPr>
              <w:t>查办案件质量优良率占所有案件的比率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13</w:t>
            </w:r>
            <w:r>
              <w:rPr>
                <w:rFonts w:hint="eastAsia"/>
              </w:rPr>
              <w:t>万</w:t>
            </w:r>
          </w:p>
        </w:tc>
        <w:tc>
          <w:tcPr>
            <w:tcW w:w="2268" w:type="dxa"/>
            <w:vAlign w:val="center"/>
          </w:tcPr>
          <w:p>
            <w:pPr>
              <w:pStyle w:val="28"/>
            </w:pPr>
            <w:r>
              <w:t>2022</w:t>
            </w:r>
            <w:r>
              <w:rPr>
                <w:rFonts w:hint="eastAsia"/>
              </w:rP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群众对乡镇干部的满意度</w:t>
            </w:r>
          </w:p>
        </w:tc>
        <w:tc>
          <w:tcPr>
            <w:tcW w:w="2835" w:type="dxa"/>
            <w:vAlign w:val="center"/>
          </w:tcPr>
          <w:p>
            <w:pPr>
              <w:pStyle w:val="28"/>
            </w:pPr>
            <w:r>
              <w:rPr>
                <w:rFonts w:hint="eastAsia"/>
              </w:rPr>
              <w:t>走访群众对乡镇干部的满意度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、巡察办工作经费绩效目标表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实现县本级巡察既定目标</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市县联动巡察保障数量</w:t>
            </w:r>
          </w:p>
        </w:tc>
        <w:tc>
          <w:tcPr>
            <w:tcW w:w="2835" w:type="dxa"/>
            <w:vAlign w:val="center"/>
          </w:tcPr>
          <w:p>
            <w:pPr>
              <w:pStyle w:val="28"/>
            </w:pPr>
            <w:r>
              <w:rPr>
                <w:rFonts w:hint="eastAsia"/>
              </w:rPr>
              <w:t>最少开展</w:t>
            </w:r>
            <w:r>
              <w:t>3</w:t>
            </w:r>
            <w:r>
              <w:rPr>
                <w:rFonts w:hint="eastAsia"/>
              </w:rPr>
              <w:t>次</w:t>
            </w:r>
          </w:p>
        </w:tc>
        <w:tc>
          <w:tcPr>
            <w:tcW w:w="2551" w:type="dxa"/>
            <w:vAlign w:val="center"/>
          </w:tcPr>
          <w:p>
            <w:pPr>
              <w:pStyle w:val="28"/>
            </w:pPr>
            <w:r>
              <w:rPr>
                <w:rFonts w:hint="eastAsia"/>
              </w:rPr>
              <w:t>≥</w:t>
            </w:r>
            <w:r>
              <w:t>3</w:t>
            </w:r>
            <w:r>
              <w:rPr>
                <w:rFonts w:hint="eastAsia"/>
              </w:rPr>
              <w:t>次</w:t>
            </w:r>
          </w:p>
        </w:tc>
        <w:tc>
          <w:tcPr>
            <w:tcW w:w="2268" w:type="dxa"/>
            <w:vAlign w:val="center"/>
          </w:tcPr>
          <w:p>
            <w:pPr>
              <w:pStyle w:val="28"/>
            </w:pPr>
            <w:r>
              <w:rPr>
                <w:rFonts w:hint="eastAsia"/>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巡察发现问题的整改情况</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项目预算控制数</w:t>
            </w:r>
          </w:p>
        </w:tc>
        <w:tc>
          <w:tcPr>
            <w:tcW w:w="2835" w:type="dxa"/>
            <w:vAlign w:val="center"/>
          </w:tcPr>
          <w:p>
            <w:pPr>
              <w:pStyle w:val="28"/>
            </w:pPr>
            <w:r>
              <w:rPr>
                <w:rFonts w:hint="eastAsia"/>
              </w:rPr>
              <w:t>项目预算控制数</w:t>
            </w:r>
          </w:p>
        </w:tc>
        <w:tc>
          <w:tcPr>
            <w:tcW w:w="2551" w:type="dxa"/>
            <w:vAlign w:val="center"/>
          </w:tcPr>
          <w:p>
            <w:pPr>
              <w:pStyle w:val="28"/>
            </w:pPr>
            <w:r>
              <w:rPr>
                <w:rFonts w:hint="eastAsia"/>
              </w:rPr>
              <w:t>≤</w:t>
            </w:r>
            <w:r>
              <w:t>74</w:t>
            </w:r>
            <w:r>
              <w:rPr>
                <w:rFonts w:hint="eastAsia"/>
              </w:rPr>
              <w:t>万</w:t>
            </w:r>
          </w:p>
        </w:tc>
        <w:tc>
          <w:tcPr>
            <w:tcW w:w="2268" w:type="dxa"/>
            <w:vAlign w:val="center"/>
          </w:tcPr>
          <w:p>
            <w:pPr>
              <w:pStyle w:val="28"/>
            </w:pPr>
            <w:r>
              <w:t>2022</w:t>
            </w:r>
            <w:r>
              <w:rPr>
                <w:rFonts w:hint="eastAsia"/>
              </w:rPr>
              <w:t>年预算数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完成本年度巡察计划</w:t>
            </w:r>
          </w:p>
        </w:tc>
        <w:tc>
          <w:tcPr>
            <w:tcW w:w="2835" w:type="dxa"/>
            <w:vAlign w:val="center"/>
          </w:tcPr>
          <w:p>
            <w:pPr>
              <w:pStyle w:val="28"/>
            </w:pPr>
            <w:r>
              <w:rPr>
                <w:rFonts w:hint="eastAsia"/>
              </w:rPr>
              <w:t>开展村级巡察</w:t>
            </w:r>
          </w:p>
        </w:tc>
        <w:tc>
          <w:tcPr>
            <w:tcW w:w="2551" w:type="dxa"/>
            <w:vAlign w:val="center"/>
          </w:tcPr>
          <w:p>
            <w:pPr>
              <w:pStyle w:val="28"/>
            </w:pPr>
            <w:r>
              <w:rPr>
                <w:rFonts w:hint="eastAsia"/>
              </w:rPr>
              <w:t>≥</w:t>
            </w:r>
            <w:r>
              <w:t>100</w:t>
            </w:r>
            <w:r>
              <w:rPr>
                <w:rFonts w:hint="eastAsia"/>
              </w:rPr>
              <w:t>个</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、英才入冀人员房租补贴绩效目标表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及时发放相关人员房补</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发放人数</w:t>
            </w:r>
          </w:p>
        </w:tc>
        <w:tc>
          <w:tcPr>
            <w:tcW w:w="2835" w:type="dxa"/>
            <w:vAlign w:val="center"/>
          </w:tcPr>
          <w:p>
            <w:pPr>
              <w:pStyle w:val="28"/>
            </w:pPr>
            <w:r>
              <w:rPr>
                <w:rFonts w:hint="eastAsia"/>
              </w:rPr>
              <w:t>发放人数</w:t>
            </w:r>
          </w:p>
        </w:tc>
        <w:tc>
          <w:tcPr>
            <w:tcW w:w="2551" w:type="dxa"/>
            <w:vAlign w:val="center"/>
          </w:tcPr>
          <w:p>
            <w:pPr>
              <w:pStyle w:val="28"/>
            </w:pPr>
            <w:r>
              <w:t>1</w:t>
            </w:r>
            <w:r>
              <w:rPr>
                <w:rFonts w:hint="eastAsia"/>
              </w:rPr>
              <w:t>人</w:t>
            </w:r>
          </w:p>
        </w:tc>
        <w:tc>
          <w:tcPr>
            <w:tcW w:w="2268" w:type="dxa"/>
            <w:vAlign w:val="center"/>
          </w:tcPr>
          <w:p>
            <w:pPr>
              <w:pStyle w:val="28"/>
            </w:pPr>
            <w:r>
              <w:rPr>
                <w:rFonts w:hint="eastAsia"/>
              </w:rPr>
              <w:t>英才入冀人员数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发放数额</w:t>
            </w:r>
          </w:p>
        </w:tc>
        <w:tc>
          <w:tcPr>
            <w:tcW w:w="2835" w:type="dxa"/>
            <w:vAlign w:val="center"/>
          </w:tcPr>
          <w:p>
            <w:pPr>
              <w:pStyle w:val="28"/>
            </w:pPr>
            <w:r>
              <w:rPr>
                <w:rFonts w:hint="eastAsia"/>
              </w:rPr>
              <w:t>发放数额</w:t>
            </w:r>
          </w:p>
        </w:tc>
        <w:tc>
          <w:tcPr>
            <w:tcW w:w="2551" w:type="dxa"/>
            <w:vAlign w:val="center"/>
          </w:tcPr>
          <w:p>
            <w:pPr>
              <w:pStyle w:val="28"/>
            </w:pPr>
            <w:r>
              <w:t>1.2</w:t>
            </w:r>
            <w:r>
              <w:rPr>
                <w:rFonts w:hint="eastAsia"/>
              </w:rPr>
              <w:t>万</w:t>
            </w:r>
          </w:p>
        </w:tc>
        <w:tc>
          <w:tcPr>
            <w:tcW w:w="2268" w:type="dxa"/>
            <w:vAlign w:val="center"/>
          </w:tcPr>
          <w:p>
            <w:pPr>
              <w:pStyle w:val="28"/>
            </w:pPr>
            <w:r>
              <w:rPr>
                <w:rFonts w:hint="eastAsia"/>
              </w:rP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发放次数</w:t>
            </w:r>
          </w:p>
        </w:tc>
        <w:tc>
          <w:tcPr>
            <w:tcW w:w="2835" w:type="dxa"/>
            <w:vAlign w:val="center"/>
          </w:tcPr>
          <w:p>
            <w:pPr>
              <w:pStyle w:val="28"/>
            </w:pPr>
            <w:r>
              <w:rPr>
                <w:rFonts w:hint="eastAsia"/>
              </w:rPr>
              <w:t>发放次数</w:t>
            </w:r>
          </w:p>
        </w:tc>
        <w:tc>
          <w:tcPr>
            <w:tcW w:w="2551" w:type="dxa"/>
            <w:vAlign w:val="center"/>
          </w:tcPr>
          <w:p>
            <w:pPr>
              <w:pStyle w:val="28"/>
            </w:pPr>
            <w:r>
              <w:t>12</w:t>
            </w:r>
            <w:r>
              <w:rPr>
                <w:rFonts w:hint="eastAsia"/>
              </w:rPr>
              <w:t>次</w:t>
            </w:r>
          </w:p>
        </w:tc>
        <w:tc>
          <w:tcPr>
            <w:tcW w:w="2268" w:type="dxa"/>
            <w:vAlign w:val="center"/>
          </w:tcPr>
          <w:p>
            <w:pPr>
              <w:pStyle w:val="28"/>
            </w:pPr>
            <w:r>
              <w:rPr>
                <w:rFonts w:hint="eastAsia"/>
              </w:rPr>
              <w:t>每月补贴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t>1.2</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提升人才生活质量</w:t>
            </w:r>
          </w:p>
        </w:tc>
        <w:tc>
          <w:tcPr>
            <w:tcW w:w="2835" w:type="dxa"/>
            <w:vAlign w:val="center"/>
          </w:tcPr>
          <w:p>
            <w:pPr>
              <w:pStyle w:val="28"/>
            </w:pPr>
            <w:r>
              <w:rPr>
                <w:rFonts w:hint="eastAsia"/>
              </w:rPr>
              <w:t>提升人才生活质量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满意度</w:t>
            </w:r>
          </w:p>
        </w:tc>
        <w:tc>
          <w:tcPr>
            <w:tcW w:w="2835" w:type="dxa"/>
            <w:vAlign w:val="center"/>
          </w:tcPr>
          <w:p>
            <w:pPr>
              <w:pStyle w:val="28"/>
            </w:pPr>
            <w:r>
              <w:rPr>
                <w:rFonts w:hint="eastAsia"/>
              </w:rPr>
              <w:t>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相关要求</w:t>
            </w:r>
          </w:p>
        </w:tc>
      </w:tr>
    </w:tbl>
    <w:p>
      <w:pPr>
        <w:pStyle w:val="26"/>
      </w:pPr>
    </w:p>
    <w:p>
      <w:pPr>
        <w:pStyle w:val="26"/>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、执纪执法经费绩效目标表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巡视发现问题线索查结率</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案件结案率</w:t>
            </w:r>
            <w:r>
              <w:t>(%)</w:t>
            </w:r>
          </w:p>
        </w:tc>
        <w:tc>
          <w:tcPr>
            <w:tcW w:w="2835" w:type="dxa"/>
            <w:vAlign w:val="center"/>
          </w:tcPr>
          <w:p>
            <w:pPr>
              <w:pStyle w:val="28"/>
            </w:pPr>
            <w:r>
              <w:rPr>
                <w:rFonts w:hint="eastAsia"/>
              </w:rPr>
              <w:t>案件结案率</w:t>
            </w:r>
            <w:r>
              <w:t>(%)</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大案要案查处率</w:t>
            </w:r>
          </w:p>
        </w:tc>
        <w:tc>
          <w:tcPr>
            <w:tcW w:w="2835" w:type="dxa"/>
            <w:vAlign w:val="center"/>
          </w:tcPr>
          <w:p>
            <w:pPr>
              <w:pStyle w:val="28"/>
            </w:pPr>
            <w:r>
              <w:rPr>
                <w:rFonts w:hint="eastAsia"/>
              </w:rPr>
              <w:t>大案要案查处率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完成率</w:t>
            </w:r>
          </w:p>
        </w:tc>
        <w:tc>
          <w:tcPr>
            <w:tcW w:w="2835" w:type="dxa"/>
            <w:vAlign w:val="center"/>
          </w:tcPr>
          <w:p>
            <w:pPr>
              <w:pStyle w:val="28"/>
            </w:pPr>
            <w:r>
              <w:rPr>
                <w:rFonts w:hint="eastAsia"/>
              </w:rPr>
              <w:t>按照要求和计划完成研究任务的项目在所有立项项目中的比例（百分比）</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140</w:t>
            </w:r>
            <w:r>
              <w:rPr>
                <w:rFonts w:hint="eastAsia"/>
              </w:rPr>
              <w:t>万</w:t>
            </w:r>
          </w:p>
        </w:tc>
        <w:tc>
          <w:tcPr>
            <w:tcW w:w="2268" w:type="dxa"/>
            <w:vAlign w:val="center"/>
          </w:tcPr>
          <w:p>
            <w:pPr>
              <w:pStyle w:val="28"/>
            </w:pPr>
            <w:r>
              <w:t>2022</w:t>
            </w:r>
            <w:r>
              <w:rPr>
                <w:rFonts w:hint="eastAsia"/>
              </w:rPr>
              <w:t>年预算数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群众满意度</w:t>
            </w:r>
          </w:p>
        </w:tc>
        <w:tc>
          <w:tcPr>
            <w:tcW w:w="2835" w:type="dxa"/>
            <w:vAlign w:val="center"/>
          </w:tcPr>
          <w:p>
            <w:pPr>
              <w:pStyle w:val="28"/>
            </w:pPr>
            <w:r>
              <w:rPr>
                <w:rFonts w:hint="eastAsia"/>
              </w:rPr>
              <w:t>反映问题群众对纪委反馈结果的满意度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群众满意度</w:t>
            </w:r>
          </w:p>
        </w:tc>
        <w:tc>
          <w:tcPr>
            <w:tcW w:w="2835" w:type="dxa"/>
            <w:vAlign w:val="center"/>
          </w:tcPr>
          <w:p>
            <w:pPr>
              <w:pStyle w:val="28"/>
            </w:pPr>
            <w:r>
              <w:rPr>
                <w:rFonts w:hint="eastAsia"/>
              </w:rPr>
              <w:t>反映问题群众对纪委反馈结果的满意度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年，中国共产党隆尧县纪律检查委员会安排政府采购预算</w:t>
      </w:r>
      <w:r>
        <w:rPr>
          <w:rFonts w:eastAsia="方正仿宋_GBK"/>
          <w:color w:val="000000"/>
          <w:sz w:val="28"/>
        </w:rPr>
        <w:t>110.00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rPr>
                <w:rFonts w:hint="eastAsia"/>
              </w:rPr>
              <w:t>政府采购项目来源</w:t>
            </w:r>
          </w:p>
        </w:tc>
        <w:tc>
          <w:tcPr>
            <w:tcW w:w="1134" w:type="dxa"/>
            <w:vMerge w:val="restart"/>
            <w:vAlign w:val="center"/>
          </w:tcPr>
          <w:p>
            <w:pPr>
              <w:pStyle w:val="12"/>
            </w:pPr>
            <w:r>
              <w:rPr>
                <w:rFonts w:hint="eastAsia"/>
              </w:rPr>
              <w:t>采购物品名称</w:t>
            </w:r>
          </w:p>
        </w:tc>
        <w:tc>
          <w:tcPr>
            <w:tcW w:w="1134" w:type="dxa"/>
            <w:vMerge w:val="restart"/>
            <w:vAlign w:val="center"/>
          </w:tcPr>
          <w:p>
            <w:pPr>
              <w:pStyle w:val="12"/>
            </w:pPr>
            <w:r>
              <w:rPr>
                <w:rFonts w:hint="eastAsia"/>
              </w:rPr>
              <w:t>政府采购目录序号</w:t>
            </w:r>
          </w:p>
        </w:tc>
        <w:tc>
          <w:tcPr>
            <w:tcW w:w="709" w:type="dxa"/>
            <w:vMerge w:val="restart"/>
            <w:vAlign w:val="center"/>
          </w:tcPr>
          <w:p>
            <w:pPr>
              <w:pStyle w:val="12"/>
            </w:pPr>
            <w:r>
              <w:rPr>
                <w:rFonts w:hint="eastAsia"/>
              </w:rPr>
              <w:t>计量</w:t>
            </w:r>
            <w:r>
              <w:t xml:space="preserve">  </w:t>
            </w:r>
            <w:r>
              <w:rPr>
                <w:rFonts w:hint="eastAsia"/>
              </w:rPr>
              <w:t>单位</w:t>
            </w:r>
          </w:p>
        </w:tc>
        <w:tc>
          <w:tcPr>
            <w:tcW w:w="850" w:type="dxa"/>
            <w:vMerge w:val="restart"/>
            <w:vAlign w:val="center"/>
          </w:tcPr>
          <w:p>
            <w:pPr>
              <w:pStyle w:val="12"/>
            </w:pPr>
            <w:r>
              <w:rPr>
                <w:rFonts w:hint="eastAsia"/>
              </w:rPr>
              <w:t>数量</w:t>
            </w:r>
          </w:p>
        </w:tc>
        <w:tc>
          <w:tcPr>
            <w:tcW w:w="850" w:type="dxa"/>
            <w:vMerge w:val="restart"/>
            <w:vAlign w:val="center"/>
          </w:tcPr>
          <w:p>
            <w:pPr>
              <w:pStyle w:val="12"/>
            </w:pPr>
            <w:r>
              <w:rPr>
                <w:rFonts w:hint="eastAsia"/>
              </w:rPr>
              <w:t>单价</w:t>
            </w:r>
          </w:p>
        </w:tc>
        <w:tc>
          <w:tcPr>
            <w:tcW w:w="7712" w:type="dxa"/>
            <w:gridSpan w:val="8"/>
            <w:vAlign w:val="center"/>
          </w:tcPr>
          <w:p>
            <w:pPr>
              <w:pStyle w:val="12"/>
            </w:pPr>
            <w:r>
              <w:rPr>
                <w:rFonts w:hint="eastAsia"/>
              </w:rPr>
              <w:t>政府采购金额（当年</w:t>
            </w:r>
            <w:r>
              <w:rPr>
                <w:rFonts w:hint="eastAsia"/>
                <w:lang w:val="en-US" w:eastAsia="zh-CN"/>
              </w:rPr>
              <w:t>单位</w:t>
            </w:r>
            <w:r>
              <w:rPr>
                <w:rFonts w:hint="eastAsia"/>
              </w:rPr>
              <w:t>预算安排资金）</w:t>
            </w:r>
          </w:p>
        </w:tc>
        <w:tc>
          <w:tcPr>
            <w:tcW w:w="964" w:type="dxa"/>
            <w:vMerge w:val="restart"/>
            <w:vAlign w:val="center"/>
          </w:tcPr>
          <w:p>
            <w:pPr>
              <w:pStyle w:val="12"/>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rPr>
                <w:rFonts w:hint="eastAsia"/>
              </w:rPr>
              <w:t>项目名称</w:t>
            </w:r>
          </w:p>
        </w:tc>
        <w:tc>
          <w:tcPr>
            <w:tcW w:w="964" w:type="dxa"/>
            <w:vAlign w:val="center"/>
          </w:tcPr>
          <w:p>
            <w:pPr>
              <w:pStyle w:val="12"/>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rPr>
                <w:rFonts w:hint="eastAsia"/>
              </w:rPr>
              <w:t>合计</w:t>
            </w:r>
          </w:p>
        </w:tc>
        <w:tc>
          <w:tcPr>
            <w:tcW w:w="964" w:type="dxa"/>
            <w:vAlign w:val="center"/>
          </w:tcPr>
          <w:p>
            <w:pPr>
              <w:pStyle w:val="12"/>
            </w:pPr>
            <w:r>
              <w:rPr>
                <w:rFonts w:hint="eastAsia"/>
              </w:rPr>
              <w:t>一般公共预算拨款</w:t>
            </w:r>
          </w:p>
        </w:tc>
        <w:tc>
          <w:tcPr>
            <w:tcW w:w="964" w:type="dxa"/>
            <w:vAlign w:val="center"/>
          </w:tcPr>
          <w:p>
            <w:pPr>
              <w:pStyle w:val="12"/>
            </w:pPr>
            <w:r>
              <w:rPr>
                <w:rFonts w:hint="eastAsia"/>
              </w:rPr>
              <w:t>基金预算拨款</w:t>
            </w:r>
          </w:p>
        </w:tc>
        <w:tc>
          <w:tcPr>
            <w:tcW w:w="964" w:type="dxa"/>
            <w:vAlign w:val="center"/>
          </w:tcPr>
          <w:p>
            <w:pPr>
              <w:pStyle w:val="12"/>
            </w:pPr>
            <w:r>
              <w:rPr>
                <w:rFonts w:hint="eastAsia"/>
              </w:rPr>
              <w:t>国有资本经营预算拨款</w:t>
            </w:r>
          </w:p>
        </w:tc>
        <w:tc>
          <w:tcPr>
            <w:tcW w:w="964" w:type="dxa"/>
            <w:vAlign w:val="center"/>
          </w:tcPr>
          <w:p>
            <w:pPr>
              <w:pStyle w:val="12"/>
            </w:pPr>
            <w:r>
              <w:rPr>
                <w:rFonts w:hint="eastAsia"/>
              </w:rPr>
              <w:t>财政专户核拨</w:t>
            </w:r>
          </w:p>
        </w:tc>
        <w:tc>
          <w:tcPr>
            <w:tcW w:w="964" w:type="dxa"/>
            <w:vAlign w:val="center"/>
          </w:tcPr>
          <w:p>
            <w:pPr>
              <w:pStyle w:val="12"/>
            </w:pPr>
            <w:r>
              <w:rPr>
                <w:rFonts w:hint="eastAsia"/>
              </w:rPr>
              <w:t>单位</w:t>
            </w:r>
            <w:r>
              <w:t xml:space="preserve">    </w:t>
            </w:r>
            <w:r>
              <w:rPr>
                <w:rFonts w:hint="eastAsia"/>
              </w:rPr>
              <w:t>资金</w:t>
            </w:r>
          </w:p>
        </w:tc>
        <w:tc>
          <w:tcPr>
            <w:tcW w:w="964" w:type="dxa"/>
            <w:vAlign w:val="center"/>
          </w:tcPr>
          <w:p>
            <w:pPr>
              <w:pStyle w:val="12"/>
            </w:pPr>
            <w:r>
              <w:rPr>
                <w:rFonts w:hint="eastAsia"/>
              </w:rPr>
              <w:t>财政拨</w:t>
            </w:r>
            <w:r>
              <w:t xml:space="preserve">    </w:t>
            </w:r>
            <w:r>
              <w:rPr>
                <w:rFonts w:hint="eastAsia"/>
              </w:rPr>
              <w:t>款结转</w:t>
            </w:r>
          </w:p>
        </w:tc>
        <w:tc>
          <w:tcPr>
            <w:tcW w:w="964" w:type="dxa"/>
            <w:vAlign w:val="center"/>
          </w:tcPr>
          <w:p>
            <w:pPr>
              <w:pStyle w:val="12"/>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rPr>
                <w:rFonts w:hint="eastAsia"/>
              </w:rPr>
              <w:t>合</w:t>
            </w:r>
            <w:r>
              <w:t xml:space="preserve">  </w:t>
            </w:r>
            <w:r>
              <w:rPr>
                <w:rFonts w:hint="eastAsia"/>
              </w:rPr>
              <w:t>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110.00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rPr>
                <w:rFonts w:hint="eastAsia"/>
              </w:rPr>
              <w:t>中国共产党隆尧县纪律检查委员会本级小计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110.00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车辆购置</w:t>
            </w:r>
          </w:p>
        </w:tc>
        <w:tc>
          <w:tcPr>
            <w:tcW w:w="964" w:type="dxa"/>
            <w:vAlign w:val="center"/>
          </w:tcPr>
          <w:p>
            <w:pPr>
              <w:pStyle w:val="13"/>
            </w:pPr>
            <w:r>
              <w:t>56.00</w:t>
            </w:r>
          </w:p>
        </w:tc>
        <w:tc>
          <w:tcPr>
            <w:tcW w:w="1134" w:type="dxa"/>
            <w:vAlign w:val="center"/>
          </w:tcPr>
          <w:p>
            <w:pPr>
              <w:pStyle w:val="14"/>
            </w:pPr>
            <w:r>
              <w:rPr>
                <w:rFonts w:hint="eastAsia"/>
              </w:rPr>
              <w:t>轿车</w:t>
            </w:r>
          </w:p>
        </w:tc>
        <w:tc>
          <w:tcPr>
            <w:tcW w:w="1134" w:type="dxa"/>
            <w:vAlign w:val="center"/>
          </w:tcPr>
          <w:p>
            <w:pPr>
              <w:pStyle w:val="14"/>
            </w:pPr>
            <w:r>
              <w:t>A02030501</w:t>
            </w:r>
          </w:p>
        </w:tc>
        <w:tc>
          <w:tcPr>
            <w:tcW w:w="709" w:type="dxa"/>
            <w:vAlign w:val="center"/>
          </w:tcPr>
          <w:p>
            <w:pPr>
              <w:pStyle w:val="15"/>
            </w:pPr>
            <w:r>
              <w:rPr>
                <w:rFonts w:hint="eastAsia"/>
              </w:rPr>
              <w:t>辆</w:t>
            </w:r>
          </w:p>
        </w:tc>
        <w:tc>
          <w:tcPr>
            <w:tcW w:w="850" w:type="dxa"/>
            <w:vAlign w:val="center"/>
          </w:tcPr>
          <w:p>
            <w:pPr>
              <w:pStyle w:val="13"/>
            </w:pPr>
            <w:r>
              <w:t>4</w:t>
            </w:r>
          </w:p>
        </w:tc>
        <w:tc>
          <w:tcPr>
            <w:tcW w:w="850" w:type="dxa"/>
            <w:vAlign w:val="center"/>
          </w:tcPr>
          <w:p>
            <w:pPr>
              <w:pStyle w:val="13"/>
            </w:pPr>
            <w:r>
              <w:t>14.00</w:t>
            </w:r>
          </w:p>
        </w:tc>
        <w:tc>
          <w:tcPr>
            <w:tcW w:w="964" w:type="dxa"/>
            <w:vAlign w:val="center"/>
          </w:tcPr>
          <w:p>
            <w:pPr>
              <w:pStyle w:val="13"/>
            </w:pPr>
            <w:r>
              <w:t>56.00</w:t>
            </w:r>
          </w:p>
        </w:tc>
        <w:tc>
          <w:tcPr>
            <w:tcW w:w="964" w:type="dxa"/>
            <w:vAlign w:val="center"/>
          </w:tcPr>
          <w:p>
            <w:pPr>
              <w:pStyle w:val="13"/>
            </w:pPr>
            <w:r>
              <w:t>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廉政展厅提升工程</w:t>
            </w:r>
          </w:p>
        </w:tc>
        <w:tc>
          <w:tcPr>
            <w:tcW w:w="964" w:type="dxa"/>
            <w:vAlign w:val="center"/>
          </w:tcPr>
          <w:p>
            <w:pPr>
              <w:pStyle w:val="13"/>
            </w:pPr>
            <w:r>
              <w:t>40.00</w:t>
            </w:r>
          </w:p>
        </w:tc>
        <w:tc>
          <w:tcPr>
            <w:tcW w:w="1134" w:type="dxa"/>
            <w:vAlign w:val="center"/>
          </w:tcPr>
          <w:p>
            <w:pPr>
              <w:pStyle w:val="14"/>
            </w:pPr>
            <w:r>
              <w:rPr>
                <w:rFonts w:hint="eastAsia"/>
              </w:rPr>
              <w:t>装修工程</w:t>
            </w:r>
          </w:p>
        </w:tc>
        <w:tc>
          <w:tcPr>
            <w:tcW w:w="1134" w:type="dxa"/>
            <w:vAlign w:val="center"/>
          </w:tcPr>
          <w:p>
            <w:pPr>
              <w:pStyle w:val="14"/>
            </w:pPr>
            <w:r>
              <w:t>B07</w:t>
            </w:r>
          </w:p>
        </w:tc>
        <w:tc>
          <w:tcPr>
            <w:tcW w:w="709" w:type="dxa"/>
            <w:vAlign w:val="center"/>
          </w:tcPr>
          <w:p>
            <w:pPr>
              <w:pStyle w:val="15"/>
            </w:pPr>
            <w:r>
              <w:rPr>
                <w:rFonts w:hint="eastAsia"/>
              </w:rPr>
              <w:t>个</w:t>
            </w:r>
            <w:r>
              <w:t xml:space="preserve"> </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派驻纪检组工作经费</w:t>
            </w:r>
          </w:p>
        </w:tc>
        <w:tc>
          <w:tcPr>
            <w:tcW w:w="964" w:type="dxa"/>
            <w:vAlign w:val="center"/>
          </w:tcPr>
          <w:p>
            <w:pPr>
              <w:pStyle w:val="13"/>
            </w:pPr>
            <w:r>
              <w:t>24.00</w:t>
            </w:r>
          </w:p>
        </w:tc>
        <w:tc>
          <w:tcPr>
            <w:tcW w:w="1134" w:type="dxa"/>
            <w:vAlign w:val="center"/>
          </w:tcPr>
          <w:p>
            <w:pPr>
              <w:pStyle w:val="14"/>
            </w:pPr>
            <w:r>
              <w:rPr>
                <w:rFonts w:hint="eastAsia"/>
              </w:rPr>
              <w:t>台式计算机</w:t>
            </w:r>
          </w:p>
        </w:tc>
        <w:tc>
          <w:tcPr>
            <w:tcW w:w="1134" w:type="dxa"/>
            <w:vAlign w:val="center"/>
          </w:tcPr>
          <w:p>
            <w:pPr>
              <w:pStyle w:val="14"/>
            </w:pPr>
            <w:r>
              <w:t>A02010104</w:t>
            </w:r>
          </w:p>
        </w:tc>
        <w:tc>
          <w:tcPr>
            <w:tcW w:w="709" w:type="dxa"/>
            <w:vAlign w:val="center"/>
          </w:tcPr>
          <w:p>
            <w:pPr>
              <w:pStyle w:val="15"/>
            </w:pPr>
            <w:r>
              <w:rPr>
                <w:rFonts w:hint="eastAsia"/>
              </w:rPr>
              <w:t>台</w:t>
            </w:r>
          </w:p>
        </w:tc>
        <w:tc>
          <w:tcPr>
            <w:tcW w:w="850" w:type="dxa"/>
            <w:vAlign w:val="center"/>
          </w:tcPr>
          <w:p>
            <w:pPr>
              <w:pStyle w:val="13"/>
            </w:pPr>
            <w:r>
              <w:t>5</w:t>
            </w:r>
          </w:p>
        </w:tc>
        <w:tc>
          <w:tcPr>
            <w:tcW w:w="850" w:type="dxa"/>
            <w:vAlign w:val="center"/>
          </w:tcPr>
          <w:p>
            <w:pPr>
              <w:pStyle w:val="13"/>
            </w:pPr>
            <w:r>
              <w:t>0.60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派驻纪检组工作经费</w:t>
            </w:r>
          </w:p>
        </w:tc>
        <w:tc>
          <w:tcPr>
            <w:tcW w:w="964" w:type="dxa"/>
            <w:vAlign w:val="center"/>
          </w:tcPr>
          <w:p>
            <w:pPr>
              <w:pStyle w:val="13"/>
            </w:pPr>
            <w:r>
              <w:t>24.00</w:t>
            </w:r>
          </w:p>
        </w:tc>
        <w:tc>
          <w:tcPr>
            <w:tcW w:w="1134" w:type="dxa"/>
            <w:vAlign w:val="center"/>
          </w:tcPr>
          <w:p>
            <w:pPr>
              <w:pStyle w:val="14"/>
            </w:pPr>
            <w:r>
              <w:rPr>
                <w:rFonts w:hint="eastAsia"/>
              </w:rPr>
              <w:t>多功能一体机</w:t>
            </w:r>
          </w:p>
        </w:tc>
        <w:tc>
          <w:tcPr>
            <w:tcW w:w="1134" w:type="dxa"/>
            <w:vAlign w:val="center"/>
          </w:tcPr>
          <w:p>
            <w:pPr>
              <w:pStyle w:val="14"/>
            </w:pPr>
            <w:r>
              <w:t>A020204</w:t>
            </w:r>
          </w:p>
        </w:tc>
        <w:tc>
          <w:tcPr>
            <w:tcW w:w="709" w:type="dxa"/>
            <w:vAlign w:val="center"/>
          </w:tcPr>
          <w:p>
            <w:pPr>
              <w:pStyle w:val="15"/>
            </w:pPr>
            <w:r>
              <w:rPr>
                <w:rFonts w:hint="eastAsia"/>
              </w:rPr>
              <w:t>个</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台式计算机</w:t>
            </w:r>
          </w:p>
        </w:tc>
        <w:tc>
          <w:tcPr>
            <w:tcW w:w="1134" w:type="dxa"/>
            <w:vAlign w:val="center"/>
          </w:tcPr>
          <w:p>
            <w:pPr>
              <w:pStyle w:val="14"/>
            </w:pPr>
            <w:r>
              <w:t>A02010104</w:t>
            </w:r>
          </w:p>
        </w:tc>
        <w:tc>
          <w:tcPr>
            <w:tcW w:w="709" w:type="dxa"/>
            <w:vAlign w:val="center"/>
          </w:tcPr>
          <w:p>
            <w:pPr>
              <w:pStyle w:val="15"/>
            </w:pPr>
            <w:r>
              <w:rPr>
                <w:rFonts w:hint="eastAsia"/>
              </w:rPr>
              <w:t>台</w:t>
            </w:r>
          </w:p>
        </w:tc>
        <w:tc>
          <w:tcPr>
            <w:tcW w:w="850" w:type="dxa"/>
            <w:vAlign w:val="center"/>
          </w:tcPr>
          <w:p>
            <w:pPr>
              <w:pStyle w:val="13"/>
            </w:pPr>
            <w:r>
              <w:t>5</w:t>
            </w:r>
          </w:p>
        </w:tc>
        <w:tc>
          <w:tcPr>
            <w:tcW w:w="850" w:type="dxa"/>
            <w:vAlign w:val="center"/>
          </w:tcPr>
          <w:p>
            <w:pPr>
              <w:pStyle w:val="13"/>
            </w:pPr>
            <w:r>
              <w:t>0.70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喷墨打印机</w:t>
            </w:r>
          </w:p>
        </w:tc>
        <w:tc>
          <w:tcPr>
            <w:tcW w:w="1134" w:type="dxa"/>
            <w:vAlign w:val="center"/>
          </w:tcPr>
          <w:p>
            <w:pPr>
              <w:pStyle w:val="14"/>
            </w:pPr>
            <w:r>
              <w:t>A0201060101</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其他柜类</w:t>
            </w:r>
          </w:p>
        </w:tc>
        <w:tc>
          <w:tcPr>
            <w:tcW w:w="1134" w:type="dxa"/>
            <w:vAlign w:val="center"/>
          </w:tcPr>
          <w:p>
            <w:pPr>
              <w:pStyle w:val="14"/>
            </w:pPr>
            <w:r>
              <w:t>A060599</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便携式计算机</w:t>
            </w:r>
          </w:p>
        </w:tc>
        <w:tc>
          <w:tcPr>
            <w:tcW w:w="1134" w:type="dxa"/>
            <w:vAlign w:val="center"/>
          </w:tcPr>
          <w:p>
            <w:pPr>
              <w:pStyle w:val="14"/>
            </w:pPr>
            <w:r>
              <w:t>A02010105</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0.60</w:t>
            </w:r>
          </w:p>
        </w:tc>
        <w:tc>
          <w:tcPr>
            <w:tcW w:w="964" w:type="dxa"/>
            <w:vAlign w:val="center"/>
          </w:tcPr>
          <w:p>
            <w:pPr>
              <w:pStyle w:val="13"/>
            </w:pPr>
            <w:r>
              <w:t>3.60</w:t>
            </w:r>
          </w:p>
        </w:tc>
        <w:tc>
          <w:tcPr>
            <w:tcW w:w="964" w:type="dxa"/>
            <w:vAlign w:val="center"/>
          </w:tcPr>
          <w:p>
            <w:pPr>
              <w:pStyle w:val="13"/>
            </w:pPr>
            <w:r>
              <w:t>3.60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多功能一体机</w:t>
            </w:r>
          </w:p>
        </w:tc>
        <w:tc>
          <w:tcPr>
            <w:tcW w:w="1134" w:type="dxa"/>
            <w:vAlign w:val="center"/>
          </w:tcPr>
          <w:p>
            <w:pPr>
              <w:pStyle w:val="14"/>
            </w:pPr>
            <w:r>
              <w:t>A020204</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0.09</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碎纸机</w:t>
            </w:r>
          </w:p>
        </w:tc>
        <w:tc>
          <w:tcPr>
            <w:tcW w:w="1134" w:type="dxa"/>
            <w:vAlign w:val="center"/>
          </w:tcPr>
          <w:p>
            <w:pPr>
              <w:pStyle w:val="14"/>
            </w:pPr>
            <w:r>
              <w:t>A02021101</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0.06</w:t>
            </w:r>
          </w:p>
        </w:tc>
        <w:tc>
          <w:tcPr>
            <w:tcW w:w="964" w:type="dxa"/>
            <w:vAlign w:val="center"/>
          </w:tcPr>
          <w:p>
            <w:pPr>
              <w:pStyle w:val="13"/>
            </w:pPr>
            <w:r>
              <w:t>0.36</w:t>
            </w:r>
          </w:p>
        </w:tc>
        <w:tc>
          <w:tcPr>
            <w:tcW w:w="964" w:type="dxa"/>
            <w:vAlign w:val="center"/>
          </w:tcPr>
          <w:p>
            <w:pPr>
              <w:pStyle w:val="13"/>
            </w:pPr>
            <w:r>
              <w:t>0.36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其他柜类</w:t>
            </w:r>
          </w:p>
        </w:tc>
        <w:tc>
          <w:tcPr>
            <w:tcW w:w="1134" w:type="dxa"/>
            <w:vAlign w:val="center"/>
          </w:tcPr>
          <w:p>
            <w:pPr>
              <w:pStyle w:val="14"/>
            </w:pPr>
            <w:r>
              <w:t>A060599</w:t>
            </w:r>
          </w:p>
        </w:tc>
        <w:tc>
          <w:tcPr>
            <w:tcW w:w="709" w:type="dxa"/>
            <w:vAlign w:val="center"/>
          </w:tcPr>
          <w:p>
            <w:pPr>
              <w:pStyle w:val="15"/>
            </w:pPr>
            <w:r>
              <w:rPr>
                <w:rFonts w:hint="eastAsia"/>
              </w:rPr>
              <w:t>个</w:t>
            </w:r>
          </w:p>
        </w:tc>
        <w:tc>
          <w:tcPr>
            <w:tcW w:w="850" w:type="dxa"/>
            <w:vAlign w:val="center"/>
          </w:tcPr>
          <w:p>
            <w:pPr>
              <w:pStyle w:val="13"/>
            </w:pPr>
            <w:r>
              <w:t>10</w:t>
            </w:r>
          </w:p>
        </w:tc>
        <w:tc>
          <w:tcPr>
            <w:tcW w:w="850" w:type="dxa"/>
            <w:vAlign w:val="center"/>
          </w:tcPr>
          <w:p>
            <w:pPr>
              <w:pStyle w:val="13"/>
            </w:pPr>
            <w:r>
              <w:t>0.05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中国共产党隆尧县纪律检查委员会（含所属单位）上年末固定资产金额为</w:t>
      </w:r>
      <w:r>
        <w:rPr>
          <w:rFonts w:eastAsia="方正仿宋_GBK"/>
          <w:color w:val="000000"/>
          <w:sz w:val="28"/>
        </w:rPr>
        <w:t>423.98</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70</w:t>
      </w:r>
      <w:r>
        <w:rPr>
          <w:rFonts w:eastAsia="方正仿宋_GBK"/>
          <w:color w:val="000000"/>
          <w:sz w:val="28"/>
        </w:rPr>
        <w:t>.00</w:t>
      </w:r>
      <w:r>
        <w:rPr>
          <w:rFonts w:hint="eastAsia" w:eastAsia="方正仿宋_GBK"/>
          <w:color w:val="000000"/>
          <w:sz w:val="28"/>
        </w:rPr>
        <w:t>万元，已按要求列入政府采购</w:t>
      </w:r>
      <w:bookmarkStart w:id="18" w:name="_GoBack"/>
      <w:bookmarkEnd w:id="18"/>
      <w:r>
        <w:rPr>
          <w:rFonts w:hint="eastAsia" w:eastAsia="方正仿宋_GBK"/>
          <w:color w:val="000000"/>
          <w:sz w:val="28"/>
        </w:rPr>
        <w:t>预算，详见政府采购预算表。</w:t>
      </w:r>
    </w:p>
    <w:p>
      <w:pPr>
        <w:jc w:val="center"/>
      </w:pPr>
      <w:r>
        <w:rPr>
          <w:rFonts w:hint="eastAsia" w:ascii="方正小标宋_GBK" w:hAnsi="方正小标宋_GBK" w:eastAsia="方正小标宋_GBK" w:cs="方正小标宋_GBK"/>
          <w:color w:val="000000"/>
          <w:sz w:val="36"/>
          <w:lang w:val="en-US" w:eastAsia="zh-CN"/>
        </w:rPr>
        <w:t>单位</w:t>
      </w:r>
      <w:r>
        <w:rPr>
          <w:rFonts w:hint="eastAsia" w:ascii="方正小标宋_GBK" w:hAnsi="方正小标宋_GBK" w:eastAsia="方正小标宋_GBK" w:cs="方正小标宋_GBK"/>
          <w:color w:val="000000"/>
          <w:sz w:val="36"/>
        </w:rPr>
        <w:t>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rPr>
                <w:rFonts w:hint="eastAsia"/>
              </w:rPr>
              <w:t>项</w:t>
            </w:r>
            <w:r>
              <w:t xml:space="preserve">   </w:t>
            </w:r>
            <w:r>
              <w:rPr>
                <w:rFonts w:hint="eastAsia"/>
              </w:rPr>
              <w:t>目</w:t>
            </w:r>
          </w:p>
        </w:tc>
        <w:tc>
          <w:tcPr>
            <w:tcW w:w="2835" w:type="dxa"/>
            <w:vAlign w:val="center"/>
          </w:tcPr>
          <w:p>
            <w:pPr>
              <w:pStyle w:val="12"/>
            </w:pPr>
            <w:r>
              <w:rPr>
                <w:rFonts w:hint="eastAsia"/>
              </w:rPr>
              <w:t>数量</w:t>
            </w:r>
          </w:p>
        </w:tc>
        <w:tc>
          <w:tcPr>
            <w:tcW w:w="2835" w:type="dxa"/>
            <w:vAlign w:val="center"/>
          </w:tcPr>
          <w:p>
            <w:pPr>
              <w:pStyle w:val="12"/>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rPr>
                <w:rFonts w:hint="eastAsia"/>
              </w:rPr>
              <w:t>资产总额</w:t>
            </w:r>
          </w:p>
        </w:tc>
        <w:tc>
          <w:tcPr>
            <w:tcW w:w="2835" w:type="dxa"/>
            <w:vAlign w:val="center"/>
          </w:tcPr>
          <w:p>
            <w:pPr>
              <w:pStyle w:val="15"/>
            </w:pPr>
          </w:p>
        </w:tc>
        <w:tc>
          <w:tcPr>
            <w:tcW w:w="2835" w:type="dxa"/>
            <w:vAlign w:val="center"/>
          </w:tcPr>
          <w:p>
            <w:pPr>
              <w:pStyle w:val="13"/>
            </w:pPr>
            <w:r>
              <w:t>423.98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w:t>
            </w:r>
            <w:r>
              <w:rPr>
                <w:rFonts w:hint="eastAsia"/>
              </w:rPr>
              <w:t>、房屋（平方米）</w:t>
            </w:r>
          </w:p>
        </w:tc>
        <w:tc>
          <w:tcPr>
            <w:tcW w:w="2835" w:type="dxa"/>
            <w:vAlign w:val="center"/>
          </w:tcPr>
          <w:p>
            <w:pPr>
              <w:pStyle w:val="15"/>
            </w:pPr>
            <w:r>
              <w:t>1520.02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rPr>
                <w:rFonts w:hint="eastAsia"/>
              </w:rPr>
              <w:t>　　其中：办公用房（平方米）</w:t>
            </w:r>
          </w:p>
        </w:tc>
        <w:tc>
          <w:tcPr>
            <w:tcW w:w="2835" w:type="dxa"/>
            <w:vAlign w:val="center"/>
          </w:tcPr>
          <w:p>
            <w:pPr>
              <w:pStyle w:val="15"/>
            </w:pPr>
            <w:r>
              <w:t>1520.02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w:t>
            </w:r>
            <w:r>
              <w:rPr>
                <w:rFonts w:hint="eastAsia"/>
              </w:rPr>
              <w:t>、车辆（台、辆）</w:t>
            </w:r>
          </w:p>
        </w:tc>
        <w:tc>
          <w:tcPr>
            <w:tcW w:w="2835" w:type="dxa"/>
            <w:vAlign w:val="center"/>
          </w:tcPr>
          <w:p>
            <w:pPr>
              <w:pStyle w:val="15"/>
            </w:pPr>
            <w:r>
              <w:t>9</w:t>
            </w:r>
          </w:p>
        </w:tc>
        <w:tc>
          <w:tcPr>
            <w:tcW w:w="2835" w:type="dxa"/>
            <w:vAlign w:val="center"/>
          </w:tcPr>
          <w:p>
            <w:pPr>
              <w:pStyle w:val="13"/>
            </w:pPr>
            <w:r>
              <w:t>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w:t>
            </w:r>
            <w:r>
              <w:rPr>
                <w:rFonts w:hint="eastAsia"/>
              </w:rPr>
              <w:t>、单价在</w:t>
            </w:r>
            <w:r>
              <w:t>20</w:t>
            </w:r>
            <w:r>
              <w:rPr>
                <w:rFonts w:hint="eastAsia"/>
              </w:rPr>
              <w:t>万元以上的设备</w:t>
            </w:r>
          </w:p>
        </w:tc>
        <w:tc>
          <w:tcPr>
            <w:tcW w:w="2835" w:type="dxa"/>
            <w:vAlign w:val="center"/>
          </w:tcPr>
          <w:p>
            <w:pPr>
              <w:pStyle w:val="15"/>
            </w:pPr>
            <w:r>
              <w:t>4</w:t>
            </w:r>
          </w:p>
        </w:tc>
        <w:tc>
          <w:tcPr>
            <w:tcW w:w="2835" w:type="dxa"/>
            <w:vAlign w:val="center"/>
          </w:tcPr>
          <w:p>
            <w:pPr>
              <w:pStyle w:val="13"/>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w:t>
            </w:r>
            <w:r>
              <w:rPr>
                <w:rFonts w:hint="eastAsia"/>
              </w:rPr>
              <w:t>、其他固定资产</w:t>
            </w:r>
          </w:p>
        </w:tc>
        <w:tc>
          <w:tcPr>
            <w:tcW w:w="2835" w:type="dxa"/>
            <w:vAlign w:val="center"/>
          </w:tcPr>
          <w:p>
            <w:pPr>
              <w:pStyle w:val="15"/>
            </w:pPr>
          </w:p>
        </w:tc>
        <w:tc>
          <w:tcPr>
            <w:tcW w:w="2835" w:type="dxa"/>
            <w:vAlign w:val="center"/>
          </w:tcPr>
          <w:p>
            <w:pPr>
              <w:pStyle w:val="13"/>
            </w:pPr>
            <w:r>
              <w:t>288.76</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w:t>
      </w:r>
      <w:r>
        <w:rPr>
          <w:rFonts w:hint="eastAsia" w:eastAsia="方正仿宋_GBK"/>
          <w:color w:val="000000"/>
          <w:sz w:val="28"/>
          <w:lang w:val="en-US" w:eastAsia="zh-CN"/>
        </w:rPr>
        <w:t>单位</w:t>
      </w:r>
      <w:r>
        <w:rPr>
          <w:rFonts w:hint="eastAsia"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w:t>
      </w:r>
      <w:r>
        <w:rPr>
          <w:rFonts w:hint="eastAsia" w:eastAsia="方正仿宋_GBK"/>
          <w:color w:val="000000"/>
          <w:sz w:val="28"/>
          <w:lang w:val="en-US" w:eastAsia="zh-CN"/>
        </w:rPr>
        <w:t>单位</w:t>
      </w:r>
      <w:r>
        <w:rPr>
          <w:rFonts w:hint="eastAsia" w:eastAsia="方正仿宋_GBK"/>
          <w:color w:val="000000"/>
          <w:sz w:val="28"/>
        </w:rPr>
        <w:t>无其他需要说明的事项。</w:t>
      </w:r>
    </w:p>
    <w:p>
      <w:pPr>
        <w:jc w:val="center"/>
      </w:pPr>
      <w:r>
        <w:rPr>
          <w:rFonts w:ascii="方正小标宋_GBK" w:hAnsi="方正小标宋_GBK" w:eastAsia="方正小标宋_GBK" w:cs="方正小标宋_GBK"/>
          <w:color w:val="000000"/>
          <w:sz w:val="44"/>
        </w:rPr>
        <w:t xml:space="preserve"> </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A7B"/>
    <w:rsid w:val="00077289"/>
    <w:rsid w:val="00271A7B"/>
    <w:rsid w:val="00A06236"/>
    <w:rsid w:val="00C07770"/>
    <w:rsid w:val="00EF1776"/>
    <w:rsid w:val="22703DC6"/>
    <w:rsid w:val="22851079"/>
    <w:rsid w:val="254F4428"/>
    <w:rsid w:val="309B4511"/>
    <w:rsid w:val="4631072E"/>
    <w:rsid w:val="4A5C32E7"/>
    <w:rsid w:val="4BC431AA"/>
    <w:rsid w:val="551B3211"/>
    <w:rsid w:val="5DAE15DC"/>
    <w:rsid w:val="7F9A469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qFormat/>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uiPriority w:val="99"/>
    <w:pPr>
      <w:ind w:left="480"/>
    </w:pPr>
  </w:style>
  <w:style w:type="paragraph" w:styleId="3">
    <w:name w:val="toc 1"/>
    <w:basedOn w:val="1"/>
    <w:next w:val="1"/>
    <w:uiPriority w:val="99"/>
    <w:pPr>
      <w:spacing w:before="120"/>
      <w:ind w:firstLine="560"/>
    </w:pPr>
    <w:rPr>
      <w:rFonts w:eastAsia="方正仿宋_GBK"/>
      <w:color w:val="000000"/>
      <w:sz w:val="28"/>
    </w:rPr>
  </w:style>
  <w:style w:type="paragraph" w:styleId="4">
    <w:name w:val="toc 4"/>
    <w:basedOn w:val="1"/>
    <w:next w:val="1"/>
    <w:qFormat/>
    <w:uiPriority w:val="99"/>
    <w:pPr>
      <w:ind w:left="720"/>
    </w:pPr>
  </w:style>
  <w:style w:type="paragraph" w:styleId="5">
    <w:name w:val="toc 2"/>
    <w:basedOn w:val="1"/>
    <w:next w:val="1"/>
    <w:uiPriority w:val="99"/>
    <w:pPr>
      <w:ind w:left="240"/>
    </w:pPr>
  </w:style>
  <w:style w:type="table" w:styleId="8">
    <w:name w:val="Table Grid"/>
    <w:basedOn w:val="7"/>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99"/>
    <w:pPr>
      <w:jc w:val="right"/>
    </w:pPr>
    <w:rPr>
      <w:rFonts w:ascii="方正小标宋_GBK" w:hAnsi="方正小标宋_GBK" w:eastAsia="方正小标宋_GBK" w:cs="方正小标宋_GBK"/>
    </w:rPr>
  </w:style>
  <w:style w:type="paragraph" w:customStyle="1" w:styleId="10">
    <w:name w:val="单元格样式21"/>
    <w:basedOn w:val="1"/>
    <w:qFormat/>
    <w:uiPriority w:val="99"/>
    <w:pPr>
      <w:jc w:val="center"/>
    </w:pPr>
    <w:rPr>
      <w:rFonts w:ascii="方正小标宋_GBK" w:hAnsi="方正小标宋_GBK" w:eastAsia="方正小标宋_GBK" w:cs="方正小标宋_GBK"/>
    </w:rPr>
  </w:style>
  <w:style w:type="paragraph" w:customStyle="1" w:styleId="11">
    <w:name w:val="单元格样式20"/>
    <w:basedOn w:val="1"/>
    <w:uiPriority w:val="99"/>
    <w:rPr>
      <w:rFonts w:ascii="方正小标宋_GBK" w:hAnsi="方正小标宋_GBK" w:eastAsia="方正小标宋_GBK" w:cs="方正小标宋_GBK"/>
    </w:rPr>
  </w:style>
  <w:style w:type="paragraph" w:customStyle="1" w:styleId="12">
    <w:name w:val="单元格样式1"/>
    <w:basedOn w:val="1"/>
    <w:qFormat/>
    <w:uiPriority w:val="99"/>
    <w:pPr>
      <w:jc w:val="center"/>
    </w:pPr>
    <w:rPr>
      <w:rFonts w:ascii="方正书宋_GBK" w:hAnsi="方正书宋_GBK" w:eastAsia="方正书宋_GBK" w:cs="方正书宋_GBK"/>
      <w:b/>
      <w:sz w:val="21"/>
    </w:rPr>
  </w:style>
  <w:style w:type="paragraph" w:customStyle="1" w:styleId="13">
    <w:name w:val="单元格样式4"/>
    <w:basedOn w:val="1"/>
    <w:qFormat/>
    <w:uiPriority w:val="99"/>
    <w:pPr>
      <w:jc w:val="right"/>
    </w:pPr>
    <w:rPr>
      <w:rFonts w:ascii="方正书宋_GBK" w:hAnsi="方正书宋_GBK" w:eastAsia="方正书宋_GBK" w:cs="方正书宋_GBK"/>
      <w:sz w:val="21"/>
    </w:rPr>
  </w:style>
  <w:style w:type="paragraph" w:customStyle="1" w:styleId="14">
    <w:name w:val="单元格样式2"/>
    <w:basedOn w:val="1"/>
    <w:qFormat/>
    <w:uiPriority w:val="99"/>
    <w:rPr>
      <w:rFonts w:ascii="方正书宋_GBK" w:hAnsi="方正书宋_GBK" w:eastAsia="方正书宋_GBK" w:cs="方正书宋_GBK"/>
      <w:sz w:val="21"/>
    </w:rPr>
  </w:style>
  <w:style w:type="paragraph" w:customStyle="1" w:styleId="15">
    <w:name w:val="单元格样式3"/>
    <w:basedOn w:val="1"/>
    <w:qFormat/>
    <w:uiPriority w:val="99"/>
    <w:pPr>
      <w:jc w:val="center"/>
    </w:pPr>
    <w:rPr>
      <w:rFonts w:ascii="方正书宋_GBK" w:hAnsi="方正书宋_GBK" w:eastAsia="方正书宋_GBK" w:cs="方正书宋_GBK"/>
      <w:sz w:val="21"/>
    </w:rPr>
  </w:style>
  <w:style w:type="paragraph" w:customStyle="1" w:styleId="16">
    <w:name w:val="单元格样式6"/>
    <w:basedOn w:val="1"/>
    <w:qFormat/>
    <w:uiPriority w:val="99"/>
    <w:pPr>
      <w:jc w:val="center"/>
    </w:pPr>
    <w:rPr>
      <w:rFonts w:ascii="方正书宋_GBK" w:hAnsi="方正书宋_GBK" w:eastAsia="方正书宋_GBK" w:cs="方正书宋_GBK"/>
      <w:b/>
      <w:sz w:val="21"/>
    </w:rPr>
  </w:style>
  <w:style w:type="paragraph" w:customStyle="1" w:styleId="17">
    <w:name w:val="单元格样式7"/>
    <w:basedOn w:val="1"/>
    <w:qFormat/>
    <w:uiPriority w:val="99"/>
    <w:pPr>
      <w:jc w:val="right"/>
    </w:pPr>
    <w:rPr>
      <w:rFonts w:ascii="方正书宋_GBK" w:hAnsi="方正书宋_GBK" w:eastAsia="方正书宋_GBK" w:cs="方正书宋_GBK"/>
      <w:b/>
      <w:sz w:val="21"/>
    </w:rPr>
  </w:style>
  <w:style w:type="paragraph" w:customStyle="1" w:styleId="18">
    <w:name w:val="单元格样式5"/>
    <w:basedOn w:val="1"/>
    <w:qFormat/>
    <w:uiPriority w:val="99"/>
    <w:rPr>
      <w:rFonts w:ascii="方正书宋_GBK" w:hAnsi="方正书宋_GBK" w:eastAsia="方正书宋_GBK" w:cs="方正书宋_GBK"/>
      <w:b/>
      <w:sz w:val="21"/>
    </w:rPr>
  </w:style>
  <w:style w:type="paragraph" w:customStyle="1" w:styleId="19">
    <w:name w:val="插入文本样式-插入部门职责文件"/>
    <w:basedOn w:val="1"/>
    <w:qFormat/>
    <w:uiPriority w:val="99"/>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1">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3">
    <w:name w:val="插入文本样式-插入总体目标文件"/>
    <w:basedOn w:val="1"/>
    <w:uiPriority w:val="99"/>
    <w:pPr>
      <w:spacing w:line="500" w:lineRule="exact"/>
      <w:ind w:firstLine="560"/>
    </w:pPr>
    <w:rPr>
      <w:rFonts w:eastAsia="方正仿宋_GBK"/>
      <w:sz w:val="28"/>
    </w:rPr>
  </w:style>
  <w:style w:type="paragraph" w:customStyle="1" w:styleId="24">
    <w:name w:val="插入文本样式-插入职责分类绩效目标文件"/>
    <w:basedOn w:val="1"/>
    <w:uiPriority w:val="99"/>
    <w:pPr>
      <w:spacing w:line="500" w:lineRule="exact"/>
      <w:ind w:firstLine="560"/>
    </w:pPr>
    <w:rPr>
      <w:rFonts w:eastAsia="方正仿宋_GBK"/>
      <w:sz w:val="28"/>
    </w:rPr>
  </w:style>
  <w:style w:type="paragraph" w:customStyle="1" w:styleId="25">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6">
    <w:name w:val="Normal_00791ea6-39f0-4c9b-9aa3-acd9ddd628ee"/>
    <w:uiPriority w:val="99"/>
    <w:rPr>
      <w:rFonts w:ascii="Times New Roman" w:hAnsi="Times New Roman" w:eastAsia="宋体" w:cs="Times New Roman"/>
      <w:kern w:val="0"/>
      <w:sz w:val="24"/>
      <w:szCs w:val="24"/>
      <w:lang w:val="en-US" w:eastAsia="uk-UA" w:bidi="ar-SA"/>
    </w:rPr>
  </w:style>
  <w:style w:type="paragraph" w:customStyle="1" w:styleId="27">
    <w:name w:val="单元格样式1_a0b785f5-ef0d-40f1-b458-305812103012"/>
    <w:basedOn w:val="1"/>
    <w:uiPriority w:val="99"/>
    <w:pPr>
      <w:jc w:val="center"/>
    </w:pPr>
    <w:rPr>
      <w:rFonts w:ascii="方正书宋_GBK" w:hAnsi="方正书宋_GBK" w:eastAsia="方正书宋_GBK" w:cs="方正书宋_GBK"/>
      <w:b/>
      <w:sz w:val="21"/>
    </w:rPr>
  </w:style>
  <w:style w:type="paragraph" w:customStyle="1" w:styleId="28">
    <w:name w:val="单元格样式2_d4f7e3d3-281f-4c51-a741-eac44e69a48a"/>
    <w:basedOn w:val="1"/>
    <w:qFormat/>
    <w:uiPriority w:val="99"/>
    <w:rPr>
      <w:rFonts w:ascii="方正书宋_GBK" w:hAnsi="方正书宋_GBK" w:eastAsia="方正书宋_GBK" w:cs="方正书宋_GBK"/>
      <w:sz w:val="21"/>
    </w:rPr>
  </w:style>
  <w:style w:type="paragraph" w:customStyle="1" w:styleId="29">
    <w:name w:val="单元格样式3_cee60ea5-00a4-47a8-b0ea-7d69add80c9d"/>
    <w:basedOn w:val="1"/>
    <w:qFormat/>
    <w:uiPriority w:val="99"/>
    <w:pPr>
      <w:jc w:val="center"/>
    </w:pPr>
    <w:rPr>
      <w:rFonts w:ascii="方正书宋_GBK" w:hAnsi="方正书宋_GBK" w:eastAsia="方正书宋_GBK" w:cs="方正书宋_GBK"/>
      <w:sz w:val="21"/>
    </w:rPr>
  </w:style>
  <w:style w:type="paragraph" w:customStyle="1" w:styleId="30">
    <w:name w:val="单元格样式23"/>
    <w:basedOn w:val="1"/>
    <w:qFormat/>
    <w:uiPriority w:val="99"/>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99"/>
    <w:pPr>
      <w:spacing w:line="500" w:lineRule="exact"/>
      <w:ind w:firstLine="560"/>
    </w:pPr>
    <w:rPr>
      <w:rFonts w:eastAsia="方正仿宋_GBK"/>
      <w:sz w:val="28"/>
    </w:rPr>
  </w:style>
  <w:style w:type="paragraph" w:customStyle="1" w:styleId="32">
    <w:name w:val="插入文本样式-插入预算公开单位预算安排的总体情况文件"/>
    <w:basedOn w:val="1"/>
    <w:uiPriority w:val="99"/>
    <w:pPr>
      <w:spacing w:line="500" w:lineRule="exact"/>
      <w:ind w:firstLine="560"/>
    </w:pPr>
    <w:rPr>
      <w:rFonts w:eastAsia="方正仿宋_GBK"/>
      <w:sz w:val="28"/>
    </w:rPr>
  </w:style>
  <w:style w:type="paragraph" w:customStyle="1" w:styleId="33">
    <w:name w:val="插入文本样式-插入预算公开单位机关运行经费安排情况文件"/>
    <w:basedOn w:val="1"/>
    <w:uiPriority w:val="99"/>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4483</Words>
  <Characters>25559</Characters>
  <Lines>0</Lines>
  <Paragraphs>0</Paragraphs>
  <TotalTime>33</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2022-02-15T07:10:00Z</dcterms:created>
  <dc:creator>Administrator</dc:creator>
  <cp:lastModifiedBy>Administrator</cp:lastModifiedBy>
  <dcterms:modified xsi:type="dcterms:W3CDTF">2023-09-06T08:55:56Z</dcterms:modified>
  <cp:revision>2</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