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0" w:name="_Toc4644"/>
      <w:bookmarkStart w:id="1" w:name="_Toc19947"/>
      <w:bookmarkStart w:id="2" w:name="_Toc4809"/>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bookmarkEnd w:id="0"/>
      <w:bookmarkEnd w:id="1"/>
      <w:bookmarkEnd w:id="2"/>
    </w:p>
    <w:p>
      <w:pPr>
        <w:keepNext w:val="0"/>
        <w:keepLines w:val="0"/>
        <w:pageBreakBefore w:val="0"/>
        <w:widowControl/>
        <w:kinsoku/>
        <w:wordWrap/>
        <w:overflowPunct/>
        <w:topLinePunct w:val="0"/>
        <w:autoSpaceDE/>
        <w:autoSpaceDN/>
        <w:bidi w:val="0"/>
        <w:adjustRightInd/>
        <w:snapToGrid/>
        <w:spacing w:line="120" w:lineRule="exact"/>
        <w:jc w:val="center"/>
        <w:textAlignment w:val="auto"/>
        <w:outlineLvl w:val="0"/>
        <w:rPr>
          <w:rFonts w:ascii="黑体" w:hAnsi="黑体" w:eastAsia="黑体" w:cs="黑体"/>
          <w:b/>
          <w:color w:val="000000"/>
          <w:sz w:val="44"/>
        </w:rPr>
      </w:pPr>
    </w:p>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黑体" w:hAnsi="黑体" w:eastAsia="黑体" w:cs="黑体"/>
          <w:b/>
          <w:color w:val="000000"/>
          <w:sz w:val="44"/>
        </w:rPr>
      </w:pPr>
    </w:p>
    <w:p>
      <w:pPr>
        <w:spacing w:line="360" w:lineRule="auto"/>
        <w:rPr>
          <w:rFonts w:hint="eastAsia" w:ascii="方正楷体_GBK" w:hAnsi="方正楷体_GBK" w:eastAsia="方正楷体_GBK" w:cs="方正楷体_GBK"/>
          <w:b/>
          <w:color w:val="000000"/>
          <w:sz w:val="28"/>
          <w:lang w:val="en-US" w:eastAsia="uk-UA"/>
        </w:rPr>
      </w:pPr>
      <w:r>
        <w:fldChar w:fldCharType="begin"/>
      </w:r>
      <w:r>
        <w:instrText xml:space="preserve">TOC \o "1-2" \h \u </w:instrText>
      </w:r>
      <w:r>
        <w:fldChar w:fldCharType="separate"/>
      </w:r>
      <w:r>
        <w:rPr>
          <w:rFonts w:hint="eastAsia" w:ascii="方正楷体_GBK" w:hAnsi="方正楷体_GBK" w:eastAsia="方正楷体_GBK" w:cs="方正楷体_GBK"/>
          <w:b/>
          <w:color w:val="000000"/>
          <w:sz w:val="28"/>
          <w:lang w:eastAsia="zh-CN"/>
        </w:rPr>
        <w:t>单位预算公开表</w:t>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_Toc6624 </w:instrText>
      </w:r>
      <w:r>
        <w:fldChar w:fldCharType="separate"/>
      </w:r>
      <w:r>
        <w:rPr>
          <w:rFonts w:hint="eastAsia" w:ascii="Times New Roman" w:hAnsi="Times New Roman" w:eastAsia="方正仿宋_GBK" w:cs="Times New Roman"/>
          <w:color w:val="000000"/>
          <w:sz w:val="28"/>
          <w:szCs w:val="24"/>
          <w:lang w:val="en-US" w:eastAsia="zh-CN" w:bidi="ar-SA"/>
        </w:rPr>
        <w:t>单位预算收支总表</w:t>
      </w:r>
      <w:r>
        <w:tab/>
      </w:r>
      <w:r>
        <w:fldChar w:fldCharType="begin"/>
      </w:r>
      <w:r>
        <w:instrText xml:space="preserve"> PAGEREF _Toc6624 \h </w:instrText>
      </w:r>
      <w:r>
        <w:fldChar w:fldCharType="separate"/>
      </w:r>
      <w:r>
        <w:t>1</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_Toc23066 </w:instrText>
      </w:r>
      <w:r>
        <w:fldChar w:fldCharType="separate"/>
      </w:r>
      <w:r>
        <w:rPr>
          <w:rFonts w:hint="eastAsia" w:ascii="Times New Roman" w:hAnsi="Times New Roman" w:eastAsia="方正仿宋_GBK" w:cs="Times New Roman"/>
          <w:color w:val="000000"/>
          <w:sz w:val="28"/>
          <w:szCs w:val="24"/>
          <w:lang w:val="en-US" w:eastAsia="zh-CN" w:bidi="ar-SA"/>
        </w:rPr>
        <w:t>单位预算收入总表</w:t>
      </w:r>
      <w:r>
        <w:tab/>
      </w:r>
      <w:r>
        <w:fldChar w:fldCharType="begin"/>
      </w:r>
      <w:r>
        <w:instrText xml:space="preserve"> PAGEREF _Toc23066 \h </w:instrText>
      </w:r>
      <w:r>
        <w:fldChar w:fldCharType="separate"/>
      </w:r>
      <w:r>
        <w:t>3</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_Toc6302 </w:instrText>
      </w:r>
      <w:r>
        <w:fldChar w:fldCharType="separate"/>
      </w:r>
      <w:r>
        <w:rPr>
          <w:rFonts w:hint="eastAsia" w:ascii="Times New Roman" w:hAnsi="Times New Roman" w:eastAsia="方正仿宋_GBK" w:cs="Times New Roman"/>
          <w:color w:val="000000"/>
          <w:sz w:val="28"/>
          <w:szCs w:val="24"/>
          <w:lang w:val="en-US" w:eastAsia="zh-CN" w:bidi="ar-SA"/>
        </w:rPr>
        <w:t>单位预算支出总表</w:t>
      </w:r>
      <w:r>
        <w:tab/>
      </w:r>
      <w:r>
        <w:fldChar w:fldCharType="begin"/>
      </w:r>
      <w:r>
        <w:instrText xml:space="preserve"> PAGEREF _Toc6302 \h </w:instrText>
      </w:r>
      <w:r>
        <w:fldChar w:fldCharType="separate"/>
      </w:r>
      <w:r>
        <w:t>4</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_Toc3434 </w:instrText>
      </w:r>
      <w:r>
        <w:fldChar w:fldCharType="separate"/>
      </w:r>
      <w:r>
        <w:rPr>
          <w:rFonts w:hint="eastAsia" w:ascii="Times New Roman" w:hAnsi="Times New Roman" w:eastAsia="方正仿宋_GBK" w:cs="Times New Roman"/>
          <w:color w:val="000000"/>
          <w:sz w:val="28"/>
          <w:szCs w:val="24"/>
          <w:lang w:val="en-US" w:eastAsia="zh-CN" w:bidi="ar-SA"/>
        </w:rPr>
        <w:t>单位预算财政拨款收支总表</w:t>
      </w:r>
      <w:r>
        <w:tab/>
      </w:r>
      <w:r>
        <w:fldChar w:fldCharType="begin"/>
      </w:r>
      <w:r>
        <w:instrText xml:space="preserve"> PAGEREF _Toc3434 \h </w:instrText>
      </w:r>
      <w:r>
        <w:fldChar w:fldCharType="separate"/>
      </w:r>
      <w:r>
        <w:t>5</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_Toc21549 </w:instrText>
      </w:r>
      <w:r>
        <w:fldChar w:fldCharType="separate"/>
      </w:r>
      <w:r>
        <w:rPr>
          <w:rFonts w:hint="eastAsia" w:ascii="Times New Roman" w:hAnsi="Times New Roman" w:eastAsia="方正仿宋_GBK" w:cs="Times New Roman"/>
          <w:color w:val="000000"/>
          <w:sz w:val="28"/>
          <w:szCs w:val="24"/>
          <w:lang w:val="en-US" w:eastAsia="zh-CN" w:bidi="ar-SA"/>
        </w:rPr>
        <w:t>单位预算一般公共预算财政拨款支出表</w:t>
      </w:r>
      <w:r>
        <w:tab/>
      </w:r>
      <w:r>
        <w:fldChar w:fldCharType="begin"/>
      </w:r>
      <w:r>
        <w:instrText xml:space="preserve"> PAGEREF _Toc21549 \h </w:instrText>
      </w:r>
      <w:r>
        <w:fldChar w:fldCharType="separate"/>
      </w:r>
      <w:r>
        <w:t>8</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_Toc11739 </w:instrText>
      </w:r>
      <w:r>
        <w:fldChar w:fldCharType="separate"/>
      </w:r>
      <w:r>
        <w:rPr>
          <w:rFonts w:hint="eastAsia" w:ascii="Times New Roman" w:hAnsi="Times New Roman" w:eastAsia="方正仿宋_GBK" w:cs="Times New Roman"/>
          <w:color w:val="000000"/>
          <w:sz w:val="28"/>
          <w:szCs w:val="24"/>
          <w:lang w:val="en-US" w:eastAsia="zh-CN" w:bidi="ar-SA"/>
        </w:rPr>
        <w:t>单位预算一般公共预算财政拨款基本支出表</w:t>
      </w:r>
      <w:r>
        <w:tab/>
      </w:r>
      <w:r>
        <w:fldChar w:fldCharType="begin"/>
      </w:r>
      <w:r>
        <w:instrText xml:space="preserve"> PAGEREF _Toc11739 \h </w:instrText>
      </w:r>
      <w:r>
        <w:fldChar w:fldCharType="separate"/>
      </w:r>
      <w:r>
        <w:t>9</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_Toc32415 </w:instrText>
      </w:r>
      <w:r>
        <w:fldChar w:fldCharType="separate"/>
      </w:r>
      <w:r>
        <w:rPr>
          <w:rFonts w:hint="eastAsia" w:ascii="Times New Roman" w:hAnsi="Times New Roman" w:eastAsia="方正仿宋_GBK" w:cs="Times New Roman"/>
          <w:color w:val="000000"/>
          <w:sz w:val="28"/>
          <w:szCs w:val="24"/>
          <w:lang w:val="en-US" w:eastAsia="zh-CN" w:bidi="ar-SA"/>
        </w:rPr>
        <w:t>单位预算政府基金预算财政拨款支出表</w:t>
      </w:r>
      <w:r>
        <w:tab/>
      </w:r>
      <w:r>
        <w:fldChar w:fldCharType="begin"/>
      </w:r>
      <w:r>
        <w:instrText xml:space="preserve"> PAGEREF _Toc32415 \h </w:instrText>
      </w:r>
      <w:r>
        <w:fldChar w:fldCharType="separate"/>
      </w:r>
      <w:r>
        <w:t>10</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_Toc31706 </w:instrText>
      </w:r>
      <w:r>
        <w:fldChar w:fldCharType="separate"/>
      </w:r>
      <w:r>
        <w:rPr>
          <w:rFonts w:hint="eastAsia" w:ascii="Times New Roman" w:hAnsi="Times New Roman" w:eastAsia="方正仿宋_GBK" w:cs="Times New Roman"/>
          <w:color w:val="000000"/>
          <w:sz w:val="28"/>
          <w:szCs w:val="24"/>
          <w:lang w:val="en-US" w:eastAsia="zh-CN" w:bidi="ar-SA"/>
        </w:rPr>
        <w:t>单位预算国有资本经营预算财政拨款支出表</w:t>
      </w:r>
      <w:r>
        <w:tab/>
      </w:r>
      <w:r>
        <w:fldChar w:fldCharType="begin"/>
      </w:r>
      <w:r>
        <w:instrText xml:space="preserve"> PAGEREF _Toc31706 \h </w:instrText>
      </w:r>
      <w:r>
        <w:fldChar w:fldCharType="separate"/>
      </w:r>
      <w:r>
        <w:t>11</w:t>
      </w:r>
      <w:r>
        <w:fldChar w:fldCharType="end"/>
      </w:r>
      <w: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textAlignment w:val="auto"/>
      </w:pPr>
      <w:r>
        <w:fldChar w:fldCharType="begin"/>
      </w:r>
      <w:r>
        <w:instrText xml:space="preserve"> HYPERLINK \l _Toc23235 </w:instrText>
      </w:r>
      <w:r>
        <w:fldChar w:fldCharType="separate"/>
      </w:r>
      <w:r>
        <w:rPr>
          <w:rFonts w:hint="eastAsia" w:ascii="Times New Roman" w:hAnsi="Times New Roman" w:eastAsia="方正仿宋_GBK" w:cs="Times New Roman"/>
          <w:color w:val="000000"/>
          <w:sz w:val="28"/>
          <w:szCs w:val="24"/>
          <w:lang w:val="en-US" w:eastAsia="zh-CN" w:bidi="ar-SA"/>
        </w:rPr>
        <w:t>单位预算财政拨款“三公”经费支出表</w:t>
      </w:r>
      <w:r>
        <w:tab/>
      </w:r>
      <w:r>
        <w:fldChar w:fldCharType="begin"/>
      </w:r>
      <w:r>
        <w:instrText xml:space="preserve"> PAGEREF _Toc23235 \h </w:instrText>
      </w:r>
      <w:r>
        <w:fldChar w:fldCharType="separate"/>
      </w:r>
      <w:r>
        <w:t>12</w:t>
      </w:r>
      <w:r>
        <w:fldChar w:fldCharType="end"/>
      </w:r>
      <w:r>
        <w:fldChar w:fldCharType="end"/>
      </w:r>
    </w:p>
    <w:p/>
    <w:p>
      <w:pPr>
        <w:spacing w:line="360" w:lineRule="auto"/>
        <w:rPr>
          <w:rFonts w:hint="eastAsia" w:ascii="方正楷体_GBK" w:hAnsi="方正楷体_GBK" w:eastAsia="方正楷体_GBK" w:cs="方正楷体_GBK"/>
          <w:b/>
          <w:color w:val="000000"/>
          <w:sz w:val="28"/>
          <w:lang w:eastAsia="zh-CN"/>
        </w:rPr>
      </w:pPr>
      <w:r>
        <w:rPr>
          <w:rFonts w:hint="eastAsia" w:ascii="方正楷体_GBK" w:hAnsi="方正楷体_GBK" w:eastAsia="方正楷体_GBK" w:cs="方正楷体_GBK"/>
          <w:b/>
          <w:color w:val="000000"/>
          <w:sz w:val="28"/>
          <w:lang w:eastAsia="zh-CN"/>
        </w:rPr>
        <w:t>单位预算信息公开情况说明</w:t>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_Toc2732 </w:instrText>
      </w:r>
      <w:r>
        <w:fldChar w:fldCharType="separate"/>
      </w:r>
      <w:r>
        <w:rPr>
          <w:rFonts w:hint="eastAsia" w:ascii="Times New Roman" w:hAnsi="Times New Roman" w:eastAsia="方正仿宋_GBK" w:cs="Times New Roman"/>
          <w:color w:val="000000"/>
          <w:sz w:val="28"/>
          <w:szCs w:val="24"/>
          <w:lang w:val="en-US" w:eastAsia="zh-CN" w:bidi="ar-SA"/>
        </w:rPr>
        <w:t>一、单位职责及机构设置情况</w:t>
      </w:r>
      <w:r>
        <w:tab/>
      </w:r>
      <w:r>
        <w:fldChar w:fldCharType="begin"/>
      </w:r>
      <w:r>
        <w:instrText xml:space="preserve"> PAGEREF _Toc2732 \h </w:instrText>
      </w:r>
      <w:r>
        <w:fldChar w:fldCharType="separate"/>
      </w:r>
      <w:r>
        <w:t>13</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_Toc25526 </w:instrText>
      </w:r>
      <w:r>
        <w:fldChar w:fldCharType="separate"/>
      </w:r>
      <w:r>
        <w:rPr>
          <w:rFonts w:hint="eastAsia" w:ascii="Times New Roman" w:hAnsi="Times New Roman" w:eastAsia="方正仿宋_GBK" w:cs="Times New Roman"/>
          <w:color w:val="000000"/>
          <w:sz w:val="28"/>
          <w:szCs w:val="24"/>
          <w:lang w:val="en-US" w:eastAsia="zh-CN" w:bidi="ar-SA"/>
        </w:rPr>
        <w:t>二、单位预算安排的总体情况</w:t>
      </w:r>
      <w:r>
        <w:tab/>
      </w:r>
      <w:r>
        <w:fldChar w:fldCharType="begin"/>
      </w:r>
      <w:r>
        <w:instrText xml:space="preserve"> PAGEREF _Toc25526 \h </w:instrText>
      </w:r>
      <w:r>
        <w:fldChar w:fldCharType="separate"/>
      </w:r>
      <w:r>
        <w:t>14</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sectPr>
          <w:pgSz w:w="16840" w:h="11900" w:orient="landscape"/>
          <w:pgMar w:top="1587" w:right="1134" w:bottom="1361" w:left="1134" w:header="720" w:footer="720" w:gutter="0"/>
          <w:pgNumType w:fmt="decimal" w:start="1"/>
          <w:cols w:space="720" w:num="1"/>
        </w:sectPr>
      </w:pP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_Toc9718 </w:instrText>
      </w:r>
      <w:r>
        <w:fldChar w:fldCharType="separate"/>
      </w:r>
      <w:r>
        <w:rPr>
          <w:rFonts w:hint="eastAsia" w:ascii="Times New Roman" w:hAnsi="Times New Roman" w:eastAsia="方正仿宋_GBK" w:cs="Times New Roman"/>
          <w:color w:val="000000"/>
          <w:sz w:val="28"/>
          <w:szCs w:val="24"/>
          <w:lang w:val="en-US" w:eastAsia="zh-CN" w:bidi="ar-SA"/>
        </w:rPr>
        <w:t>三、机关运行经费安排情况</w:t>
      </w:r>
      <w:r>
        <w:tab/>
      </w:r>
      <w:r>
        <w:fldChar w:fldCharType="begin"/>
      </w:r>
      <w:r>
        <w:instrText xml:space="preserve"> PAGEREF _Toc9718 \h </w:instrText>
      </w:r>
      <w:r>
        <w:fldChar w:fldCharType="separate"/>
      </w:r>
      <w:r>
        <w:t>14</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_Toc17823 </w:instrText>
      </w:r>
      <w:r>
        <w:fldChar w:fldCharType="separate"/>
      </w:r>
      <w:r>
        <w:rPr>
          <w:rFonts w:hint="eastAsia" w:ascii="Times New Roman" w:hAnsi="Times New Roman" w:eastAsia="方正仿宋_GBK" w:cs="Times New Roman"/>
          <w:color w:val="000000"/>
          <w:sz w:val="28"/>
          <w:szCs w:val="24"/>
          <w:lang w:val="en-US" w:eastAsia="zh-CN" w:bidi="ar-SA"/>
        </w:rPr>
        <w:t>四、财政拨款“三公”经费预算情况及增减变化原因</w:t>
      </w:r>
      <w:r>
        <w:tab/>
      </w:r>
      <w:r>
        <w:fldChar w:fldCharType="begin"/>
      </w:r>
      <w:r>
        <w:instrText xml:space="preserve"> PAGEREF _Toc17823 \h </w:instrText>
      </w:r>
      <w:r>
        <w:fldChar w:fldCharType="separate"/>
      </w:r>
      <w:r>
        <w:t>15</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_Toc28820 </w:instrText>
      </w:r>
      <w:r>
        <w:fldChar w:fldCharType="separate"/>
      </w:r>
      <w:r>
        <w:rPr>
          <w:rFonts w:hint="eastAsia" w:ascii="Times New Roman" w:hAnsi="Times New Roman" w:eastAsia="方正仿宋_GBK" w:cs="Times New Roman"/>
          <w:color w:val="000000"/>
          <w:sz w:val="28"/>
          <w:szCs w:val="24"/>
          <w:lang w:val="en-US" w:eastAsia="zh-CN" w:bidi="ar-SA"/>
        </w:rPr>
        <w:t>五、预算绩效信息</w:t>
      </w:r>
      <w:r>
        <w:tab/>
      </w:r>
      <w:r>
        <w:fldChar w:fldCharType="begin"/>
      </w:r>
      <w:r>
        <w:instrText xml:space="preserve"> PAGEREF _Toc28820 \h </w:instrText>
      </w:r>
      <w:r>
        <w:fldChar w:fldCharType="separate"/>
      </w:r>
      <w:r>
        <w:t>15</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_Toc22616 </w:instrText>
      </w:r>
      <w:r>
        <w:fldChar w:fldCharType="separate"/>
      </w:r>
      <w:r>
        <w:rPr>
          <w:rFonts w:hint="eastAsia" w:ascii="Times New Roman" w:hAnsi="Times New Roman" w:eastAsia="方正仿宋_GBK" w:cs="Times New Roman"/>
          <w:color w:val="000000"/>
          <w:sz w:val="28"/>
          <w:szCs w:val="24"/>
          <w:lang w:val="en-US" w:eastAsia="zh-CN" w:bidi="ar-SA"/>
        </w:rPr>
        <w:t>六、政府采购预算情况</w:t>
      </w:r>
      <w:r>
        <w:tab/>
      </w:r>
      <w:r>
        <w:fldChar w:fldCharType="begin"/>
      </w:r>
      <w:r>
        <w:instrText xml:space="preserve"> PAGEREF _Toc22616 \h </w:instrText>
      </w:r>
      <w:r>
        <w:fldChar w:fldCharType="separate"/>
      </w:r>
      <w:r>
        <w:t>17</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_Toc17156 </w:instrText>
      </w:r>
      <w:r>
        <w:fldChar w:fldCharType="separate"/>
      </w:r>
      <w:r>
        <w:rPr>
          <w:rFonts w:hint="eastAsia" w:ascii="Times New Roman" w:hAnsi="Times New Roman" w:eastAsia="方正仿宋_GBK" w:cs="Times New Roman"/>
          <w:color w:val="000000"/>
          <w:sz w:val="28"/>
          <w:szCs w:val="24"/>
          <w:lang w:val="en-US" w:eastAsia="zh-CN" w:bidi="ar-SA"/>
        </w:rPr>
        <w:t>七、国有资产信息</w:t>
      </w:r>
      <w:r>
        <w:tab/>
      </w:r>
      <w:r>
        <w:fldChar w:fldCharType="begin"/>
      </w:r>
      <w:r>
        <w:instrText xml:space="preserve"> PAGEREF _Toc17156 \h </w:instrText>
      </w:r>
      <w:r>
        <w:fldChar w:fldCharType="separate"/>
      </w:r>
      <w:r>
        <w:t>18</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_Toc17666 </w:instrText>
      </w:r>
      <w:r>
        <w:fldChar w:fldCharType="separate"/>
      </w:r>
      <w:r>
        <w:rPr>
          <w:rFonts w:hint="eastAsia" w:ascii="Times New Roman" w:hAnsi="Times New Roman" w:eastAsia="方正仿宋_GBK" w:cs="Times New Roman"/>
          <w:color w:val="000000"/>
          <w:sz w:val="28"/>
          <w:szCs w:val="24"/>
          <w:lang w:val="en-US" w:eastAsia="zh-CN" w:bidi="ar-SA"/>
        </w:rPr>
        <w:t>八、名词解释</w:t>
      </w:r>
      <w:r>
        <w:tab/>
      </w:r>
      <w:r>
        <w:fldChar w:fldCharType="begin"/>
      </w:r>
      <w:r>
        <w:instrText xml:space="preserve"> PAGEREF _Toc17666 \h </w:instrText>
      </w:r>
      <w:r>
        <w:fldChar w:fldCharType="separate"/>
      </w:r>
      <w:r>
        <w:t>19</w:t>
      </w:r>
      <w:r>
        <w:fldChar w:fldCharType="end"/>
      </w:r>
      <w: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360" w:lineRule="auto"/>
        <w:ind w:left="480" w:leftChars="200"/>
        <w:textAlignment w:val="auto"/>
      </w:pPr>
      <w:r>
        <w:fldChar w:fldCharType="begin"/>
      </w:r>
      <w:r>
        <w:instrText xml:space="preserve"> HYPERLINK \l _Toc16125 </w:instrText>
      </w:r>
      <w:r>
        <w:fldChar w:fldCharType="separate"/>
      </w:r>
      <w:r>
        <w:rPr>
          <w:rFonts w:hint="eastAsia" w:ascii="Times New Roman" w:hAnsi="Times New Roman" w:eastAsia="方正仿宋_GBK" w:cs="Times New Roman"/>
          <w:color w:val="000000"/>
          <w:sz w:val="28"/>
          <w:szCs w:val="24"/>
          <w:lang w:val="en-US" w:eastAsia="zh-CN" w:bidi="ar-SA"/>
        </w:rPr>
        <w:t>九、其他需要说明的事项</w:t>
      </w:r>
      <w:r>
        <w:tab/>
      </w:r>
      <w:r>
        <w:fldChar w:fldCharType="begin"/>
      </w:r>
      <w:r>
        <w:instrText xml:space="preserve"> PAGEREF _Toc16125 \h </w:instrText>
      </w:r>
      <w:r>
        <w:fldChar w:fldCharType="separate"/>
      </w:r>
      <w:r>
        <w:t>20</w:t>
      </w:r>
      <w:r>
        <w:fldChar w:fldCharType="end"/>
      </w:r>
      <w:r>
        <w:fldChar w:fldCharType="end"/>
      </w:r>
    </w:p>
    <w:p>
      <w:r>
        <w:fldChar w:fldCharType="end"/>
      </w:r>
    </w:p>
    <w:p>
      <w:pPr>
        <w:jc w:val="center"/>
      </w:pPr>
      <w:r>
        <w:rPr>
          <w:rFonts w:ascii="黑体" w:hAnsi="黑体" w:eastAsia="黑体" w:cs="黑体"/>
          <w:b/>
          <w:color w:val="000000"/>
          <w:sz w:val="30"/>
        </w:rPr>
        <w:t xml:space="preserve"> </w:t>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p>
    <w:p>
      <w:pPr>
        <w:jc w:val="center"/>
        <w:outlineLvl w:val="0"/>
      </w:pPr>
      <w:bookmarkStart w:id="3" w:name="_Toc_4_4_0000000019"/>
      <w:bookmarkStart w:id="4" w:name="_Toc30675"/>
      <w:bookmarkStart w:id="5" w:name="_Toc3415"/>
      <w:r>
        <w:rPr>
          <w:rFonts w:ascii="方正小标宋_GBK" w:hAnsi="方正小标宋_GBK" w:eastAsia="方正小标宋_GBK" w:cs="方正小标宋_GBK"/>
          <w:color w:val="000000"/>
          <w:sz w:val="44"/>
        </w:rPr>
        <w:t>一、隆尧县工业经济联合会秘书处本级收支预算</w:t>
      </w:r>
      <w:bookmarkEnd w:id="3"/>
      <w:bookmarkEnd w:id="4"/>
      <w:bookmarkEnd w:id="5"/>
    </w:p>
    <w:p>
      <w:pPr>
        <w:jc w:val="center"/>
        <w:outlineLvl w:val="1"/>
        <w:rPr>
          <w:rFonts w:hint="eastAsia" w:ascii="方正小标宋_GBK" w:hAnsi="方正小标宋_GBK" w:eastAsia="方正小标宋_GBK" w:cs="方正小标宋_GBK"/>
          <w:color w:val="000000"/>
          <w:sz w:val="36"/>
          <w:lang w:eastAsia="zh-CN"/>
        </w:rPr>
      </w:pPr>
      <w:bookmarkStart w:id="6" w:name="_Toc32641"/>
      <w:bookmarkStart w:id="7" w:name="_Toc22939"/>
      <w:bookmarkStart w:id="8" w:name="_Toc6624"/>
      <w:r>
        <w:rPr>
          <w:rFonts w:hint="eastAsia" w:ascii="方正小标宋_GBK" w:hAnsi="方正小标宋_GBK" w:eastAsia="方正小标宋_GBK" w:cs="方正小标宋_GBK"/>
          <w:color w:val="000000"/>
          <w:sz w:val="36"/>
          <w:lang w:eastAsia="zh-CN"/>
        </w:rPr>
        <w:t>单位预算收支总表</w:t>
      </w:r>
      <w:bookmarkEnd w:id="6"/>
      <w:bookmarkEnd w:id="7"/>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80.43</w:t>
            </w:r>
          </w:p>
        </w:tc>
        <w:tc>
          <w:tcPr>
            <w:tcW w:w="4535" w:type="dxa"/>
            <w:vAlign w:val="center"/>
          </w:tcPr>
          <w:p>
            <w:pPr>
              <w:pStyle w:val="15"/>
            </w:pPr>
            <w:r>
              <w:t>一、一般公共服务支出</w:t>
            </w:r>
          </w:p>
        </w:tc>
        <w:tc>
          <w:tcPr>
            <w:tcW w:w="2126" w:type="dxa"/>
            <w:vAlign w:val="center"/>
          </w:tcPr>
          <w:p>
            <w:pPr>
              <w:pStyle w:val="14"/>
            </w:pPr>
            <w:r>
              <w:t>70.55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二十六、年初预留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80.43</w:t>
            </w:r>
          </w:p>
        </w:tc>
        <w:tc>
          <w:tcPr>
            <w:tcW w:w="4535" w:type="dxa"/>
            <w:vAlign w:val="center"/>
          </w:tcPr>
          <w:p>
            <w:pPr>
              <w:pStyle w:val="17"/>
            </w:pPr>
            <w:r>
              <w:t>本年支出合计</w:t>
            </w:r>
          </w:p>
        </w:tc>
        <w:tc>
          <w:tcPr>
            <w:tcW w:w="2126" w:type="dxa"/>
            <w:vAlign w:val="center"/>
          </w:tcPr>
          <w:p>
            <w:pPr>
              <w:pStyle w:val="18"/>
            </w:pPr>
            <w:r>
              <w:t>80.43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80.43</w:t>
            </w:r>
          </w:p>
        </w:tc>
        <w:tc>
          <w:tcPr>
            <w:tcW w:w="4535" w:type="dxa"/>
            <w:vAlign w:val="center"/>
          </w:tcPr>
          <w:p>
            <w:pPr>
              <w:pStyle w:val="17"/>
            </w:pPr>
            <w:r>
              <w:t>支出总计</w:t>
            </w:r>
          </w:p>
        </w:tc>
        <w:tc>
          <w:tcPr>
            <w:tcW w:w="2126" w:type="dxa"/>
            <w:vAlign w:val="center"/>
          </w:tcPr>
          <w:p>
            <w:pPr>
              <w:pStyle w:val="18"/>
            </w:pPr>
            <w:r>
              <w:t>80.43</w:t>
            </w:r>
          </w:p>
        </w:tc>
      </w:tr>
    </w:tbl>
    <w:p>
      <w:p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9" w:name="_Toc23066"/>
      <w:r>
        <w:rPr>
          <w:rFonts w:hint="eastAsia" w:ascii="方正小标宋_GBK" w:hAnsi="方正小标宋_GBK" w:eastAsia="方正小标宋_GBK" w:cs="方正小标宋_GBK"/>
          <w:color w:val="000000"/>
          <w:sz w:val="36"/>
          <w:lang w:eastAsia="zh-CN"/>
        </w:rPr>
        <w:t>单位预算收入总表</w:t>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80.43</w:t>
            </w:r>
          </w:p>
        </w:tc>
        <w:tc>
          <w:tcPr>
            <w:tcW w:w="1134" w:type="dxa"/>
            <w:vAlign w:val="center"/>
          </w:tcPr>
          <w:p>
            <w:pPr>
              <w:pStyle w:val="18"/>
            </w:pPr>
            <w:r>
              <w:t>80.43</w:t>
            </w:r>
          </w:p>
        </w:tc>
        <w:tc>
          <w:tcPr>
            <w:tcW w:w="1134" w:type="dxa"/>
            <w:vAlign w:val="center"/>
          </w:tcPr>
          <w:p>
            <w:pPr>
              <w:pStyle w:val="18"/>
            </w:pPr>
            <w:r>
              <w:t>80.43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70.55</w:t>
            </w:r>
          </w:p>
        </w:tc>
        <w:tc>
          <w:tcPr>
            <w:tcW w:w="1134" w:type="dxa"/>
            <w:vAlign w:val="center"/>
          </w:tcPr>
          <w:p>
            <w:pPr>
              <w:pStyle w:val="14"/>
            </w:pPr>
            <w:r>
              <w:t>70.55</w:t>
            </w:r>
          </w:p>
        </w:tc>
        <w:tc>
          <w:tcPr>
            <w:tcW w:w="1134" w:type="dxa"/>
            <w:vAlign w:val="center"/>
          </w:tcPr>
          <w:p>
            <w:pPr>
              <w:pStyle w:val="14"/>
            </w:pPr>
            <w:r>
              <w:t>70.55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20129</w:t>
            </w:r>
          </w:p>
        </w:tc>
        <w:tc>
          <w:tcPr>
            <w:tcW w:w="1559" w:type="dxa"/>
            <w:vAlign w:val="center"/>
          </w:tcPr>
          <w:p>
            <w:pPr>
              <w:pStyle w:val="15"/>
            </w:pPr>
            <w:r>
              <w:t>群众团体事务</w:t>
            </w:r>
          </w:p>
        </w:tc>
        <w:tc>
          <w:tcPr>
            <w:tcW w:w="1134" w:type="dxa"/>
            <w:vAlign w:val="center"/>
          </w:tcPr>
          <w:p>
            <w:pPr>
              <w:pStyle w:val="14"/>
            </w:pPr>
            <w:r>
              <w:t>70.55</w:t>
            </w:r>
          </w:p>
        </w:tc>
        <w:tc>
          <w:tcPr>
            <w:tcW w:w="1134" w:type="dxa"/>
            <w:vAlign w:val="center"/>
          </w:tcPr>
          <w:p>
            <w:pPr>
              <w:pStyle w:val="14"/>
            </w:pPr>
            <w:r>
              <w:t>70.55</w:t>
            </w:r>
          </w:p>
        </w:tc>
        <w:tc>
          <w:tcPr>
            <w:tcW w:w="1134" w:type="dxa"/>
            <w:vAlign w:val="center"/>
          </w:tcPr>
          <w:p>
            <w:pPr>
              <w:pStyle w:val="14"/>
            </w:pPr>
            <w:r>
              <w:t>70.55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2012901</w:t>
            </w:r>
          </w:p>
        </w:tc>
        <w:tc>
          <w:tcPr>
            <w:tcW w:w="1559" w:type="dxa"/>
            <w:vAlign w:val="center"/>
          </w:tcPr>
          <w:p>
            <w:pPr>
              <w:pStyle w:val="15"/>
            </w:pPr>
            <w:r>
              <w:t>行政运行</w:t>
            </w:r>
          </w:p>
        </w:tc>
        <w:tc>
          <w:tcPr>
            <w:tcW w:w="1134" w:type="dxa"/>
            <w:vAlign w:val="center"/>
          </w:tcPr>
          <w:p>
            <w:pPr>
              <w:pStyle w:val="14"/>
            </w:pPr>
            <w:r>
              <w:t>70.55</w:t>
            </w:r>
          </w:p>
        </w:tc>
        <w:tc>
          <w:tcPr>
            <w:tcW w:w="1134" w:type="dxa"/>
            <w:vAlign w:val="center"/>
          </w:tcPr>
          <w:p>
            <w:pPr>
              <w:pStyle w:val="14"/>
            </w:pPr>
            <w:r>
              <w:t>70.55</w:t>
            </w:r>
          </w:p>
        </w:tc>
        <w:tc>
          <w:tcPr>
            <w:tcW w:w="1134" w:type="dxa"/>
            <w:vAlign w:val="center"/>
          </w:tcPr>
          <w:p>
            <w:pPr>
              <w:pStyle w:val="14"/>
            </w:pPr>
            <w:r>
              <w:t>70.55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4.23</w:t>
            </w:r>
          </w:p>
        </w:tc>
        <w:tc>
          <w:tcPr>
            <w:tcW w:w="1134" w:type="dxa"/>
            <w:vAlign w:val="center"/>
          </w:tcPr>
          <w:p>
            <w:pPr>
              <w:pStyle w:val="14"/>
            </w:pPr>
            <w:r>
              <w:t>4.23</w:t>
            </w:r>
          </w:p>
        </w:tc>
        <w:tc>
          <w:tcPr>
            <w:tcW w:w="1134" w:type="dxa"/>
            <w:vAlign w:val="center"/>
          </w:tcPr>
          <w:p>
            <w:pPr>
              <w:pStyle w:val="14"/>
            </w:pPr>
            <w:r>
              <w:t>4.23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4.23</w:t>
            </w:r>
          </w:p>
        </w:tc>
        <w:tc>
          <w:tcPr>
            <w:tcW w:w="1134" w:type="dxa"/>
            <w:vAlign w:val="center"/>
          </w:tcPr>
          <w:p>
            <w:pPr>
              <w:pStyle w:val="14"/>
            </w:pPr>
            <w:r>
              <w:t>4.23</w:t>
            </w:r>
          </w:p>
        </w:tc>
        <w:tc>
          <w:tcPr>
            <w:tcW w:w="1134" w:type="dxa"/>
            <w:vAlign w:val="center"/>
          </w:tcPr>
          <w:p>
            <w:pPr>
              <w:pStyle w:val="14"/>
            </w:pPr>
            <w:r>
              <w:t>4.23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4.23</w:t>
            </w:r>
          </w:p>
        </w:tc>
        <w:tc>
          <w:tcPr>
            <w:tcW w:w="1134" w:type="dxa"/>
            <w:vAlign w:val="center"/>
          </w:tcPr>
          <w:p>
            <w:pPr>
              <w:pStyle w:val="14"/>
            </w:pPr>
            <w:r>
              <w:t>4.23</w:t>
            </w:r>
          </w:p>
        </w:tc>
        <w:tc>
          <w:tcPr>
            <w:tcW w:w="1134" w:type="dxa"/>
            <w:vAlign w:val="center"/>
          </w:tcPr>
          <w:p>
            <w:pPr>
              <w:pStyle w:val="14"/>
            </w:pPr>
            <w:r>
              <w:t>4.23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2.01</w:t>
            </w:r>
          </w:p>
        </w:tc>
        <w:tc>
          <w:tcPr>
            <w:tcW w:w="1134" w:type="dxa"/>
            <w:vAlign w:val="center"/>
          </w:tcPr>
          <w:p>
            <w:pPr>
              <w:pStyle w:val="14"/>
            </w:pPr>
            <w:r>
              <w:t>2.01</w:t>
            </w:r>
          </w:p>
        </w:tc>
        <w:tc>
          <w:tcPr>
            <w:tcW w:w="1134" w:type="dxa"/>
            <w:vAlign w:val="center"/>
          </w:tcPr>
          <w:p>
            <w:pPr>
              <w:pStyle w:val="14"/>
            </w:pPr>
            <w:r>
              <w:t>2.01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2.01</w:t>
            </w:r>
          </w:p>
        </w:tc>
        <w:tc>
          <w:tcPr>
            <w:tcW w:w="1134" w:type="dxa"/>
            <w:vAlign w:val="center"/>
          </w:tcPr>
          <w:p>
            <w:pPr>
              <w:pStyle w:val="14"/>
            </w:pPr>
            <w:r>
              <w:t>2.01</w:t>
            </w:r>
          </w:p>
        </w:tc>
        <w:tc>
          <w:tcPr>
            <w:tcW w:w="1134" w:type="dxa"/>
            <w:vAlign w:val="center"/>
          </w:tcPr>
          <w:p>
            <w:pPr>
              <w:pStyle w:val="14"/>
            </w:pPr>
            <w:r>
              <w:t>2.01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2.01</w:t>
            </w:r>
          </w:p>
        </w:tc>
        <w:tc>
          <w:tcPr>
            <w:tcW w:w="1134" w:type="dxa"/>
            <w:vAlign w:val="center"/>
          </w:tcPr>
          <w:p>
            <w:pPr>
              <w:pStyle w:val="14"/>
            </w:pPr>
            <w:r>
              <w:t>2.01</w:t>
            </w:r>
          </w:p>
        </w:tc>
        <w:tc>
          <w:tcPr>
            <w:tcW w:w="1134" w:type="dxa"/>
            <w:vAlign w:val="center"/>
          </w:tcPr>
          <w:p>
            <w:pPr>
              <w:pStyle w:val="14"/>
            </w:pPr>
            <w:r>
              <w:t>2.01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3.64</w:t>
            </w:r>
          </w:p>
        </w:tc>
        <w:tc>
          <w:tcPr>
            <w:tcW w:w="1134" w:type="dxa"/>
            <w:vAlign w:val="center"/>
          </w:tcPr>
          <w:p>
            <w:pPr>
              <w:pStyle w:val="14"/>
            </w:pPr>
            <w:r>
              <w:t>3.64</w:t>
            </w:r>
          </w:p>
        </w:tc>
        <w:tc>
          <w:tcPr>
            <w:tcW w:w="1134" w:type="dxa"/>
            <w:vAlign w:val="center"/>
          </w:tcPr>
          <w:p>
            <w:pPr>
              <w:pStyle w:val="14"/>
            </w:pPr>
            <w:r>
              <w:t>3.64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3.64</w:t>
            </w:r>
          </w:p>
        </w:tc>
        <w:tc>
          <w:tcPr>
            <w:tcW w:w="1134" w:type="dxa"/>
            <w:vAlign w:val="center"/>
          </w:tcPr>
          <w:p>
            <w:pPr>
              <w:pStyle w:val="14"/>
            </w:pPr>
            <w:r>
              <w:t>3.64</w:t>
            </w:r>
          </w:p>
        </w:tc>
        <w:tc>
          <w:tcPr>
            <w:tcW w:w="1134" w:type="dxa"/>
            <w:vAlign w:val="center"/>
          </w:tcPr>
          <w:p>
            <w:pPr>
              <w:pStyle w:val="14"/>
            </w:pPr>
            <w:r>
              <w:t>3.64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3.64</w:t>
            </w:r>
          </w:p>
        </w:tc>
        <w:tc>
          <w:tcPr>
            <w:tcW w:w="1134" w:type="dxa"/>
            <w:vAlign w:val="center"/>
          </w:tcPr>
          <w:p>
            <w:pPr>
              <w:pStyle w:val="14"/>
            </w:pPr>
            <w:r>
              <w:t>3.64</w:t>
            </w:r>
          </w:p>
        </w:tc>
        <w:tc>
          <w:tcPr>
            <w:tcW w:w="1134" w:type="dxa"/>
            <w:vAlign w:val="center"/>
          </w:tcPr>
          <w:p>
            <w:pPr>
              <w:pStyle w:val="14"/>
            </w:pPr>
            <w:r>
              <w:t>3.64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10" w:name="_Toc6302"/>
      <w:r>
        <w:rPr>
          <w:rFonts w:hint="eastAsia" w:ascii="方正小标宋_GBK" w:hAnsi="方正小标宋_GBK" w:eastAsia="方正小标宋_GBK" w:cs="方正小标宋_GBK"/>
          <w:color w:val="000000"/>
          <w:sz w:val="36"/>
          <w:lang w:eastAsia="zh-CN"/>
        </w:rPr>
        <w:t>单位预算支出总表</w:t>
      </w:r>
      <w:bookmarkEnd w:id="1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80.43</w:t>
            </w:r>
          </w:p>
        </w:tc>
        <w:tc>
          <w:tcPr>
            <w:tcW w:w="1361" w:type="dxa"/>
            <w:vAlign w:val="center"/>
          </w:tcPr>
          <w:p>
            <w:pPr>
              <w:pStyle w:val="18"/>
            </w:pPr>
            <w:r>
              <w:t>53.23</w:t>
            </w:r>
          </w:p>
        </w:tc>
        <w:tc>
          <w:tcPr>
            <w:tcW w:w="1361" w:type="dxa"/>
            <w:vAlign w:val="center"/>
          </w:tcPr>
          <w:p>
            <w:pPr>
              <w:pStyle w:val="18"/>
            </w:pPr>
            <w:r>
              <w:t>27.20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70.55</w:t>
            </w:r>
          </w:p>
        </w:tc>
        <w:tc>
          <w:tcPr>
            <w:tcW w:w="1361" w:type="dxa"/>
            <w:vAlign w:val="center"/>
          </w:tcPr>
          <w:p>
            <w:pPr>
              <w:pStyle w:val="14"/>
            </w:pPr>
            <w:r>
              <w:t>43.35</w:t>
            </w:r>
          </w:p>
        </w:tc>
        <w:tc>
          <w:tcPr>
            <w:tcW w:w="1361" w:type="dxa"/>
            <w:vAlign w:val="center"/>
          </w:tcPr>
          <w:p>
            <w:pPr>
              <w:pStyle w:val="14"/>
            </w:pPr>
            <w:r>
              <w:t>27.20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20129</w:t>
            </w:r>
          </w:p>
        </w:tc>
        <w:tc>
          <w:tcPr>
            <w:tcW w:w="4535" w:type="dxa"/>
            <w:vAlign w:val="center"/>
          </w:tcPr>
          <w:p>
            <w:pPr>
              <w:pStyle w:val="15"/>
            </w:pPr>
            <w:r>
              <w:t>群众团体事务</w:t>
            </w:r>
          </w:p>
        </w:tc>
        <w:tc>
          <w:tcPr>
            <w:tcW w:w="1361" w:type="dxa"/>
            <w:vAlign w:val="center"/>
          </w:tcPr>
          <w:p>
            <w:pPr>
              <w:pStyle w:val="14"/>
            </w:pPr>
            <w:r>
              <w:t>70.55</w:t>
            </w:r>
          </w:p>
        </w:tc>
        <w:tc>
          <w:tcPr>
            <w:tcW w:w="1361" w:type="dxa"/>
            <w:vAlign w:val="center"/>
          </w:tcPr>
          <w:p>
            <w:pPr>
              <w:pStyle w:val="14"/>
            </w:pPr>
            <w:r>
              <w:t>43.35</w:t>
            </w:r>
          </w:p>
        </w:tc>
        <w:tc>
          <w:tcPr>
            <w:tcW w:w="1361" w:type="dxa"/>
            <w:vAlign w:val="center"/>
          </w:tcPr>
          <w:p>
            <w:pPr>
              <w:pStyle w:val="14"/>
            </w:pPr>
            <w:r>
              <w:t>27.20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2012901</w:t>
            </w:r>
          </w:p>
        </w:tc>
        <w:tc>
          <w:tcPr>
            <w:tcW w:w="4535" w:type="dxa"/>
            <w:vAlign w:val="center"/>
          </w:tcPr>
          <w:p>
            <w:pPr>
              <w:pStyle w:val="15"/>
            </w:pPr>
            <w:r>
              <w:t>行政运行</w:t>
            </w:r>
          </w:p>
        </w:tc>
        <w:tc>
          <w:tcPr>
            <w:tcW w:w="1361" w:type="dxa"/>
            <w:vAlign w:val="center"/>
          </w:tcPr>
          <w:p>
            <w:pPr>
              <w:pStyle w:val="14"/>
            </w:pPr>
            <w:r>
              <w:t>70.55</w:t>
            </w:r>
          </w:p>
        </w:tc>
        <w:tc>
          <w:tcPr>
            <w:tcW w:w="1361" w:type="dxa"/>
            <w:vAlign w:val="center"/>
          </w:tcPr>
          <w:p>
            <w:pPr>
              <w:pStyle w:val="14"/>
            </w:pPr>
            <w:r>
              <w:t>43.35</w:t>
            </w:r>
          </w:p>
        </w:tc>
        <w:tc>
          <w:tcPr>
            <w:tcW w:w="1361" w:type="dxa"/>
            <w:vAlign w:val="center"/>
          </w:tcPr>
          <w:p>
            <w:pPr>
              <w:pStyle w:val="14"/>
            </w:pPr>
            <w:r>
              <w:t>27.20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4.23</w:t>
            </w:r>
          </w:p>
        </w:tc>
        <w:tc>
          <w:tcPr>
            <w:tcW w:w="1361" w:type="dxa"/>
            <w:vAlign w:val="center"/>
          </w:tcPr>
          <w:p>
            <w:pPr>
              <w:pStyle w:val="14"/>
            </w:pPr>
            <w:r>
              <w:t>4.23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4.23</w:t>
            </w:r>
          </w:p>
        </w:tc>
        <w:tc>
          <w:tcPr>
            <w:tcW w:w="1361" w:type="dxa"/>
            <w:vAlign w:val="center"/>
          </w:tcPr>
          <w:p>
            <w:pPr>
              <w:pStyle w:val="14"/>
            </w:pPr>
            <w:r>
              <w:t>4.23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4.23</w:t>
            </w:r>
          </w:p>
        </w:tc>
        <w:tc>
          <w:tcPr>
            <w:tcW w:w="1361" w:type="dxa"/>
            <w:vAlign w:val="center"/>
          </w:tcPr>
          <w:p>
            <w:pPr>
              <w:pStyle w:val="14"/>
            </w:pPr>
            <w:r>
              <w:t>4.23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2.01</w:t>
            </w:r>
          </w:p>
        </w:tc>
        <w:tc>
          <w:tcPr>
            <w:tcW w:w="1361" w:type="dxa"/>
            <w:vAlign w:val="center"/>
          </w:tcPr>
          <w:p>
            <w:pPr>
              <w:pStyle w:val="14"/>
            </w:pPr>
            <w:r>
              <w:t>2.01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2.01</w:t>
            </w:r>
          </w:p>
        </w:tc>
        <w:tc>
          <w:tcPr>
            <w:tcW w:w="1361" w:type="dxa"/>
            <w:vAlign w:val="center"/>
          </w:tcPr>
          <w:p>
            <w:pPr>
              <w:pStyle w:val="14"/>
            </w:pPr>
            <w:r>
              <w:t>2.01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2.01</w:t>
            </w:r>
          </w:p>
        </w:tc>
        <w:tc>
          <w:tcPr>
            <w:tcW w:w="1361" w:type="dxa"/>
            <w:vAlign w:val="center"/>
          </w:tcPr>
          <w:p>
            <w:pPr>
              <w:pStyle w:val="14"/>
            </w:pPr>
            <w:r>
              <w:t>2.01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3.64</w:t>
            </w:r>
          </w:p>
        </w:tc>
        <w:tc>
          <w:tcPr>
            <w:tcW w:w="1361" w:type="dxa"/>
            <w:vAlign w:val="center"/>
          </w:tcPr>
          <w:p>
            <w:pPr>
              <w:pStyle w:val="14"/>
            </w:pPr>
            <w:r>
              <w:t>3.64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3.64</w:t>
            </w:r>
          </w:p>
        </w:tc>
        <w:tc>
          <w:tcPr>
            <w:tcW w:w="1361" w:type="dxa"/>
            <w:vAlign w:val="center"/>
          </w:tcPr>
          <w:p>
            <w:pPr>
              <w:pStyle w:val="14"/>
            </w:pPr>
            <w:r>
              <w:t>3.64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3.64</w:t>
            </w:r>
          </w:p>
        </w:tc>
        <w:tc>
          <w:tcPr>
            <w:tcW w:w="1361" w:type="dxa"/>
            <w:vAlign w:val="center"/>
          </w:tcPr>
          <w:p>
            <w:pPr>
              <w:pStyle w:val="14"/>
            </w:pPr>
            <w:r>
              <w:t>3.64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11" w:name="_Toc3434"/>
      <w:r>
        <w:rPr>
          <w:rFonts w:hint="eastAsia" w:ascii="方正小标宋_GBK" w:hAnsi="方正小标宋_GBK" w:eastAsia="方正小标宋_GBK" w:cs="方正小标宋_GBK"/>
          <w:color w:val="000000"/>
          <w:sz w:val="36"/>
          <w:lang w:eastAsia="zh-CN"/>
        </w:rPr>
        <w:t>单位预算财政拨款收支总表</w:t>
      </w:r>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80.43</w:t>
            </w:r>
          </w:p>
        </w:tc>
        <w:tc>
          <w:tcPr>
            <w:tcW w:w="3402" w:type="dxa"/>
            <w:vAlign w:val="center"/>
          </w:tcPr>
          <w:p>
            <w:pPr>
              <w:pStyle w:val="15"/>
            </w:pPr>
            <w:r>
              <w:t>一、一般公共服务支出</w:t>
            </w:r>
          </w:p>
        </w:tc>
        <w:tc>
          <w:tcPr>
            <w:tcW w:w="1474" w:type="dxa"/>
            <w:vAlign w:val="center"/>
          </w:tcPr>
          <w:p>
            <w:pPr>
              <w:pStyle w:val="14"/>
            </w:pPr>
            <w:r>
              <w:t>70.55</w:t>
            </w:r>
          </w:p>
        </w:tc>
        <w:tc>
          <w:tcPr>
            <w:tcW w:w="1474" w:type="dxa"/>
            <w:vAlign w:val="center"/>
          </w:tcPr>
          <w:p>
            <w:pPr>
              <w:pStyle w:val="14"/>
            </w:pPr>
            <w:r>
              <w:t>70.55</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4.23</w:t>
            </w:r>
          </w:p>
        </w:tc>
        <w:tc>
          <w:tcPr>
            <w:tcW w:w="1474" w:type="dxa"/>
            <w:vAlign w:val="center"/>
          </w:tcPr>
          <w:p>
            <w:pPr>
              <w:pStyle w:val="14"/>
            </w:pPr>
            <w:r>
              <w:t>4.23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2.01</w:t>
            </w:r>
          </w:p>
        </w:tc>
        <w:tc>
          <w:tcPr>
            <w:tcW w:w="1474" w:type="dxa"/>
            <w:vAlign w:val="center"/>
          </w:tcPr>
          <w:p>
            <w:pPr>
              <w:pStyle w:val="14"/>
            </w:pPr>
            <w:r>
              <w:t>2.01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3.64</w:t>
            </w:r>
          </w:p>
        </w:tc>
        <w:tc>
          <w:tcPr>
            <w:tcW w:w="1474" w:type="dxa"/>
            <w:vAlign w:val="center"/>
          </w:tcPr>
          <w:p>
            <w:pPr>
              <w:pStyle w:val="14"/>
            </w:pPr>
            <w:r>
              <w:t>3.64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二十六、年初预留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80.43</w:t>
            </w:r>
          </w:p>
        </w:tc>
        <w:tc>
          <w:tcPr>
            <w:tcW w:w="3402" w:type="dxa"/>
            <w:vAlign w:val="center"/>
          </w:tcPr>
          <w:p>
            <w:pPr>
              <w:pStyle w:val="17"/>
            </w:pPr>
            <w:r>
              <w:t>本年支出合计</w:t>
            </w:r>
          </w:p>
        </w:tc>
        <w:tc>
          <w:tcPr>
            <w:tcW w:w="1474" w:type="dxa"/>
            <w:vAlign w:val="center"/>
          </w:tcPr>
          <w:p>
            <w:pPr>
              <w:pStyle w:val="18"/>
            </w:pPr>
            <w:r>
              <w:t>80.43</w:t>
            </w:r>
          </w:p>
        </w:tc>
        <w:tc>
          <w:tcPr>
            <w:tcW w:w="1474" w:type="dxa"/>
            <w:vAlign w:val="center"/>
          </w:tcPr>
          <w:p>
            <w:pPr>
              <w:pStyle w:val="18"/>
            </w:pPr>
            <w:r>
              <w:t>80.43</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80.43</w:t>
            </w:r>
          </w:p>
        </w:tc>
        <w:tc>
          <w:tcPr>
            <w:tcW w:w="3402" w:type="dxa"/>
            <w:vAlign w:val="center"/>
          </w:tcPr>
          <w:p>
            <w:pPr>
              <w:pStyle w:val="17"/>
            </w:pPr>
            <w:r>
              <w:t>支出总计</w:t>
            </w:r>
          </w:p>
        </w:tc>
        <w:tc>
          <w:tcPr>
            <w:tcW w:w="1474" w:type="dxa"/>
            <w:vAlign w:val="center"/>
          </w:tcPr>
          <w:p>
            <w:pPr>
              <w:pStyle w:val="18"/>
            </w:pPr>
            <w:r>
              <w:t>80.43</w:t>
            </w:r>
          </w:p>
        </w:tc>
        <w:tc>
          <w:tcPr>
            <w:tcW w:w="1474" w:type="dxa"/>
            <w:vAlign w:val="center"/>
          </w:tcPr>
          <w:p>
            <w:pPr>
              <w:pStyle w:val="18"/>
            </w:pPr>
            <w:r>
              <w:t>80.43</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12" w:name="_Toc21549"/>
      <w:r>
        <w:rPr>
          <w:rFonts w:hint="eastAsia" w:ascii="方正小标宋_GBK" w:hAnsi="方正小标宋_GBK" w:eastAsia="方正小标宋_GBK" w:cs="方正小标宋_GBK"/>
          <w:color w:val="000000"/>
          <w:sz w:val="36"/>
          <w:lang w:eastAsia="zh-CN"/>
        </w:rPr>
        <w:t>单位预算一般公共预算财政拨款支出表</w:t>
      </w:r>
      <w:bookmarkEnd w:id="1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80.43</w:t>
            </w:r>
          </w:p>
        </w:tc>
        <w:tc>
          <w:tcPr>
            <w:tcW w:w="2551" w:type="dxa"/>
            <w:vAlign w:val="center"/>
          </w:tcPr>
          <w:p>
            <w:pPr>
              <w:pStyle w:val="18"/>
            </w:pPr>
            <w:r>
              <w:t>53.23</w:t>
            </w:r>
          </w:p>
        </w:tc>
        <w:tc>
          <w:tcPr>
            <w:tcW w:w="2551" w:type="dxa"/>
            <w:vAlign w:val="center"/>
          </w:tcPr>
          <w:p>
            <w:pPr>
              <w:pStyle w:val="18"/>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70.55</w:t>
            </w:r>
          </w:p>
        </w:tc>
        <w:tc>
          <w:tcPr>
            <w:tcW w:w="2551" w:type="dxa"/>
            <w:vAlign w:val="center"/>
          </w:tcPr>
          <w:p>
            <w:pPr>
              <w:pStyle w:val="14"/>
            </w:pPr>
            <w:r>
              <w:t>43.35</w:t>
            </w:r>
          </w:p>
        </w:tc>
        <w:tc>
          <w:tcPr>
            <w:tcW w:w="2551" w:type="dxa"/>
            <w:vAlign w:val="center"/>
          </w:tcPr>
          <w:p>
            <w:pPr>
              <w:pStyle w:val="14"/>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20129</w:t>
            </w:r>
          </w:p>
        </w:tc>
        <w:tc>
          <w:tcPr>
            <w:tcW w:w="4535" w:type="dxa"/>
            <w:vAlign w:val="center"/>
          </w:tcPr>
          <w:p>
            <w:pPr>
              <w:pStyle w:val="15"/>
            </w:pPr>
            <w:r>
              <w:t>群众团体事务</w:t>
            </w:r>
          </w:p>
        </w:tc>
        <w:tc>
          <w:tcPr>
            <w:tcW w:w="2551" w:type="dxa"/>
            <w:vAlign w:val="center"/>
          </w:tcPr>
          <w:p>
            <w:pPr>
              <w:pStyle w:val="14"/>
            </w:pPr>
            <w:r>
              <w:t>70.55</w:t>
            </w:r>
          </w:p>
        </w:tc>
        <w:tc>
          <w:tcPr>
            <w:tcW w:w="2551" w:type="dxa"/>
            <w:vAlign w:val="center"/>
          </w:tcPr>
          <w:p>
            <w:pPr>
              <w:pStyle w:val="14"/>
            </w:pPr>
            <w:r>
              <w:t>43.35</w:t>
            </w:r>
          </w:p>
        </w:tc>
        <w:tc>
          <w:tcPr>
            <w:tcW w:w="2551" w:type="dxa"/>
            <w:vAlign w:val="center"/>
          </w:tcPr>
          <w:p>
            <w:pPr>
              <w:pStyle w:val="14"/>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2012901</w:t>
            </w:r>
          </w:p>
        </w:tc>
        <w:tc>
          <w:tcPr>
            <w:tcW w:w="4535" w:type="dxa"/>
            <w:vAlign w:val="center"/>
          </w:tcPr>
          <w:p>
            <w:pPr>
              <w:pStyle w:val="15"/>
            </w:pPr>
            <w:r>
              <w:t>行政运行</w:t>
            </w:r>
          </w:p>
        </w:tc>
        <w:tc>
          <w:tcPr>
            <w:tcW w:w="2551" w:type="dxa"/>
            <w:vAlign w:val="center"/>
          </w:tcPr>
          <w:p>
            <w:pPr>
              <w:pStyle w:val="14"/>
            </w:pPr>
            <w:r>
              <w:t>70.55</w:t>
            </w:r>
          </w:p>
        </w:tc>
        <w:tc>
          <w:tcPr>
            <w:tcW w:w="2551" w:type="dxa"/>
            <w:vAlign w:val="center"/>
          </w:tcPr>
          <w:p>
            <w:pPr>
              <w:pStyle w:val="14"/>
            </w:pPr>
            <w:r>
              <w:t>43.35</w:t>
            </w:r>
          </w:p>
        </w:tc>
        <w:tc>
          <w:tcPr>
            <w:tcW w:w="2551" w:type="dxa"/>
            <w:vAlign w:val="center"/>
          </w:tcPr>
          <w:p>
            <w:pPr>
              <w:pStyle w:val="14"/>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4.23</w:t>
            </w:r>
          </w:p>
        </w:tc>
        <w:tc>
          <w:tcPr>
            <w:tcW w:w="2551" w:type="dxa"/>
            <w:vAlign w:val="center"/>
          </w:tcPr>
          <w:p>
            <w:pPr>
              <w:pStyle w:val="14"/>
            </w:pPr>
            <w:r>
              <w:t>4.23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4.23</w:t>
            </w:r>
          </w:p>
        </w:tc>
        <w:tc>
          <w:tcPr>
            <w:tcW w:w="2551" w:type="dxa"/>
            <w:vAlign w:val="center"/>
          </w:tcPr>
          <w:p>
            <w:pPr>
              <w:pStyle w:val="14"/>
            </w:pPr>
            <w:r>
              <w:t>4.23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4.23</w:t>
            </w:r>
          </w:p>
        </w:tc>
        <w:tc>
          <w:tcPr>
            <w:tcW w:w="2551" w:type="dxa"/>
            <w:vAlign w:val="center"/>
          </w:tcPr>
          <w:p>
            <w:pPr>
              <w:pStyle w:val="14"/>
            </w:pPr>
            <w:r>
              <w:t>4.23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2.01</w:t>
            </w:r>
          </w:p>
        </w:tc>
        <w:tc>
          <w:tcPr>
            <w:tcW w:w="2551" w:type="dxa"/>
            <w:vAlign w:val="center"/>
          </w:tcPr>
          <w:p>
            <w:pPr>
              <w:pStyle w:val="14"/>
            </w:pPr>
            <w:r>
              <w:t>2.01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2.01</w:t>
            </w:r>
          </w:p>
        </w:tc>
        <w:tc>
          <w:tcPr>
            <w:tcW w:w="2551" w:type="dxa"/>
            <w:vAlign w:val="center"/>
          </w:tcPr>
          <w:p>
            <w:pPr>
              <w:pStyle w:val="14"/>
            </w:pPr>
            <w:r>
              <w:t>2.01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2.01</w:t>
            </w:r>
          </w:p>
        </w:tc>
        <w:tc>
          <w:tcPr>
            <w:tcW w:w="2551" w:type="dxa"/>
            <w:vAlign w:val="center"/>
          </w:tcPr>
          <w:p>
            <w:pPr>
              <w:pStyle w:val="14"/>
            </w:pPr>
            <w:r>
              <w:t>2.01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3.64</w:t>
            </w:r>
          </w:p>
        </w:tc>
        <w:tc>
          <w:tcPr>
            <w:tcW w:w="2551" w:type="dxa"/>
            <w:vAlign w:val="center"/>
          </w:tcPr>
          <w:p>
            <w:pPr>
              <w:pStyle w:val="14"/>
            </w:pPr>
            <w:r>
              <w:t>3.64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3.64</w:t>
            </w:r>
          </w:p>
        </w:tc>
        <w:tc>
          <w:tcPr>
            <w:tcW w:w="2551" w:type="dxa"/>
            <w:vAlign w:val="center"/>
          </w:tcPr>
          <w:p>
            <w:pPr>
              <w:pStyle w:val="14"/>
            </w:pPr>
            <w:r>
              <w:t>3.64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3.64</w:t>
            </w:r>
          </w:p>
        </w:tc>
        <w:tc>
          <w:tcPr>
            <w:tcW w:w="2551" w:type="dxa"/>
            <w:vAlign w:val="center"/>
          </w:tcPr>
          <w:p>
            <w:pPr>
              <w:pStyle w:val="14"/>
            </w:pPr>
            <w:r>
              <w:t>3.64</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13" w:name="_Toc11739"/>
      <w:r>
        <w:rPr>
          <w:rFonts w:hint="eastAsia" w:ascii="方正小标宋_GBK" w:hAnsi="方正小标宋_GBK" w:eastAsia="方正小标宋_GBK" w:cs="方正小标宋_GBK"/>
          <w:color w:val="000000"/>
          <w:sz w:val="36"/>
          <w:lang w:eastAsia="zh-CN"/>
        </w:rPr>
        <w:t>单位预算一般公共预算财政拨款基本支出表</w:t>
      </w:r>
      <w:bookmarkEnd w:id="1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53.23</w:t>
            </w:r>
          </w:p>
        </w:tc>
        <w:tc>
          <w:tcPr>
            <w:tcW w:w="2551" w:type="dxa"/>
            <w:vAlign w:val="center"/>
          </w:tcPr>
          <w:p>
            <w:pPr>
              <w:pStyle w:val="18"/>
            </w:pPr>
            <w:r>
              <w:t>48.77</w:t>
            </w:r>
          </w:p>
        </w:tc>
        <w:tc>
          <w:tcPr>
            <w:tcW w:w="2551" w:type="dxa"/>
            <w:vAlign w:val="center"/>
          </w:tcPr>
          <w:p>
            <w:pPr>
              <w:pStyle w:val="18"/>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47.72</w:t>
            </w:r>
          </w:p>
        </w:tc>
        <w:tc>
          <w:tcPr>
            <w:tcW w:w="2551" w:type="dxa"/>
            <w:vAlign w:val="center"/>
          </w:tcPr>
          <w:p>
            <w:pPr>
              <w:pStyle w:val="14"/>
            </w:pPr>
            <w:r>
              <w:t>47.72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18.18</w:t>
            </w:r>
          </w:p>
        </w:tc>
        <w:tc>
          <w:tcPr>
            <w:tcW w:w="2551" w:type="dxa"/>
            <w:vAlign w:val="center"/>
          </w:tcPr>
          <w:p>
            <w:pPr>
              <w:pStyle w:val="14"/>
            </w:pPr>
            <w:r>
              <w:t>18.18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17.46</w:t>
            </w:r>
          </w:p>
        </w:tc>
        <w:tc>
          <w:tcPr>
            <w:tcW w:w="2551" w:type="dxa"/>
            <w:vAlign w:val="center"/>
          </w:tcPr>
          <w:p>
            <w:pPr>
              <w:pStyle w:val="14"/>
            </w:pPr>
            <w:r>
              <w:t>17.46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1.51</w:t>
            </w:r>
          </w:p>
        </w:tc>
        <w:tc>
          <w:tcPr>
            <w:tcW w:w="2551" w:type="dxa"/>
            <w:vAlign w:val="center"/>
          </w:tcPr>
          <w:p>
            <w:pPr>
              <w:pStyle w:val="14"/>
            </w:pPr>
            <w:r>
              <w:t>1.51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0.07</w:t>
            </w:r>
          </w:p>
        </w:tc>
        <w:tc>
          <w:tcPr>
            <w:tcW w:w="2551" w:type="dxa"/>
            <w:vAlign w:val="center"/>
          </w:tcPr>
          <w:p>
            <w:pPr>
              <w:pStyle w:val="14"/>
            </w:pPr>
            <w:r>
              <w:t>0.07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4.23</w:t>
            </w:r>
          </w:p>
        </w:tc>
        <w:tc>
          <w:tcPr>
            <w:tcW w:w="2551" w:type="dxa"/>
            <w:vAlign w:val="center"/>
          </w:tcPr>
          <w:p>
            <w:pPr>
              <w:pStyle w:val="14"/>
            </w:pPr>
            <w:r>
              <w:t>4.23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2.01</w:t>
            </w:r>
          </w:p>
        </w:tc>
        <w:tc>
          <w:tcPr>
            <w:tcW w:w="2551" w:type="dxa"/>
            <w:vAlign w:val="center"/>
          </w:tcPr>
          <w:p>
            <w:pPr>
              <w:pStyle w:val="14"/>
            </w:pPr>
            <w:r>
              <w:t>2.01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0.62</w:t>
            </w:r>
          </w:p>
        </w:tc>
        <w:tc>
          <w:tcPr>
            <w:tcW w:w="2551" w:type="dxa"/>
            <w:vAlign w:val="center"/>
          </w:tcPr>
          <w:p>
            <w:pPr>
              <w:pStyle w:val="14"/>
            </w:pPr>
            <w:r>
              <w:t>0.62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3.64</w:t>
            </w:r>
          </w:p>
        </w:tc>
        <w:tc>
          <w:tcPr>
            <w:tcW w:w="2551" w:type="dxa"/>
            <w:vAlign w:val="center"/>
          </w:tcPr>
          <w:p>
            <w:pPr>
              <w:pStyle w:val="14"/>
            </w:pPr>
            <w:r>
              <w:t>3.64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4.46</w:t>
            </w:r>
          </w:p>
        </w:tc>
        <w:tc>
          <w:tcPr>
            <w:tcW w:w="2551" w:type="dxa"/>
            <w:vAlign w:val="center"/>
          </w:tcPr>
          <w:p>
            <w:pPr>
              <w:pStyle w:val="14"/>
            </w:pPr>
          </w:p>
        </w:tc>
        <w:tc>
          <w:tcPr>
            <w:tcW w:w="2551" w:type="dxa"/>
            <w:vAlign w:val="center"/>
          </w:tcPr>
          <w:p>
            <w:pPr>
              <w:pStyle w:val="14"/>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2.46</w:t>
            </w:r>
          </w:p>
        </w:tc>
        <w:tc>
          <w:tcPr>
            <w:tcW w:w="2551" w:type="dxa"/>
            <w:vAlign w:val="center"/>
          </w:tcPr>
          <w:p>
            <w:pPr>
              <w:pStyle w:val="14"/>
            </w:pPr>
          </w:p>
        </w:tc>
        <w:tc>
          <w:tcPr>
            <w:tcW w:w="2551" w:type="dxa"/>
            <w:vAlign w:val="center"/>
          </w:tcPr>
          <w:p>
            <w:pPr>
              <w:pStyle w:val="14"/>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1.05</w:t>
            </w:r>
          </w:p>
        </w:tc>
        <w:tc>
          <w:tcPr>
            <w:tcW w:w="2551" w:type="dxa"/>
            <w:vAlign w:val="center"/>
          </w:tcPr>
          <w:p>
            <w:pPr>
              <w:pStyle w:val="14"/>
            </w:pPr>
            <w:r>
              <w:t>1.05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1.05</w:t>
            </w:r>
          </w:p>
        </w:tc>
        <w:tc>
          <w:tcPr>
            <w:tcW w:w="2551" w:type="dxa"/>
            <w:vAlign w:val="center"/>
          </w:tcPr>
          <w:p>
            <w:pPr>
              <w:pStyle w:val="14"/>
            </w:pPr>
            <w:r>
              <w:t>1.05</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14" w:name="_Toc32415"/>
      <w:r>
        <w:rPr>
          <w:rFonts w:hint="eastAsia" w:ascii="方正小标宋_GBK" w:hAnsi="方正小标宋_GBK" w:eastAsia="方正小标宋_GBK" w:cs="方正小标宋_GBK"/>
          <w:color w:val="000000"/>
          <w:sz w:val="36"/>
          <w:lang w:eastAsia="zh-CN"/>
        </w:rPr>
        <w:t>单位预算政府基金预算财政拨款支出表</w:t>
      </w:r>
      <w:bookmarkEnd w:id="1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rPr>
          <w:rFonts w:hint="eastAsia" w:ascii="方正小标宋_GBK" w:hAnsi="方正小标宋_GBK" w:eastAsia="方正小标宋_GBK" w:cs="方正小标宋_GBK"/>
          <w:color w:val="000000"/>
          <w:sz w:val="36"/>
          <w:lang w:eastAsia="zh-CN"/>
        </w:rPr>
      </w:pPr>
      <w:bookmarkStart w:id="15" w:name="_Toc31706"/>
      <w:r>
        <w:rPr>
          <w:rFonts w:hint="eastAsia" w:ascii="方正小标宋_GBK" w:hAnsi="方正小标宋_GBK" w:eastAsia="方正小标宋_GBK" w:cs="方正小标宋_GBK"/>
          <w:color w:val="000000"/>
          <w:sz w:val="36"/>
          <w:lang w:eastAsia="zh-CN"/>
        </w:rPr>
        <w:t>单位预算国有资本经营预算财政拨款支出表</w:t>
      </w:r>
      <w:bookmarkEnd w:id="1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rPr>
          <w:rFonts w:hint="eastAsia" w:ascii="方正小标宋_GBK" w:hAnsi="方正小标宋_GBK" w:eastAsia="方正小标宋_GBK" w:cs="方正小标宋_GBK"/>
          <w:color w:val="000000"/>
          <w:sz w:val="36"/>
          <w:lang w:eastAsia="zh-CN"/>
        </w:rPr>
      </w:pPr>
      <w:bookmarkStart w:id="16" w:name="_Toc23235"/>
      <w:bookmarkStart w:id="56" w:name="_GoBack"/>
      <w:bookmarkEnd w:id="56"/>
      <w:r>
        <w:rPr>
          <w:rFonts w:hint="eastAsia" w:ascii="方正小标宋_GBK" w:hAnsi="方正小标宋_GBK" w:eastAsia="方正小标宋_GBK" w:cs="方正小标宋_GBK"/>
          <w:color w:val="000000"/>
          <w:sz w:val="36"/>
          <w:lang w:eastAsia="zh-CN"/>
        </w:rPr>
        <w:t>单位预算财政拨款“三公”经费支出表</w:t>
      </w:r>
      <w:bookmarkEnd w:id="1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381" w:type="dxa"/>
            <w:tcBorders>
              <w:top w:val="single" w:color="FFFFFF" w:sz="6" w:space="0"/>
              <w:left w:val="single" w:color="FFFFFF" w:sz="6" w:space="0"/>
              <w:right w:val="single" w:color="FFFFFF" w:sz="6" w:space="0"/>
            </w:tcBorders>
            <w:vAlign w:val="center"/>
          </w:tcPr>
          <w:p>
            <w:pPr>
              <w:pStyle w:val="11"/>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隆尧县工业经济联合会秘书处本级2022年单位预算信息公开情况说明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按照《预算法》、《地方预决算公开操作规程》和《关于进一步推进预算公开工作的实施意见》规定，现将隆尧县工业经济联合会秘书处本级2022年单位预算公开如下：</w:t>
      </w:r>
    </w:p>
    <w:p>
      <w:pPr>
        <w:spacing w:before="10" w:after="10"/>
        <w:ind w:firstLine="640"/>
        <w:outlineLvl w:val="0"/>
        <w:rPr>
          <w:rFonts w:ascii="黑体" w:hAnsi="黑体" w:eastAsia="黑体" w:cs="黑体"/>
          <w:color w:val="000000"/>
          <w:sz w:val="32"/>
        </w:rPr>
      </w:pPr>
      <w:bookmarkStart w:id="17" w:name="_Toc16615"/>
      <w:bookmarkStart w:id="18" w:name="_Toc2732"/>
      <w:r>
        <w:rPr>
          <w:rFonts w:ascii="黑体" w:hAnsi="黑体" w:eastAsia="黑体" w:cs="黑体"/>
          <w:color w:val="000000"/>
          <w:sz w:val="32"/>
        </w:rPr>
        <w:t>一、单位职责及机构设置情况</w:t>
      </w:r>
      <w:bookmarkEnd w:id="17"/>
      <w:bookmarkEnd w:id="18"/>
    </w:p>
    <w:p>
      <w:pPr>
        <w:ind w:firstLine="640"/>
      </w:pPr>
      <w:r>
        <w:rPr>
          <w:rFonts w:ascii="方正楷体_GBK" w:hAnsi="方正楷体_GBK" w:eastAsia="方正楷体_GBK" w:cs="方正楷体_GBK"/>
          <w:b/>
          <w:color w:val="000000"/>
          <w:sz w:val="32"/>
        </w:rPr>
        <w:t>单位职责：</w:t>
      </w:r>
    </w:p>
    <w:p>
      <w:pPr>
        <w:pStyle w:val="32"/>
      </w:pPr>
      <w:r>
        <w:t>(1)贯彻执行党和国家的路线、方针和政策，加强和完善对会员单位的思想政治工作，围绕县委、县政府的中心工作开展各项活动，保证协会组织的社会主义方向。</w:t>
      </w:r>
    </w:p>
    <w:p>
      <w:pPr>
        <w:pStyle w:val="32"/>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pPr>
        <w:pStyle w:val="32"/>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pPr>
        <w:pStyle w:val="32"/>
      </w:pPr>
      <w:r>
        <w:t>(4)反映会员要求，协调会员关系，维护会员的合法权益。</w:t>
      </w:r>
    </w:p>
    <w:p>
      <w:pPr>
        <w:pStyle w:val="32"/>
      </w:pPr>
      <w:r>
        <w:t>(5)开展经济理论研究和学术交流活动，编辑出版经济类刊物，培训经济管理人才。</w:t>
      </w:r>
    </w:p>
    <w:p>
      <w:pPr>
        <w:pStyle w:val="32"/>
      </w:pPr>
      <w:r>
        <w:t>(6)发展与境内外社会经济团体的联系，促进地区、行业、企业间开展多种形式经济协作与交流，为企业加强对外经济技术交流服务。</w:t>
      </w:r>
    </w:p>
    <w:p>
      <w:pPr>
        <w:pStyle w:val="32"/>
      </w:pPr>
      <w:r>
        <w:t>(7)参与全县工建交邮经济领域的重大活动。</w:t>
      </w:r>
    </w:p>
    <w:p>
      <w:pPr>
        <w:pStyle w:val="32"/>
      </w:pPr>
      <w:r>
        <w:t>(8)承办县委、县政府交办的其他事项。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隆尧县工业经济联合会秘书处本级</w:t>
            </w:r>
          </w:p>
        </w:tc>
        <w:tc>
          <w:tcPr>
            <w:tcW w:w="1843" w:type="dxa"/>
            <w:vAlign w:val="center"/>
          </w:tcPr>
          <w:p>
            <w:pPr>
              <w:pStyle w:val="16"/>
            </w:pPr>
            <w:r>
              <w:rPr>
                <w:rFonts w:hint="eastAsia"/>
                <w:lang w:eastAsia="zh-CN"/>
              </w:rPr>
              <w:t>参公</w:t>
            </w:r>
            <w:r>
              <w:t>事业</w:t>
            </w:r>
          </w:p>
        </w:tc>
        <w:tc>
          <w:tcPr>
            <w:tcW w:w="2126" w:type="dxa"/>
            <w:vAlign w:val="center"/>
          </w:tcPr>
          <w:p>
            <w:pPr>
              <w:pStyle w:val="16"/>
            </w:pPr>
            <w:r>
              <w:t>正科级</w:t>
            </w:r>
          </w:p>
        </w:tc>
        <w:tc>
          <w:tcPr>
            <w:tcW w:w="3827" w:type="dxa"/>
            <w:vAlign w:val="center"/>
          </w:tcPr>
          <w:p>
            <w:pPr>
              <w:pStyle w:val="16"/>
              <w:rPr>
                <w:rFonts w:hint="eastAsia" w:eastAsia="方正书宋_GBK"/>
                <w:lang w:eastAsia="zh-CN"/>
              </w:rPr>
            </w:pPr>
            <w:r>
              <w:rPr>
                <w:rFonts w:hint="eastAsia"/>
                <w:lang w:eastAsia="zh-CN"/>
              </w:rPr>
              <w:t>财政拨款</w:t>
            </w:r>
          </w:p>
        </w:tc>
      </w:tr>
    </w:tbl>
    <w:p>
      <w:pPr>
        <w:spacing w:before="10" w:after="10"/>
        <w:ind w:firstLine="640"/>
        <w:outlineLvl w:val="0"/>
      </w:pPr>
      <w:bookmarkStart w:id="19" w:name="_Toc18515"/>
      <w:bookmarkStart w:id="20" w:name="_Toc25526"/>
      <w:r>
        <w:rPr>
          <w:rFonts w:ascii="黑体" w:hAnsi="黑体" w:eastAsia="黑体" w:cs="黑体"/>
          <w:color w:val="000000"/>
          <w:sz w:val="32"/>
        </w:rPr>
        <w:t>二、单位预算安排的总体情况</w:t>
      </w:r>
      <w:bookmarkEnd w:id="19"/>
      <w:bookmarkEnd w:id="20"/>
    </w:p>
    <w:p>
      <w:pPr>
        <w:pStyle w:val="33"/>
      </w:pPr>
      <w:r>
        <w:t>按照预算管理有关规定，目前我县部门预算的编制实行综合预算管理，即全部收入和支出都反映在预算中。隆尧县工业经济联合会秘书处的收支包含在部门预算中。</w:t>
      </w:r>
    </w:p>
    <w:p>
      <w:pPr>
        <w:pStyle w:val="33"/>
        <w:outlineLvl w:val="1"/>
      </w:pPr>
      <w:bookmarkStart w:id="21" w:name="_Toc4197"/>
      <w:bookmarkStart w:id="22" w:name="_Toc8177"/>
      <w:bookmarkStart w:id="23" w:name="_Toc29242"/>
      <w:r>
        <w:t>1、收入说明</w:t>
      </w:r>
      <w:bookmarkEnd w:id="21"/>
      <w:bookmarkEnd w:id="22"/>
      <w:bookmarkEnd w:id="23"/>
    </w:p>
    <w:p>
      <w:pPr>
        <w:pStyle w:val="33"/>
      </w:pPr>
      <w:r>
        <w:t>2022年预算收入80.43万元，其中：一般公共预算收入80.43万元，基金预算收入0万元，财政专户核拨收入0万元，其他来源收入（单位资金）0万元。</w:t>
      </w:r>
    </w:p>
    <w:p>
      <w:pPr>
        <w:pStyle w:val="33"/>
        <w:outlineLvl w:val="1"/>
      </w:pPr>
      <w:bookmarkStart w:id="24" w:name="_Toc6562"/>
      <w:bookmarkStart w:id="25" w:name="_Toc17171"/>
      <w:bookmarkStart w:id="26" w:name="_Toc15861"/>
      <w:r>
        <w:t>2、支出说明</w:t>
      </w:r>
      <w:bookmarkEnd w:id="24"/>
      <w:bookmarkEnd w:id="25"/>
      <w:bookmarkEnd w:id="26"/>
    </w:p>
    <w:p>
      <w:pPr>
        <w:pStyle w:val="33"/>
      </w:pPr>
      <w:r>
        <w:t>2022年预算支出80.43万元，其中基本支出53.23万元，包括人员经费48.77万元和日常公用经费4.46万元；项目支出27.2万元。</w:t>
      </w:r>
    </w:p>
    <w:p>
      <w:pPr>
        <w:pStyle w:val="33"/>
        <w:outlineLvl w:val="1"/>
      </w:pPr>
      <w:bookmarkStart w:id="27" w:name="_Toc9282"/>
      <w:bookmarkStart w:id="28" w:name="_Toc14574"/>
      <w:bookmarkStart w:id="29" w:name="_Toc26720"/>
      <w:r>
        <w:t>3、比上年增减情况</w:t>
      </w:r>
      <w:bookmarkEnd w:id="27"/>
      <w:bookmarkEnd w:id="28"/>
      <w:bookmarkEnd w:id="29"/>
    </w:p>
    <w:p>
      <w:pPr>
        <w:pStyle w:val="33"/>
      </w:pPr>
      <w:r>
        <w:t>2022年预算收支安排80.43万元，较2021年年初预算增加35.61万元，其中：基本支出增加16.97万元，主要为增加人员经费支出；项目支出增加18.64万元，主要为《隆尧县工业志》编纂项目费用增加。</w:t>
      </w:r>
    </w:p>
    <w:p>
      <w:pPr>
        <w:spacing w:before="10" w:after="10"/>
        <w:ind w:firstLine="640"/>
        <w:outlineLvl w:val="0"/>
      </w:pPr>
      <w:bookmarkStart w:id="30" w:name="_Toc29002"/>
      <w:bookmarkStart w:id="31" w:name="_Toc9718"/>
      <w:r>
        <w:rPr>
          <w:rFonts w:ascii="黑体" w:hAnsi="黑体" w:eastAsia="黑体" w:cs="黑体"/>
          <w:color w:val="000000"/>
          <w:sz w:val="32"/>
        </w:rPr>
        <w:t>三、机关运行经费安排情况</w:t>
      </w:r>
      <w:bookmarkEnd w:id="30"/>
      <w:bookmarkEnd w:id="31"/>
    </w:p>
    <w:p>
      <w:pPr>
        <w:pStyle w:val="34"/>
      </w:pPr>
      <w:r>
        <w:t>2022年，我</w:t>
      </w:r>
      <w:r>
        <w:rPr>
          <w:rFonts w:hint="eastAsia"/>
          <w:lang w:eastAsia="zh-CN"/>
        </w:rPr>
        <w:t>单位</w:t>
      </w:r>
      <w:r>
        <w:t>机关运行经费共计安排4.46万元，主要用于保证机关正常运转的办公费、邮电费、电费等日常运行支出。</w:t>
      </w:r>
    </w:p>
    <w:p>
      <w:pPr>
        <w:spacing w:before="10" w:after="10"/>
        <w:ind w:firstLine="640"/>
        <w:outlineLvl w:val="0"/>
      </w:pPr>
      <w:bookmarkStart w:id="32" w:name="_Toc25507"/>
      <w:bookmarkStart w:id="33" w:name="_Toc17823"/>
      <w:r>
        <w:rPr>
          <w:rFonts w:ascii="黑体" w:hAnsi="黑体" w:eastAsia="黑体" w:cs="黑体"/>
          <w:color w:val="000000"/>
          <w:sz w:val="32"/>
        </w:rPr>
        <w:t>四、财政拨款“三公”经费预算情况及增减变化原因</w:t>
      </w:r>
      <w:bookmarkEnd w:id="32"/>
      <w:bookmarkEnd w:id="33"/>
    </w:p>
    <w:p>
      <w:pPr>
        <w:pStyle w:val="35"/>
      </w:pPr>
      <w:r>
        <w:t>2022年，我单位财政拨款“三公”经费预算安排0万元，其中因公出国（境）费0万元；公务用车购置及运维费0万元（其中：公务用车购置费为0万元，公务用车运维费0万元)；公务接待费0万元。无“三公”经费，“三公”经费与上年持平，无增减变化。</w:t>
      </w:r>
    </w:p>
    <w:p>
      <w:pPr>
        <w:spacing w:before="10" w:after="10"/>
        <w:ind w:firstLine="640"/>
        <w:outlineLvl w:val="0"/>
      </w:pPr>
      <w:bookmarkStart w:id="34" w:name="_Toc24501"/>
      <w:bookmarkStart w:id="35" w:name="_Toc28820"/>
      <w:r>
        <w:rPr>
          <w:rFonts w:ascii="黑体" w:hAnsi="黑体" w:eastAsia="黑体" w:cs="黑体"/>
          <w:color w:val="000000"/>
          <w:sz w:val="32"/>
        </w:rPr>
        <w:t>五、预算绩效信息</w:t>
      </w:r>
      <w:bookmarkEnd w:id="34"/>
      <w:bookmarkEnd w:id="35"/>
    </w:p>
    <w:p>
      <w:pPr>
        <w:pStyle w:val="27"/>
        <w:ind w:firstLine="560"/>
      </w:pPr>
      <w:r>
        <w:rPr>
          <w:rFonts w:ascii="方正仿宋_GBK" w:hAnsi="方正仿宋_GBK" w:eastAsia="方正仿宋_GBK" w:cs="方正仿宋_GBK"/>
          <w:b/>
          <w:color w:val="000000"/>
          <w:sz w:val="28"/>
        </w:rPr>
        <w:t>1、《隆尧县工业志》编纂绩效目标表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1.完成《隆尧县工业志》的出版发行。</w:t>
            </w:r>
          </w:p>
          <w:p>
            <w:pPr>
              <w:pStyle w:val="29"/>
            </w:pPr>
            <w:r>
              <w:t>2.全面系统、客观真实、丰富准确地记载隆尧县工业发展历程。</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编纂数量</w:t>
            </w:r>
          </w:p>
        </w:tc>
        <w:tc>
          <w:tcPr>
            <w:tcW w:w="2835" w:type="dxa"/>
            <w:vAlign w:val="center"/>
          </w:tcPr>
          <w:p>
            <w:pPr>
              <w:pStyle w:val="29"/>
            </w:pPr>
            <w:r>
              <w:t>《隆尧县工业志》1本</w:t>
            </w:r>
          </w:p>
        </w:tc>
        <w:tc>
          <w:tcPr>
            <w:tcW w:w="2551" w:type="dxa"/>
            <w:vAlign w:val="center"/>
          </w:tcPr>
          <w:p>
            <w:pPr>
              <w:pStyle w:val="29"/>
            </w:pPr>
            <w:r>
              <w:t>1本</w:t>
            </w:r>
          </w:p>
        </w:tc>
        <w:tc>
          <w:tcPr>
            <w:tcW w:w="2268" w:type="dxa"/>
            <w:vAlign w:val="center"/>
          </w:tcPr>
          <w:p>
            <w:pPr>
              <w:pStyle w:val="29"/>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编纂质量</w:t>
            </w:r>
          </w:p>
        </w:tc>
        <w:tc>
          <w:tcPr>
            <w:tcW w:w="2835" w:type="dxa"/>
            <w:vAlign w:val="center"/>
          </w:tcPr>
          <w:p>
            <w:pPr>
              <w:pStyle w:val="29"/>
            </w:pPr>
            <w:r>
              <w:t>全面系统、客观真实、丰富准确且社会反响良好</w:t>
            </w:r>
          </w:p>
        </w:tc>
        <w:tc>
          <w:tcPr>
            <w:tcW w:w="2551" w:type="dxa"/>
            <w:vAlign w:val="center"/>
          </w:tcPr>
          <w:p>
            <w:pPr>
              <w:pStyle w:val="29"/>
            </w:pPr>
            <w:r>
              <w:t>社会反响良好</w:t>
            </w:r>
          </w:p>
        </w:tc>
        <w:tc>
          <w:tcPr>
            <w:tcW w:w="2268" w:type="dxa"/>
            <w:vAlign w:val="center"/>
          </w:tcPr>
          <w:p>
            <w:pPr>
              <w:pStyle w:val="29"/>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出版发行时间</w:t>
            </w:r>
          </w:p>
        </w:tc>
        <w:tc>
          <w:tcPr>
            <w:tcW w:w="2835" w:type="dxa"/>
            <w:vAlign w:val="center"/>
          </w:tcPr>
          <w:p>
            <w:pPr>
              <w:pStyle w:val="29"/>
            </w:pPr>
            <w:r>
              <w:t>出版发行时间</w:t>
            </w:r>
          </w:p>
        </w:tc>
        <w:tc>
          <w:tcPr>
            <w:tcW w:w="2551" w:type="dxa"/>
            <w:vAlign w:val="center"/>
          </w:tcPr>
          <w:p>
            <w:pPr>
              <w:pStyle w:val="29"/>
            </w:pPr>
            <w:r>
              <w:t>按时出版发行</w:t>
            </w:r>
          </w:p>
        </w:tc>
        <w:tc>
          <w:tcPr>
            <w:tcW w:w="2268" w:type="dxa"/>
            <w:vAlign w:val="center"/>
          </w:tcPr>
          <w:p>
            <w:pPr>
              <w:pStyle w:val="29"/>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项目成本</w:t>
            </w:r>
          </w:p>
        </w:tc>
        <w:tc>
          <w:tcPr>
            <w:tcW w:w="2835" w:type="dxa"/>
            <w:vAlign w:val="center"/>
          </w:tcPr>
          <w:p>
            <w:pPr>
              <w:pStyle w:val="29"/>
            </w:pPr>
            <w:r>
              <w:t>项目成本支出</w:t>
            </w:r>
          </w:p>
        </w:tc>
        <w:tc>
          <w:tcPr>
            <w:tcW w:w="2551" w:type="dxa"/>
            <w:vAlign w:val="center"/>
          </w:tcPr>
          <w:p>
            <w:pPr>
              <w:pStyle w:val="29"/>
            </w:pPr>
            <w:r>
              <w:t>不超出预算</w:t>
            </w:r>
          </w:p>
        </w:tc>
        <w:tc>
          <w:tcPr>
            <w:tcW w:w="2268" w:type="dxa"/>
            <w:vAlign w:val="center"/>
          </w:tcPr>
          <w:p>
            <w:pPr>
              <w:pStyle w:val="29"/>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29"/>
            </w:pPr>
            <w:r>
              <w:t>是否准确记录隆尧工业发展历程</w:t>
            </w:r>
          </w:p>
        </w:tc>
        <w:tc>
          <w:tcPr>
            <w:tcW w:w="2835" w:type="dxa"/>
            <w:vAlign w:val="center"/>
          </w:tcPr>
          <w:p>
            <w:pPr>
              <w:pStyle w:val="29"/>
            </w:pPr>
            <w:r>
              <w:t>全面系统、客观真实、丰富准确地记载隆尧县工业发展历程</w:t>
            </w:r>
          </w:p>
        </w:tc>
        <w:tc>
          <w:tcPr>
            <w:tcW w:w="2551" w:type="dxa"/>
            <w:vAlign w:val="center"/>
          </w:tcPr>
          <w:p>
            <w:pPr>
              <w:pStyle w:val="29"/>
            </w:pPr>
            <w:r>
              <w:t>社会反响良好</w:t>
            </w:r>
          </w:p>
        </w:tc>
        <w:tc>
          <w:tcPr>
            <w:tcW w:w="2268" w:type="dxa"/>
            <w:vAlign w:val="center"/>
          </w:tcPr>
          <w:p>
            <w:pPr>
              <w:pStyle w:val="29"/>
            </w:pPr>
            <w:r>
              <w:t>工经联【2017】04号请示文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群众满意度</w:t>
            </w:r>
          </w:p>
        </w:tc>
        <w:tc>
          <w:tcPr>
            <w:tcW w:w="2835" w:type="dxa"/>
            <w:vAlign w:val="center"/>
          </w:tcPr>
          <w:p>
            <w:pPr>
              <w:pStyle w:val="29"/>
            </w:pPr>
            <w:r>
              <w:t>社会反响良好，群众满意度高</w:t>
            </w:r>
          </w:p>
        </w:tc>
        <w:tc>
          <w:tcPr>
            <w:tcW w:w="2551" w:type="dxa"/>
            <w:vAlign w:val="center"/>
          </w:tcPr>
          <w:p>
            <w:pPr>
              <w:pStyle w:val="29"/>
            </w:pPr>
            <w:r>
              <w:t>≥90百分比</w:t>
            </w:r>
          </w:p>
        </w:tc>
        <w:tc>
          <w:tcPr>
            <w:tcW w:w="2268" w:type="dxa"/>
            <w:vAlign w:val="center"/>
          </w:tcPr>
          <w:p>
            <w:pPr>
              <w:pStyle w:val="29"/>
            </w:pPr>
            <w:r>
              <w:t>年初工作计划安排</w:t>
            </w:r>
          </w:p>
        </w:tc>
      </w:tr>
    </w:tbl>
    <w:p>
      <w:pPr>
        <w:pStyle w:val="27"/>
      </w:pPr>
    </w:p>
    <w:p>
      <w:pPr>
        <w:pStyle w:val="27"/>
        <w:ind w:firstLine="560"/>
        <w:rPr>
          <w:rFonts w:hint="eastAsia" w:ascii="方正仿宋_GBK" w:hAnsi="方正仿宋_GBK" w:cs="方正仿宋_GBK" w:eastAsiaTheme="minorEastAsia"/>
          <w:b/>
          <w:color w:val="000000"/>
          <w:sz w:val="28"/>
          <w:lang w:eastAsia="zh-CN"/>
        </w:rPr>
      </w:pPr>
    </w:p>
    <w:p>
      <w:pPr>
        <w:pStyle w:val="27"/>
        <w:ind w:firstLine="560"/>
      </w:pPr>
      <w:r>
        <w:rPr>
          <w:rFonts w:ascii="方正仿宋_GBK" w:hAnsi="方正仿宋_GBK" w:eastAsia="方正仿宋_GBK" w:cs="方正仿宋_GBK"/>
          <w:b/>
          <w:color w:val="000000"/>
          <w:sz w:val="28"/>
        </w:rPr>
        <w:t>2、工经联专项经费绩效目标表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1.通过深入企业走访调研，了解企业生产经营情况，帮助企业提出对策，协调解决问题。</w:t>
            </w:r>
          </w:p>
          <w:p>
            <w:pPr>
              <w:pStyle w:val="29"/>
            </w:pPr>
            <w:r>
              <w:t>2.工经联各项工作正常开展，服务企业发展。</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企业调研数量</w:t>
            </w:r>
          </w:p>
        </w:tc>
        <w:tc>
          <w:tcPr>
            <w:tcW w:w="2835" w:type="dxa"/>
            <w:vAlign w:val="center"/>
          </w:tcPr>
          <w:p>
            <w:pPr>
              <w:pStyle w:val="29"/>
            </w:pPr>
            <w:r>
              <w:t>深入10家以上企业开展走访调研</w:t>
            </w:r>
          </w:p>
        </w:tc>
        <w:tc>
          <w:tcPr>
            <w:tcW w:w="2551" w:type="dxa"/>
            <w:vAlign w:val="center"/>
          </w:tcPr>
          <w:p>
            <w:pPr>
              <w:pStyle w:val="29"/>
            </w:pPr>
            <w:r>
              <w:t>10家</w:t>
            </w:r>
          </w:p>
        </w:tc>
        <w:tc>
          <w:tcPr>
            <w:tcW w:w="2268" w:type="dxa"/>
            <w:vAlign w:val="center"/>
          </w:tcPr>
          <w:p>
            <w:pPr>
              <w:pStyle w:val="29"/>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工作质量</w:t>
            </w:r>
          </w:p>
        </w:tc>
        <w:tc>
          <w:tcPr>
            <w:tcW w:w="2835" w:type="dxa"/>
            <w:vAlign w:val="center"/>
          </w:tcPr>
          <w:p>
            <w:pPr>
              <w:pStyle w:val="29"/>
            </w:pPr>
            <w:r>
              <w:t>按上级要求，保质保量完成工作任务</w:t>
            </w:r>
          </w:p>
        </w:tc>
        <w:tc>
          <w:tcPr>
            <w:tcW w:w="2551" w:type="dxa"/>
            <w:vAlign w:val="center"/>
          </w:tcPr>
          <w:p>
            <w:pPr>
              <w:pStyle w:val="29"/>
            </w:pPr>
            <w:r>
              <w:t>高质量完成各项工作</w:t>
            </w:r>
          </w:p>
        </w:tc>
        <w:tc>
          <w:tcPr>
            <w:tcW w:w="2268" w:type="dxa"/>
            <w:vAlign w:val="center"/>
          </w:tcPr>
          <w:p>
            <w:pPr>
              <w:pStyle w:val="29"/>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年度内完成各项工作</w:t>
            </w:r>
          </w:p>
        </w:tc>
        <w:tc>
          <w:tcPr>
            <w:tcW w:w="2835" w:type="dxa"/>
            <w:vAlign w:val="center"/>
          </w:tcPr>
          <w:p>
            <w:pPr>
              <w:pStyle w:val="29"/>
            </w:pPr>
            <w:r>
              <w:t>年内按时完成各项工作</w:t>
            </w:r>
          </w:p>
        </w:tc>
        <w:tc>
          <w:tcPr>
            <w:tcW w:w="2551" w:type="dxa"/>
            <w:vAlign w:val="center"/>
          </w:tcPr>
          <w:p>
            <w:pPr>
              <w:pStyle w:val="29"/>
            </w:pPr>
            <w:r>
              <w:t>年内完成安排工作</w:t>
            </w:r>
          </w:p>
        </w:tc>
        <w:tc>
          <w:tcPr>
            <w:tcW w:w="2268" w:type="dxa"/>
            <w:vAlign w:val="center"/>
          </w:tcPr>
          <w:p>
            <w:pPr>
              <w:pStyle w:val="29"/>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项目成本</w:t>
            </w:r>
          </w:p>
        </w:tc>
        <w:tc>
          <w:tcPr>
            <w:tcW w:w="2835" w:type="dxa"/>
            <w:vAlign w:val="center"/>
          </w:tcPr>
          <w:p>
            <w:pPr>
              <w:pStyle w:val="29"/>
            </w:pPr>
            <w:r>
              <w:t>根据预算批复，各项支出控制在预算范围内</w:t>
            </w:r>
          </w:p>
        </w:tc>
        <w:tc>
          <w:tcPr>
            <w:tcW w:w="2551" w:type="dxa"/>
            <w:vAlign w:val="center"/>
          </w:tcPr>
          <w:p>
            <w:pPr>
              <w:pStyle w:val="29"/>
            </w:pPr>
            <w:r>
              <w:t>不超出计划成本金额</w:t>
            </w:r>
          </w:p>
        </w:tc>
        <w:tc>
          <w:tcPr>
            <w:tcW w:w="2268" w:type="dxa"/>
            <w:vAlign w:val="center"/>
          </w:tcPr>
          <w:p>
            <w:pPr>
              <w:pStyle w:val="29"/>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服务企业发展</w:t>
            </w:r>
          </w:p>
        </w:tc>
        <w:tc>
          <w:tcPr>
            <w:tcW w:w="2835" w:type="dxa"/>
            <w:vAlign w:val="center"/>
          </w:tcPr>
          <w:p>
            <w:pPr>
              <w:pStyle w:val="29"/>
            </w:pPr>
            <w:r>
              <w:t>服务企业发展</w:t>
            </w:r>
          </w:p>
        </w:tc>
        <w:tc>
          <w:tcPr>
            <w:tcW w:w="2551" w:type="dxa"/>
            <w:vAlign w:val="center"/>
          </w:tcPr>
          <w:p>
            <w:pPr>
              <w:pStyle w:val="29"/>
            </w:pPr>
            <w:r>
              <w:t>助力会员企业发展</w:t>
            </w:r>
          </w:p>
        </w:tc>
        <w:tc>
          <w:tcPr>
            <w:tcW w:w="2268" w:type="dxa"/>
            <w:vAlign w:val="center"/>
          </w:tcPr>
          <w:p>
            <w:pPr>
              <w:pStyle w:val="29"/>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企业满意度</w:t>
            </w:r>
          </w:p>
        </w:tc>
        <w:tc>
          <w:tcPr>
            <w:tcW w:w="2835" w:type="dxa"/>
            <w:vAlign w:val="center"/>
          </w:tcPr>
          <w:p>
            <w:pPr>
              <w:pStyle w:val="29"/>
            </w:pPr>
            <w:r>
              <w:t>企业满意度</w:t>
            </w:r>
          </w:p>
        </w:tc>
        <w:tc>
          <w:tcPr>
            <w:tcW w:w="2551" w:type="dxa"/>
            <w:vAlign w:val="center"/>
          </w:tcPr>
          <w:p>
            <w:pPr>
              <w:pStyle w:val="29"/>
            </w:pPr>
            <w:r>
              <w:t>90百分比</w:t>
            </w:r>
          </w:p>
        </w:tc>
        <w:tc>
          <w:tcPr>
            <w:tcW w:w="2268" w:type="dxa"/>
            <w:vAlign w:val="center"/>
          </w:tcPr>
          <w:p>
            <w:pPr>
              <w:pStyle w:val="29"/>
            </w:pPr>
            <w:r>
              <w:t>年初工作计划安排</w:t>
            </w:r>
          </w:p>
        </w:tc>
      </w:tr>
    </w:tbl>
    <w:p>
      <w:pPr>
        <w:pStyle w:val="27"/>
        <w:sectPr>
          <w:pgSz w:w="16840" w:h="11900" w:orient="landscape"/>
          <w:pgMar w:top="1361" w:right="1020" w:bottom="1361" w:left="1020" w:header="720" w:footer="720" w:gutter="0"/>
          <w:pgNumType w:fmt="decimal"/>
          <w:cols w:space="720" w:num="1"/>
        </w:sectPr>
      </w:pPr>
    </w:p>
    <w:p>
      <w:pPr>
        <w:spacing w:before="10" w:after="10"/>
        <w:ind w:firstLine="640"/>
        <w:outlineLvl w:val="0"/>
      </w:pPr>
      <w:bookmarkStart w:id="36" w:name="_Toc5081"/>
      <w:bookmarkStart w:id="37" w:name="_Toc22616"/>
      <w:r>
        <w:rPr>
          <w:rFonts w:ascii="黑体" w:hAnsi="黑体" w:eastAsia="黑体" w:cs="黑体"/>
          <w:color w:val="000000"/>
          <w:sz w:val="32"/>
        </w:rPr>
        <w:t>六、政府采购预算情况</w:t>
      </w:r>
      <w:bookmarkEnd w:id="36"/>
      <w:bookmarkEnd w:id="37"/>
    </w:p>
    <w:p>
      <w:pPr>
        <w:spacing w:line="500" w:lineRule="exact"/>
        <w:ind w:firstLine="560"/>
      </w:pPr>
      <w:r>
        <w:rPr>
          <w:rFonts w:eastAsia="方正仿宋_GBK"/>
          <w:color w:val="000000"/>
          <w:sz w:val="28"/>
        </w:rPr>
        <w:t>2022年，隆尧县工业经济联合会秘书处本级安排政府采购预算0.42万元。具体内容见下表。</w:t>
      </w:r>
    </w:p>
    <w:p>
      <w:pPr>
        <w:jc w:val="center"/>
        <w:outlineLvl w:val="1"/>
      </w:pPr>
      <w:bookmarkStart w:id="38" w:name="_Toc22863"/>
      <w:bookmarkStart w:id="39" w:name="_Toc13449"/>
      <w:bookmarkStart w:id="40" w:name="_Toc5074"/>
      <w:r>
        <w:rPr>
          <w:rFonts w:ascii="方正小标宋_GBK" w:hAnsi="方正小标宋_GBK" w:eastAsia="方正小标宋_GBK" w:cs="方正小标宋_GBK"/>
          <w:color w:val="000000"/>
          <w:sz w:val="36"/>
        </w:rPr>
        <w:t>单位政府采购预算</w:t>
      </w:r>
      <w:bookmarkEnd w:id="38"/>
      <w:bookmarkEnd w:id="39"/>
      <w:bookmarkEnd w:id="4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8674"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w:t>
            </w:r>
            <w:r>
              <w:rPr>
                <w:rFonts w:hint="eastAsia"/>
                <w:lang w:eastAsia="zh-CN"/>
              </w:rPr>
              <w:t>单位</w:t>
            </w:r>
            <w:r>
              <w:t>预算安排资金）</w:t>
            </w:r>
          </w:p>
        </w:tc>
        <w:tc>
          <w:tcPr>
            <w:tcW w:w="96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0.42</w:t>
            </w:r>
          </w:p>
        </w:tc>
        <w:tc>
          <w:tcPr>
            <w:tcW w:w="964" w:type="dxa"/>
            <w:vAlign w:val="center"/>
          </w:tcPr>
          <w:p>
            <w:pPr>
              <w:pStyle w:val="18"/>
            </w:pPr>
            <w:r>
              <w:t>0.42</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隆尧县工业经济联合会秘书处本级小计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0.42</w:t>
            </w:r>
          </w:p>
        </w:tc>
        <w:tc>
          <w:tcPr>
            <w:tcW w:w="964" w:type="dxa"/>
            <w:vAlign w:val="center"/>
          </w:tcPr>
          <w:p>
            <w:pPr>
              <w:pStyle w:val="18"/>
            </w:pPr>
            <w:r>
              <w:t>0.42</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工经联专项经费</w:t>
            </w:r>
          </w:p>
        </w:tc>
        <w:tc>
          <w:tcPr>
            <w:tcW w:w="964" w:type="dxa"/>
            <w:vAlign w:val="center"/>
          </w:tcPr>
          <w:p>
            <w:pPr>
              <w:pStyle w:val="14"/>
            </w:pPr>
            <w:r>
              <w:t>2.20</w:t>
            </w:r>
          </w:p>
        </w:tc>
        <w:tc>
          <w:tcPr>
            <w:tcW w:w="1134" w:type="dxa"/>
            <w:vAlign w:val="center"/>
          </w:tcPr>
          <w:p>
            <w:pPr>
              <w:pStyle w:val="15"/>
            </w:pPr>
            <w:r>
              <w:t>复印纸</w:t>
            </w:r>
          </w:p>
        </w:tc>
        <w:tc>
          <w:tcPr>
            <w:tcW w:w="1134" w:type="dxa"/>
            <w:vAlign w:val="center"/>
          </w:tcPr>
          <w:p>
            <w:pPr>
              <w:pStyle w:val="15"/>
            </w:pPr>
            <w:r>
              <w:t>A090101</w:t>
            </w:r>
          </w:p>
        </w:tc>
        <w:tc>
          <w:tcPr>
            <w:tcW w:w="709" w:type="dxa"/>
            <w:vAlign w:val="center"/>
          </w:tcPr>
          <w:p>
            <w:pPr>
              <w:pStyle w:val="16"/>
            </w:pPr>
            <w:r>
              <w:t>包</w:t>
            </w:r>
          </w:p>
        </w:tc>
        <w:tc>
          <w:tcPr>
            <w:tcW w:w="850" w:type="dxa"/>
            <w:vAlign w:val="center"/>
          </w:tcPr>
          <w:p>
            <w:pPr>
              <w:pStyle w:val="14"/>
            </w:pPr>
            <w:r>
              <w:t>10</w:t>
            </w:r>
          </w:p>
        </w:tc>
        <w:tc>
          <w:tcPr>
            <w:tcW w:w="850" w:type="dxa"/>
            <w:vAlign w:val="center"/>
          </w:tcPr>
          <w:p>
            <w:pPr>
              <w:pStyle w:val="14"/>
            </w:pPr>
            <w:r>
              <w:t>0.02</w:t>
            </w:r>
          </w:p>
        </w:tc>
        <w:tc>
          <w:tcPr>
            <w:tcW w:w="964" w:type="dxa"/>
            <w:vAlign w:val="center"/>
          </w:tcPr>
          <w:p>
            <w:pPr>
              <w:pStyle w:val="14"/>
            </w:pPr>
            <w:r>
              <w:t>0.22</w:t>
            </w:r>
          </w:p>
        </w:tc>
        <w:tc>
          <w:tcPr>
            <w:tcW w:w="964" w:type="dxa"/>
            <w:vAlign w:val="center"/>
          </w:tcPr>
          <w:p>
            <w:pPr>
              <w:pStyle w:val="14"/>
            </w:pPr>
            <w:r>
              <w:t>0.22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工经联专项经费</w:t>
            </w:r>
          </w:p>
        </w:tc>
        <w:tc>
          <w:tcPr>
            <w:tcW w:w="964" w:type="dxa"/>
            <w:vAlign w:val="center"/>
          </w:tcPr>
          <w:p>
            <w:pPr>
              <w:pStyle w:val="14"/>
            </w:pPr>
            <w:r>
              <w:t>2.20</w:t>
            </w:r>
          </w:p>
        </w:tc>
        <w:tc>
          <w:tcPr>
            <w:tcW w:w="1134" w:type="dxa"/>
            <w:vAlign w:val="center"/>
          </w:tcPr>
          <w:p>
            <w:pPr>
              <w:pStyle w:val="15"/>
            </w:pPr>
            <w:r>
              <w:t>其他印刷服务</w:t>
            </w:r>
          </w:p>
        </w:tc>
        <w:tc>
          <w:tcPr>
            <w:tcW w:w="1134" w:type="dxa"/>
            <w:vAlign w:val="center"/>
          </w:tcPr>
          <w:p>
            <w:pPr>
              <w:pStyle w:val="15"/>
            </w:pPr>
            <w:r>
              <w:t>C08140199</w:t>
            </w:r>
          </w:p>
        </w:tc>
        <w:tc>
          <w:tcPr>
            <w:tcW w:w="709" w:type="dxa"/>
            <w:vAlign w:val="center"/>
          </w:tcPr>
          <w:p>
            <w:pPr>
              <w:pStyle w:val="16"/>
            </w:pPr>
            <w:r>
              <w:t>次</w:t>
            </w:r>
          </w:p>
        </w:tc>
        <w:tc>
          <w:tcPr>
            <w:tcW w:w="850" w:type="dxa"/>
            <w:vAlign w:val="center"/>
          </w:tcPr>
          <w:p>
            <w:pPr>
              <w:pStyle w:val="14"/>
            </w:pPr>
            <w:r>
              <w:t>2</w:t>
            </w:r>
          </w:p>
        </w:tc>
        <w:tc>
          <w:tcPr>
            <w:tcW w:w="850" w:type="dxa"/>
            <w:vAlign w:val="center"/>
          </w:tcPr>
          <w:p>
            <w:pPr>
              <w:pStyle w:val="14"/>
            </w:pPr>
            <w:r>
              <w:t>0.10</w:t>
            </w:r>
          </w:p>
        </w:tc>
        <w:tc>
          <w:tcPr>
            <w:tcW w:w="964" w:type="dxa"/>
            <w:vAlign w:val="center"/>
          </w:tcPr>
          <w:p>
            <w:pPr>
              <w:pStyle w:val="14"/>
            </w:pPr>
            <w:r>
              <w:t>0.20</w:t>
            </w:r>
          </w:p>
        </w:tc>
        <w:tc>
          <w:tcPr>
            <w:tcW w:w="964" w:type="dxa"/>
            <w:vAlign w:val="center"/>
          </w:tcPr>
          <w:p>
            <w:pPr>
              <w:pStyle w:val="14"/>
            </w:pPr>
            <w:r>
              <w:t>0.20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0"/>
      </w:pPr>
      <w:bookmarkStart w:id="41" w:name="_Toc4728"/>
      <w:bookmarkStart w:id="42" w:name="_Toc17156"/>
      <w:r>
        <w:rPr>
          <w:rFonts w:ascii="黑体" w:hAnsi="黑体" w:eastAsia="黑体" w:cs="黑体"/>
          <w:color w:val="000000"/>
          <w:sz w:val="32"/>
        </w:rPr>
        <w:t>七、国有资产信息</w:t>
      </w:r>
      <w:bookmarkEnd w:id="41"/>
      <w:bookmarkEnd w:id="42"/>
    </w:p>
    <w:p>
      <w:pPr>
        <w:spacing w:line="500" w:lineRule="exact"/>
        <w:ind w:firstLine="560"/>
      </w:pPr>
      <w:r>
        <w:rPr>
          <w:rFonts w:eastAsia="方正仿宋_GBK"/>
          <w:color w:val="000000"/>
          <w:sz w:val="28"/>
        </w:rPr>
        <w:t>隆尧县工业经济联合会秘书处本级上年末固定资产金额为6.82万元（详见下表）。本年度拟购置固定资产总额为0.00万元，已按要求列入政府采购预算，详见政府采购预算表。</w:t>
      </w:r>
    </w:p>
    <w:p>
      <w:pPr>
        <w:jc w:val="center"/>
        <w:rPr>
          <w:rFonts w:hint="eastAsia" w:ascii="方正小标宋_GBK" w:hAnsi="方正小标宋_GBK" w:cs="方正小标宋_GBK" w:eastAsiaTheme="minorEastAsia"/>
          <w:color w:val="000000"/>
          <w:sz w:val="36"/>
          <w:lang w:eastAsia="zh-CN"/>
        </w:rPr>
      </w:pPr>
    </w:p>
    <w:p>
      <w:pPr>
        <w:jc w:val="center"/>
        <w:outlineLvl w:val="1"/>
      </w:pPr>
      <w:bookmarkStart w:id="43" w:name="_Toc31952"/>
      <w:bookmarkStart w:id="44" w:name="_Toc31081"/>
      <w:bookmarkStart w:id="45" w:name="_Toc8896"/>
      <w:r>
        <w:rPr>
          <w:rFonts w:ascii="方正小标宋_GBK" w:hAnsi="方正小标宋_GBK" w:eastAsia="方正小标宋_GBK" w:cs="方正小标宋_GBK"/>
          <w:color w:val="000000"/>
          <w:sz w:val="36"/>
        </w:rPr>
        <w:t>单位固定资产占用情况表</w:t>
      </w:r>
      <w:bookmarkEnd w:id="43"/>
      <w:bookmarkEnd w:id="44"/>
      <w:bookmarkEnd w:id="4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6.82</w:t>
            </w:r>
          </w:p>
        </w:tc>
      </w:tr>
    </w:tbl>
    <w:p>
      <w:pPr>
        <w:ind w:firstLine="640"/>
      </w:pPr>
      <w:r>
        <w:rPr>
          <w:rFonts w:eastAsia="方正仿宋_GBK"/>
          <w:color w:val="000000"/>
          <w:sz w:val="32"/>
        </w:rPr>
        <w:t xml:space="preserve"> </w:t>
      </w:r>
    </w:p>
    <w:p>
      <w:pPr>
        <w:spacing w:before="10" w:after="10"/>
        <w:ind w:firstLine="640"/>
        <w:outlineLvl w:val="0"/>
      </w:pPr>
      <w:bookmarkStart w:id="46" w:name="_Toc9471"/>
      <w:bookmarkStart w:id="47" w:name="_Toc17666"/>
      <w:r>
        <w:rPr>
          <w:rFonts w:ascii="黑体" w:hAnsi="黑体" w:eastAsia="黑体" w:cs="黑体"/>
          <w:color w:val="000000"/>
          <w:sz w:val="32"/>
        </w:rPr>
        <w:t>八、名词解释</w:t>
      </w:r>
      <w:bookmarkEnd w:id="46"/>
      <w:bookmarkEnd w:id="47"/>
    </w:p>
    <w:p>
      <w:pPr>
        <w:spacing w:line="500" w:lineRule="exact"/>
        <w:ind w:firstLine="560"/>
        <w:outlineLvl w:val="1"/>
      </w:pPr>
      <w:bookmarkStart w:id="48" w:name="_Toc15544"/>
      <w:bookmarkStart w:id="49" w:name="_Toc22050"/>
      <w:bookmarkStart w:id="50" w:name="_Toc15756"/>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bookmarkEnd w:id="48"/>
      <w:bookmarkEnd w:id="49"/>
      <w:bookmarkEnd w:id="50"/>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outlineLvl w:val="1"/>
      </w:pPr>
      <w:bookmarkStart w:id="51" w:name="_Toc13035"/>
      <w:bookmarkStart w:id="52" w:name="_Toc1687"/>
      <w:bookmarkStart w:id="53" w:name="_Toc2797"/>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bookmarkEnd w:id="51"/>
      <w:bookmarkEnd w:id="52"/>
      <w:bookmarkEnd w:id="53"/>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0"/>
      </w:pPr>
      <w:bookmarkStart w:id="54" w:name="_Toc3494"/>
      <w:bookmarkStart w:id="55" w:name="_Toc16125"/>
      <w:r>
        <w:rPr>
          <w:rFonts w:ascii="黑体" w:hAnsi="黑体" w:eastAsia="黑体" w:cs="黑体"/>
          <w:color w:val="000000"/>
          <w:sz w:val="32"/>
        </w:rPr>
        <w:t>九、其他需要说明的事项</w:t>
      </w:r>
      <w:bookmarkEnd w:id="54"/>
      <w:bookmarkEnd w:id="55"/>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51" o:spid="_x0000_s2051"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rPr>
                    <w:sz w:val="24"/>
                    <w:szCs w:val="24"/>
                  </w:rPr>
                </w:pPr>
                <w:r>
                  <w:rPr>
                    <w:sz w:val="24"/>
                    <w:szCs w:val="24"/>
                  </w:rPr>
                  <w:fldChar w:fldCharType="begin"/>
                </w:r>
                <w:r>
                  <w:rPr>
                    <w:sz w:val="24"/>
                    <w:szCs w:val="24"/>
                  </w:rPr>
                  <w:instrText xml:space="preserve">PAGE "page number"</w:instrText>
                </w:r>
                <w:r>
                  <w:rPr>
                    <w:sz w:val="24"/>
                    <w:szCs w:val="24"/>
                  </w:rPr>
                  <w:fldChar w:fldCharType="separate"/>
                </w:r>
                <w:r>
                  <w:rPr>
                    <w:sz w:val="24"/>
                    <w:szCs w:val="24"/>
                  </w:rPr>
                  <w:t>23</w:t>
                </w:r>
                <w:r>
                  <w:rPr>
                    <w:sz w:val="24"/>
                    <w:szCs w:val="24"/>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2052" o:spid="_x0000_s205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24</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docVars>
    <w:docVar w:name="commondata" w:val="eyJoZGlkIjoiYjU2NGZmNTgwY2E2NTc3Nzg3YTA2NGFiMTg4ZjkzZGIifQ=="/>
  </w:docVars>
  <w:rsids>
    <w:rsidRoot w:val="006E6C72"/>
    <w:rsid w:val="003F78C2"/>
    <w:rsid w:val="006E6C72"/>
    <w:rsid w:val="007878D3"/>
    <w:rsid w:val="00CD0FE9"/>
    <w:rsid w:val="00D62184"/>
    <w:rsid w:val="00F143DA"/>
    <w:rsid w:val="00FF6B50"/>
    <w:rsid w:val="12E80297"/>
    <w:rsid w:val="3A225EED"/>
    <w:rsid w:val="7BC97C83"/>
    <w:rsid w:val="7D4777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qFormat/>
    <w:uiPriority w:val="39"/>
    <w:pPr>
      <w:ind w:left="840" w:leftChars="400"/>
    </w:pPr>
  </w:style>
  <w:style w:type="paragraph" w:styleId="3">
    <w:name w:val="footer"/>
    <w:basedOn w:val="1"/>
    <w:link w:val="41"/>
    <w:semiHidden/>
    <w:unhideWhenUsed/>
    <w:qFormat/>
    <w:uiPriority w:val="99"/>
    <w:pPr>
      <w:tabs>
        <w:tab w:val="center" w:pos="4153"/>
        <w:tab w:val="right" w:pos="8306"/>
      </w:tabs>
      <w:snapToGrid w:val="0"/>
    </w:pPr>
    <w:rPr>
      <w:sz w:val="18"/>
      <w:szCs w:val="18"/>
    </w:rPr>
  </w:style>
  <w:style w:type="paragraph" w:styleId="4">
    <w:name w:val="header"/>
    <w:basedOn w:val="1"/>
    <w:link w:val="4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semiHidden/>
    <w:unhideWhenUsed/>
    <w:uiPriority w:val="39"/>
  </w:style>
  <w:style w:type="paragraph" w:styleId="6">
    <w:name w:val="toc 2"/>
    <w:basedOn w:val="1"/>
    <w:next w:val="1"/>
    <w:semiHidden/>
    <w:unhideWhenUsed/>
    <w:uiPriority w:val="39"/>
    <w:pPr>
      <w:ind w:left="420" w:leftChars="20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Normal_8571f05b-269c-49ca-80df-aa9c5ec00021"/>
    <w:qFormat/>
    <w:uiPriority w:val="0"/>
    <w:rPr>
      <w:rFonts w:ascii="Times New Roman" w:hAnsi="Times New Roman" w:eastAsia="Times New Roman" w:cs="Times New Roman"/>
      <w:sz w:val="24"/>
      <w:szCs w:val="24"/>
      <w:lang w:val="en-US" w:eastAsia="uk-UA" w:bidi="ar-SA"/>
    </w:rPr>
  </w:style>
  <w:style w:type="paragraph" w:customStyle="1" w:styleId="28">
    <w:name w:val="单元格样式1_eaaa1eac-e2d8-41f7-8f53-a0abd146536e"/>
    <w:basedOn w:val="1"/>
    <w:qFormat/>
    <w:uiPriority w:val="0"/>
    <w:pPr>
      <w:jc w:val="center"/>
    </w:pPr>
    <w:rPr>
      <w:rFonts w:ascii="方正书宋_GBK" w:hAnsi="方正书宋_GBK" w:eastAsia="方正书宋_GBK" w:cs="方正书宋_GBK"/>
      <w:b/>
      <w:sz w:val="21"/>
    </w:rPr>
  </w:style>
  <w:style w:type="paragraph" w:customStyle="1" w:styleId="29">
    <w:name w:val="单元格样式2_243851c6-7f0c-4871-b2f8-17b8726fcb91"/>
    <w:basedOn w:val="1"/>
    <w:qFormat/>
    <w:uiPriority w:val="0"/>
    <w:rPr>
      <w:rFonts w:ascii="方正书宋_GBK" w:hAnsi="方正书宋_GBK" w:eastAsia="方正书宋_GBK" w:cs="方正书宋_GBK"/>
      <w:sz w:val="21"/>
    </w:rPr>
  </w:style>
  <w:style w:type="paragraph" w:customStyle="1" w:styleId="30">
    <w:name w:val="单元格样式3_7bd1a18f-2f5d-438a-8e73-57e15efd21ed"/>
    <w:basedOn w:val="1"/>
    <w:qFormat/>
    <w:uiPriority w:val="0"/>
    <w:pPr>
      <w:jc w:val="center"/>
    </w:pPr>
    <w:rPr>
      <w:rFonts w:ascii="方正书宋_GBK" w:hAnsi="方正书宋_GBK" w:eastAsia="方正书宋_GBK" w:cs="方正书宋_GBK"/>
      <w:sz w:val="21"/>
    </w:rPr>
  </w:style>
  <w:style w:type="paragraph" w:customStyle="1" w:styleId="31">
    <w:name w:val="单元格样式23"/>
    <w:basedOn w:val="1"/>
    <w:qFormat/>
    <w:uiPriority w:val="0"/>
    <w:pPr>
      <w:jc w:val="right"/>
    </w:pPr>
    <w:rPr>
      <w:rFonts w:ascii="方正书宋_GBK" w:hAnsi="方正书宋_GBK" w:eastAsia="方正书宋_GBK" w:cs="方正书宋_GBK"/>
    </w:rPr>
  </w:style>
  <w:style w:type="paragraph" w:customStyle="1" w:styleId="32">
    <w:name w:val="插入文本样式-插入单位职责文件"/>
    <w:basedOn w:val="1"/>
    <w:qFormat/>
    <w:uiPriority w:val="0"/>
    <w:pPr>
      <w:spacing w:line="500" w:lineRule="exact"/>
      <w:ind w:firstLine="560"/>
    </w:pPr>
    <w:rPr>
      <w:rFonts w:eastAsia="方正仿宋_GBK"/>
      <w:sz w:val="28"/>
    </w:rPr>
  </w:style>
  <w:style w:type="paragraph" w:customStyle="1" w:styleId="33">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4">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6">
    <w:name w:val="TOC 2"/>
    <w:basedOn w:val="1"/>
    <w:qFormat/>
    <w:uiPriority w:val="0"/>
    <w:pPr>
      <w:ind w:left="240"/>
    </w:pPr>
  </w:style>
  <w:style w:type="paragraph" w:customStyle="1" w:styleId="37">
    <w:name w:val="TOC 3"/>
    <w:basedOn w:val="1"/>
    <w:qFormat/>
    <w:uiPriority w:val="0"/>
    <w:pPr>
      <w:ind w:left="480"/>
    </w:pPr>
  </w:style>
  <w:style w:type="paragraph" w:customStyle="1" w:styleId="38">
    <w:name w:val="TOC 4"/>
    <w:basedOn w:val="1"/>
    <w:qFormat/>
    <w:uiPriority w:val="0"/>
    <w:pPr>
      <w:ind w:left="720"/>
    </w:pPr>
  </w:style>
  <w:style w:type="paragraph" w:customStyle="1" w:styleId="39">
    <w:name w:val="TOC 1"/>
    <w:basedOn w:val="1"/>
    <w:qFormat/>
    <w:uiPriority w:val="0"/>
    <w:pPr>
      <w:spacing w:before="120"/>
      <w:ind w:firstLine="560"/>
    </w:pPr>
    <w:rPr>
      <w:rFonts w:eastAsia="方正仿宋_GBK"/>
      <w:color w:val="000000"/>
      <w:sz w:val="28"/>
    </w:rPr>
  </w:style>
  <w:style w:type="character" w:customStyle="1" w:styleId="40">
    <w:name w:val="页眉 Char"/>
    <w:basedOn w:val="9"/>
    <w:link w:val="4"/>
    <w:semiHidden/>
    <w:qFormat/>
    <w:uiPriority w:val="99"/>
    <w:rPr>
      <w:rFonts w:eastAsia="Times New Roman"/>
      <w:sz w:val="18"/>
      <w:szCs w:val="18"/>
      <w:lang w:eastAsia="uk-UA"/>
    </w:rPr>
  </w:style>
  <w:style w:type="character" w:customStyle="1" w:styleId="41">
    <w:name w:val="页脚 Char"/>
    <w:basedOn w:val="9"/>
    <w:link w:val="3"/>
    <w:semiHidden/>
    <w:qFormat/>
    <w:uiPriority w:val="99"/>
    <w:rPr>
      <w:rFonts w:eastAsia="Times New Roman"/>
      <w:sz w:val="18"/>
      <w:szCs w:val="18"/>
      <w:lang w:eastAsia="uk-UA"/>
    </w:rPr>
  </w:style>
  <w:style w:type="paragraph" w:customStyle="1" w:styleId="42">
    <w:name w:val="WPSOffice手动目录 1"/>
    <w:uiPriority w:val="0"/>
    <w:pPr>
      <w:ind w:leftChars="0"/>
    </w:pPr>
    <w:rPr>
      <w:sz w:val="20"/>
      <w:szCs w:val="20"/>
    </w:rPr>
  </w:style>
  <w:style w:type="paragraph" w:customStyle="1" w:styleId="43">
    <w:name w:val="WPSOffice手动目录 2"/>
    <w:uiPriority w:val="0"/>
    <w:pPr>
      <w:ind w:leftChars="200"/>
    </w:pPr>
    <w:rPr>
      <w:sz w:val="20"/>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51" textRotate="1"/>
    <customShpInfo spid="_x0000_s2052" textRotate="1"/>
  </customShpExt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2022-02-15T10:34:24Z</dcterms:created>
  <dcterms:modified xsi:type="dcterms:W3CDTF">2022-02-15T02:34:24Z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2022-02-15T10:34:25Z</dcterms:created>
  <dcterms:modified xsi:type="dcterms:W3CDTF">2022-02-15T02:34:25Z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2022-02-15T10:34:27Z</dcterms:created>
  <dcterms:modified xsi:type="dcterms:W3CDTF">2022-02-15T02:34:27Z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2022-02-15T10:34:27Z</dcterms:created>
  <dcterms:modified xsi:type="dcterms:W3CDTF">2022-02-15T02:34:27Z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CE6F0C-57F7-49CE-A75B-F4245CB86FAC}">
  <ds:schemaRefs/>
</ds:datastoreItem>
</file>

<file path=customXml/itemProps3.xml><?xml version="1.0" encoding="utf-8"?>
<ds:datastoreItem xmlns:ds="http://schemas.openxmlformats.org/officeDocument/2006/customXml" ds:itemID="{7AFA2784-F924-443E-BF41-E11C81BE7F59}">
  <ds:schemaRefs/>
</ds:datastoreItem>
</file>

<file path=customXml/itemProps4.xml><?xml version="1.0" encoding="utf-8"?>
<ds:datastoreItem xmlns:ds="http://schemas.openxmlformats.org/officeDocument/2006/customXml" ds:itemID="{86E5FF5B-D912-4726-A9E3-F0A0F0D973DA}">
  <ds:schemaRefs/>
</ds:datastoreItem>
</file>

<file path=customXml/itemProps5.xml><?xml version="1.0" encoding="utf-8"?>
<ds:datastoreItem xmlns:ds="http://schemas.openxmlformats.org/officeDocument/2006/customXml" ds:itemID="{FBDDD231-460B-4A11-B89F-0EEC184D08B7}">
  <ds:schemaRefs/>
</ds:datastoreItem>
</file>

<file path=customXml/itemProps6.xml><?xml version="1.0" encoding="utf-8"?>
<ds:datastoreItem xmlns:ds="http://schemas.openxmlformats.org/officeDocument/2006/customXml" ds:itemID="{06F7A5F1-0246-4D8B-AF3E-B17D64830923}">
  <ds:schemaRefs/>
</ds:datastoreItem>
</file>

<file path=customXml/itemProps7.xml><?xml version="1.0" encoding="utf-8"?>
<ds:datastoreItem xmlns:ds="http://schemas.openxmlformats.org/officeDocument/2006/customXml" ds:itemID="{975BA1A9-00FA-431E-B69F-A4E9A3BDA530}">
  <ds:schemaRefs/>
</ds:datastoreItem>
</file>

<file path=customXml/itemProps8.xml><?xml version="1.0" encoding="utf-8"?>
<ds:datastoreItem xmlns:ds="http://schemas.openxmlformats.org/officeDocument/2006/customXml" ds:itemID="{29589956-CBDD-4147-A7E0-720ED7AF2CD7}">
  <ds:schemaRefs/>
</ds:datastoreItem>
</file>

<file path=customXml/itemProps9.xml><?xml version="1.0" encoding="utf-8"?>
<ds:datastoreItem xmlns:ds="http://schemas.openxmlformats.org/officeDocument/2006/customXml" ds:itemID="{D96B2D05-A35F-4651-B8E1-5E0DCA3B56CF}">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11787</Words>
  <Characters>13931</Characters>
  <Lines>135</Lines>
  <Paragraphs>38</Paragraphs>
  <TotalTime>3</TotalTime>
  <ScaleCrop>false</ScaleCrop>
  <LinksUpToDate>false</LinksUpToDate>
  <CharactersWithSpaces>14210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2022-02-15T02:35:00Z</dcterms:created>
  <dc:creator>Administrator</dc:creator>
  <cp:lastModifiedBy>Administrator</cp:lastModifiedBy>
  <dcterms:modified xsi:type="dcterms:W3CDTF">2023-09-06T07:41:26Z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0F02DC72E60F4263861057CC3A84C8FE</vt:lpwstr>
  </property>
</Properties>
</file>