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0"/>
        <w:rPr>
          <w:rFonts w:ascii="黑体" w:hAnsi="黑体" w:eastAsia="黑体" w:cs="黑体"/>
          <w:b/>
          <w:color w:val="000000"/>
          <w:sz w:val="44"/>
        </w:rPr>
      </w:pPr>
    </w:p>
    <w:p>
      <w:pPr>
        <w:jc w:val="center"/>
      </w:pPr>
      <w:r>
        <w:rPr>
          <w:rFonts w:ascii="黑体" w:hAnsi="黑体" w:eastAsia="黑体" w:cs="黑体"/>
          <w:b/>
          <w:color w:val="000000"/>
          <w:sz w:val="30"/>
        </w:rPr>
        <w:t xml:space="preserve"> </w:t>
      </w:r>
    </w:p>
    <w:p>
      <w:pPr>
        <w:rPr>
          <w:rFonts w:ascii="Times New Roman" w:hAnsi="Times New Roman" w:eastAsia="方正仿宋_GBK" w:cs="Times New Roman"/>
          <w:color w:val="000000"/>
          <w:sz w:val="28"/>
          <w:szCs w:val="24"/>
          <w:lang w:val="en-US" w:eastAsia="uk-UA" w:bidi="ar-SA"/>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6"/>
        <w:keepNext w:val="0"/>
        <w:keepLines w:val="0"/>
        <w:pageBreakBefore w:val="0"/>
        <w:widowControl/>
        <w:tabs>
          <w:tab w:val="right" w:leader="dot" w:pos="14572"/>
        </w:tabs>
        <w:kinsoku/>
        <w:wordWrap/>
        <w:overflowPunct/>
        <w:topLinePunct w:val="0"/>
        <w:autoSpaceDE/>
        <w:autoSpaceDN/>
        <w:bidi w:val="0"/>
        <w:adjustRightInd/>
        <w:snapToGrid/>
        <w:spacing w:before="0" w:beforeLines="50"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TOC \o "2-2" \h \z \u</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_Toc2897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_Toc2897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_Toc10318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单位预算收入总表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_Toc10318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_Toc28231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单位预算支出总表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_Toc28231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_Toc21499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单位预算财政拨款收支总表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_Toc21499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_Toc4279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单位预算一般公共预算财政拨款支出表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_Toc4279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_Toc4842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单位预算一般公共预算财政拨款基本支出表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_Toc4842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_Toc7495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单位预算政府基金预算财政拨款支出表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_Toc7495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_Toc23745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单位预算国有资本经营预算财政拨款支出表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_Toc23745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360" w:lineRule="auto"/>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_Toc3668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单位预算财政拨款“三公”经费支出表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_Toc3668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r>
        <w:rPr>
          <w:rFonts w:ascii="Times New Roman" w:hAnsi="Times New Roman" w:eastAsia="方正仿宋_GBK" w:cs="Times New Roman"/>
          <w:color w:val="000000"/>
          <w:sz w:val="28"/>
          <w:szCs w:val="24"/>
          <w:lang w:val="en-US" w:eastAsia="uk-UA" w:bidi="ar-SA"/>
        </w:rP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beforeLines="5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TOC \o "3-3" \h \z \u</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_Toc6588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一、单位职责及机构设置情况</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_Toc6588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13</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_Toc12249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二、单位预算安排的总体情况</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_Toc12249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14</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_Toc11738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三、机关运行经费安排情况</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_Toc11738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15</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_Toc1792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四、财政拨款“三公”经费预算情况及增减变化原因</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_Toc1792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15</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_Toc1406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五、预算绩效信息</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_Toc1406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15</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_Toc8672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六、政府采购预算情况</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_Toc8672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16</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_Toc9243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七、国有资产信息</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_Toc9243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18</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_Toc31356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八、名词解释</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_Toc31356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18</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before="0" w:line="360" w:lineRule="auto"/>
        <w:ind w:left="480" w:left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_Toc30351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九、其他需要说明的事项</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_Toc30351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19</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keepNext w:val="0"/>
        <w:keepLines w:val="0"/>
        <w:pageBreakBefore w:val="0"/>
        <w:widowControl/>
        <w:kinsoku/>
        <w:wordWrap/>
        <w:overflowPunct/>
        <w:topLinePunct w:val="0"/>
        <w:autoSpaceDE/>
        <w:autoSpaceDN/>
        <w:bidi w:val="0"/>
        <w:adjustRightInd/>
        <w:snapToGrid/>
        <w:spacing w:before="0" w:line="360" w:lineRule="auto"/>
        <w:textAlignment w:val="auto"/>
      </w:pPr>
      <w:r>
        <w:rPr>
          <w:rFonts w:hint="eastAsia" w:ascii="Times New Roman" w:hAnsi="Times New Roman" w:eastAsia="方正仿宋_GBK" w:cs="Times New Roman"/>
          <w:color w:val="000000"/>
          <w:sz w:val="28"/>
          <w:szCs w:val="24"/>
          <w:lang w:val="en-US" w:eastAsia="zh-CN" w:bidi="ar-SA"/>
        </w:rPr>
        <w:fldChar w:fldCharType="end"/>
      </w:r>
    </w:p>
    <w:p>
      <w:pPr>
        <w:sectPr>
          <w:pgSz w:w="16840" w:h="11900" w:orient="landscape"/>
          <w:pgMar w:top="1587" w:right="1134" w:bottom="1361" w:left="1134" w:header="720" w:footer="720" w:gutter="0"/>
          <w:pgNumType w:fmt="decimal" w:start="1"/>
          <w:cols w:space="720" w:num="1"/>
        </w:sectPr>
      </w:pPr>
      <w:bookmarkStart w:id="18" w:name="_GoBack"/>
      <w:bookmarkEnd w:id="18"/>
    </w:p>
    <w:p>
      <w:pPr>
        <w:jc w:val="center"/>
        <w:outlineLvl w:val="1"/>
        <w:rPr>
          <w:rFonts w:hint="eastAsia" w:ascii="方正小标宋_GBK" w:hAnsi="方正小标宋_GBK" w:eastAsia="方正小标宋_GBK" w:cs="方正小标宋_GBK"/>
          <w:color w:val="000000"/>
          <w:sz w:val="36"/>
          <w:lang w:eastAsia="zh-CN"/>
        </w:rPr>
      </w:pPr>
      <w:bookmarkStart w:id="0" w:name="_Toc2897"/>
      <w:r>
        <w:rPr>
          <w:rFonts w:hint="eastAsia" w:ascii="方正小标宋_GBK" w:hAnsi="方正小标宋_GBK" w:eastAsia="方正小标宋_GBK" w:cs="方正小标宋_GBK"/>
          <w:color w:val="000000"/>
          <w:sz w:val="36"/>
          <w:lang w:eastAsia="zh-CN"/>
        </w:rPr>
        <w:t>单位预算收支总表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77.78</w:t>
            </w:r>
          </w:p>
        </w:tc>
        <w:tc>
          <w:tcPr>
            <w:tcW w:w="4535" w:type="dxa"/>
            <w:vAlign w:val="center"/>
          </w:tcPr>
          <w:p>
            <w:pPr>
              <w:pStyle w:val="15"/>
            </w:pPr>
            <w:r>
              <w:t>一、一般公共服务支出</w:t>
            </w:r>
          </w:p>
        </w:tc>
        <w:tc>
          <w:tcPr>
            <w:tcW w:w="2126" w:type="dxa"/>
            <w:vAlign w:val="center"/>
          </w:tcPr>
          <w:p>
            <w:pPr>
              <w:pStyle w:val="14"/>
            </w:pPr>
            <w:r>
              <w:t>63.86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三十一、往来性收支</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77.78</w:t>
            </w:r>
          </w:p>
        </w:tc>
        <w:tc>
          <w:tcPr>
            <w:tcW w:w="4535" w:type="dxa"/>
            <w:vAlign w:val="center"/>
          </w:tcPr>
          <w:p>
            <w:pPr>
              <w:pStyle w:val="17"/>
            </w:pPr>
            <w:r>
              <w:t>本年支出合计</w:t>
            </w:r>
          </w:p>
        </w:tc>
        <w:tc>
          <w:tcPr>
            <w:tcW w:w="2126" w:type="dxa"/>
            <w:vAlign w:val="center"/>
          </w:tcPr>
          <w:p>
            <w:pPr>
              <w:pStyle w:val="18"/>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77.78</w:t>
            </w:r>
          </w:p>
        </w:tc>
        <w:tc>
          <w:tcPr>
            <w:tcW w:w="4535" w:type="dxa"/>
            <w:vAlign w:val="center"/>
          </w:tcPr>
          <w:p>
            <w:pPr>
              <w:pStyle w:val="17"/>
            </w:pPr>
            <w:r>
              <w:t>支出总计</w:t>
            </w:r>
          </w:p>
        </w:tc>
        <w:tc>
          <w:tcPr>
            <w:tcW w:w="2126" w:type="dxa"/>
            <w:vAlign w:val="center"/>
          </w:tcPr>
          <w:p>
            <w:pPr>
              <w:pStyle w:val="18"/>
            </w:pPr>
            <w:r>
              <w:t>77.78</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1" w:name="_Toc10318"/>
      <w:r>
        <w:rPr>
          <w:rFonts w:hint="eastAsia" w:ascii="方正小标宋_GBK" w:hAnsi="方正小标宋_GBK" w:eastAsia="方正小标宋_GBK" w:cs="方正小标宋_GBK"/>
          <w:color w:val="000000"/>
          <w:sz w:val="36"/>
          <w:lang w:eastAsia="zh-CN"/>
        </w:rPr>
        <w:t>单位预算收入总表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77.78</w:t>
            </w:r>
          </w:p>
        </w:tc>
        <w:tc>
          <w:tcPr>
            <w:tcW w:w="1134" w:type="dxa"/>
            <w:vAlign w:val="center"/>
          </w:tcPr>
          <w:p>
            <w:pPr>
              <w:pStyle w:val="18"/>
            </w:pPr>
            <w:r>
              <w:t>77.78</w:t>
            </w:r>
          </w:p>
        </w:tc>
        <w:tc>
          <w:tcPr>
            <w:tcW w:w="1134" w:type="dxa"/>
            <w:vAlign w:val="center"/>
          </w:tcPr>
          <w:p>
            <w:pPr>
              <w:pStyle w:val="18"/>
            </w:pPr>
            <w:r>
              <w:t>77.78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20129</w:t>
            </w:r>
          </w:p>
        </w:tc>
        <w:tc>
          <w:tcPr>
            <w:tcW w:w="1559" w:type="dxa"/>
            <w:vAlign w:val="center"/>
          </w:tcPr>
          <w:p>
            <w:pPr>
              <w:pStyle w:val="15"/>
            </w:pPr>
            <w:r>
              <w:t>群众团体事务</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2012901</w:t>
            </w:r>
          </w:p>
        </w:tc>
        <w:tc>
          <w:tcPr>
            <w:tcW w:w="1559" w:type="dxa"/>
            <w:vAlign w:val="center"/>
          </w:tcPr>
          <w:p>
            <w:pPr>
              <w:pStyle w:val="15"/>
            </w:pPr>
            <w:r>
              <w:t>行政运行</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r>
              <w:t>63.86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r>
              <w:t>5.89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r>
              <w:t>2.77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r>
              <w:t>5.27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2" w:name="_Toc28231"/>
      <w:r>
        <w:rPr>
          <w:rFonts w:hint="eastAsia" w:ascii="方正小标宋_GBK" w:hAnsi="方正小标宋_GBK" w:eastAsia="方正小标宋_GBK" w:cs="方正小标宋_GBK"/>
          <w:color w:val="000000"/>
          <w:sz w:val="36"/>
          <w:lang w:eastAsia="zh-CN"/>
        </w:rPr>
        <w:t>单位预算支出总表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77.78</w:t>
            </w:r>
          </w:p>
        </w:tc>
        <w:tc>
          <w:tcPr>
            <w:tcW w:w="1361" w:type="dxa"/>
            <w:vAlign w:val="center"/>
          </w:tcPr>
          <w:p>
            <w:pPr>
              <w:pStyle w:val="18"/>
            </w:pPr>
            <w:r>
              <w:t>68.01</w:t>
            </w:r>
          </w:p>
        </w:tc>
        <w:tc>
          <w:tcPr>
            <w:tcW w:w="1361" w:type="dxa"/>
            <w:vAlign w:val="center"/>
          </w:tcPr>
          <w:p>
            <w:pPr>
              <w:pStyle w:val="18"/>
            </w:pPr>
            <w:r>
              <w:t>9.77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63.86</w:t>
            </w:r>
          </w:p>
        </w:tc>
        <w:tc>
          <w:tcPr>
            <w:tcW w:w="1361" w:type="dxa"/>
            <w:vAlign w:val="center"/>
          </w:tcPr>
          <w:p>
            <w:pPr>
              <w:pStyle w:val="14"/>
            </w:pPr>
            <w:r>
              <w:t>54.09</w:t>
            </w:r>
          </w:p>
        </w:tc>
        <w:tc>
          <w:tcPr>
            <w:tcW w:w="1361" w:type="dxa"/>
            <w:vAlign w:val="center"/>
          </w:tcPr>
          <w:p>
            <w:pPr>
              <w:pStyle w:val="14"/>
            </w:pPr>
            <w:r>
              <w:t>9.77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20129</w:t>
            </w:r>
          </w:p>
        </w:tc>
        <w:tc>
          <w:tcPr>
            <w:tcW w:w="4535" w:type="dxa"/>
            <w:vAlign w:val="center"/>
          </w:tcPr>
          <w:p>
            <w:pPr>
              <w:pStyle w:val="15"/>
            </w:pPr>
            <w:r>
              <w:t>群众团体事务</w:t>
            </w:r>
          </w:p>
        </w:tc>
        <w:tc>
          <w:tcPr>
            <w:tcW w:w="1361" w:type="dxa"/>
            <w:vAlign w:val="center"/>
          </w:tcPr>
          <w:p>
            <w:pPr>
              <w:pStyle w:val="14"/>
            </w:pPr>
            <w:r>
              <w:t>63.86</w:t>
            </w:r>
          </w:p>
        </w:tc>
        <w:tc>
          <w:tcPr>
            <w:tcW w:w="1361" w:type="dxa"/>
            <w:vAlign w:val="center"/>
          </w:tcPr>
          <w:p>
            <w:pPr>
              <w:pStyle w:val="14"/>
            </w:pPr>
            <w:r>
              <w:t>54.09</w:t>
            </w:r>
          </w:p>
        </w:tc>
        <w:tc>
          <w:tcPr>
            <w:tcW w:w="1361" w:type="dxa"/>
            <w:vAlign w:val="center"/>
          </w:tcPr>
          <w:p>
            <w:pPr>
              <w:pStyle w:val="14"/>
            </w:pPr>
            <w:r>
              <w:t>9.77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2012901</w:t>
            </w:r>
          </w:p>
        </w:tc>
        <w:tc>
          <w:tcPr>
            <w:tcW w:w="4535" w:type="dxa"/>
            <w:vAlign w:val="center"/>
          </w:tcPr>
          <w:p>
            <w:pPr>
              <w:pStyle w:val="15"/>
            </w:pPr>
            <w:r>
              <w:t>行政运行</w:t>
            </w:r>
          </w:p>
        </w:tc>
        <w:tc>
          <w:tcPr>
            <w:tcW w:w="1361" w:type="dxa"/>
            <w:vAlign w:val="center"/>
          </w:tcPr>
          <w:p>
            <w:pPr>
              <w:pStyle w:val="14"/>
            </w:pPr>
            <w:r>
              <w:t>63.86</w:t>
            </w:r>
          </w:p>
        </w:tc>
        <w:tc>
          <w:tcPr>
            <w:tcW w:w="1361" w:type="dxa"/>
            <w:vAlign w:val="center"/>
          </w:tcPr>
          <w:p>
            <w:pPr>
              <w:pStyle w:val="14"/>
            </w:pPr>
            <w:r>
              <w:t>54.09</w:t>
            </w:r>
          </w:p>
        </w:tc>
        <w:tc>
          <w:tcPr>
            <w:tcW w:w="1361" w:type="dxa"/>
            <w:vAlign w:val="center"/>
          </w:tcPr>
          <w:p>
            <w:pPr>
              <w:pStyle w:val="14"/>
            </w:pPr>
            <w:r>
              <w:t>9.77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5.89</w:t>
            </w:r>
          </w:p>
        </w:tc>
        <w:tc>
          <w:tcPr>
            <w:tcW w:w="1361" w:type="dxa"/>
            <w:vAlign w:val="center"/>
          </w:tcPr>
          <w:p>
            <w:pPr>
              <w:pStyle w:val="14"/>
            </w:pPr>
            <w:r>
              <w:t>5.89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5.89</w:t>
            </w:r>
          </w:p>
        </w:tc>
        <w:tc>
          <w:tcPr>
            <w:tcW w:w="1361" w:type="dxa"/>
            <w:vAlign w:val="center"/>
          </w:tcPr>
          <w:p>
            <w:pPr>
              <w:pStyle w:val="14"/>
            </w:pPr>
            <w:r>
              <w:t>5.89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5.89</w:t>
            </w:r>
          </w:p>
        </w:tc>
        <w:tc>
          <w:tcPr>
            <w:tcW w:w="1361" w:type="dxa"/>
            <w:vAlign w:val="center"/>
          </w:tcPr>
          <w:p>
            <w:pPr>
              <w:pStyle w:val="14"/>
            </w:pPr>
            <w:r>
              <w:t>5.89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2.77</w:t>
            </w:r>
          </w:p>
        </w:tc>
        <w:tc>
          <w:tcPr>
            <w:tcW w:w="1361" w:type="dxa"/>
            <w:vAlign w:val="center"/>
          </w:tcPr>
          <w:p>
            <w:pPr>
              <w:pStyle w:val="14"/>
            </w:pPr>
            <w:r>
              <w:t>2.77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2.77</w:t>
            </w:r>
          </w:p>
        </w:tc>
        <w:tc>
          <w:tcPr>
            <w:tcW w:w="1361" w:type="dxa"/>
            <w:vAlign w:val="center"/>
          </w:tcPr>
          <w:p>
            <w:pPr>
              <w:pStyle w:val="14"/>
            </w:pPr>
            <w:r>
              <w:t>2.77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2.77</w:t>
            </w:r>
          </w:p>
        </w:tc>
        <w:tc>
          <w:tcPr>
            <w:tcW w:w="1361" w:type="dxa"/>
            <w:vAlign w:val="center"/>
          </w:tcPr>
          <w:p>
            <w:pPr>
              <w:pStyle w:val="14"/>
            </w:pPr>
            <w:r>
              <w:t>2.77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5.27</w:t>
            </w:r>
          </w:p>
        </w:tc>
        <w:tc>
          <w:tcPr>
            <w:tcW w:w="1361" w:type="dxa"/>
            <w:vAlign w:val="center"/>
          </w:tcPr>
          <w:p>
            <w:pPr>
              <w:pStyle w:val="14"/>
            </w:pPr>
            <w:r>
              <w:t>5.27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5.27</w:t>
            </w:r>
          </w:p>
        </w:tc>
        <w:tc>
          <w:tcPr>
            <w:tcW w:w="1361" w:type="dxa"/>
            <w:vAlign w:val="center"/>
          </w:tcPr>
          <w:p>
            <w:pPr>
              <w:pStyle w:val="14"/>
            </w:pPr>
            <w:r>
              <w:t>5.27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5.27</w:t>
            </w:r>
          </w:p>
        </w:tc>
        <w:tc>
          <w:tcPr>
            <w:tcW w:w="1361" w:type="dxa"/>
            <w:vAlign w:val="center"/>
          </w:tcPr>
          <w:p>
            <w:pPr>
              <w:pStyle w:val="14"/>
            </w:pPr>
            <w:r>
              <w:t>5.27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3" w:name="_Toc21499"/>
      <w:r>
        <w:rPr>
          <w:rFonts w:hint="eastAsia" w:ascii="方正小标宋_GBK" w:hAnsi="方正小标宋_GBK" w:eastAsia="方正小标宋_GBK" w:cs="方正小标宋_GBK"/>
          <w:color w:val="000000"/>
          <w:sz w:val="36"/>
          <w:lang w:eastAsia="zh-CN"/>
        </w:rPr>
        <w:t>单位预算财政拨款收支总表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77.78</w:t>
            </w:r>
          </w:p>
        </w:tc>
        <w:tc>
          <w:tcPr>
            <w:tcW w:w="3402" w:type="dxa"/>
            <w:vAlign w:val="center"/>
          </w:tcPr>
          <w:p>
            <w:pPr>
              <w:pStyle w:val="15"/>
            </w:pPr>
            <w:r>
              <w:t>一、一般公共服务支出</w:t>
            </w:r>
          </w:p>
        </w:tc>
        <w:tc>
          <w:tcPr>
            <w:tcW w:w="1474" w:type="dxa"/>
            <w:vAlign w:val="center"/>
          </w:tcPr>
          <w:p>
            <w:pPr>
              <w:pStyle w:val="14"/>
            </w:pPr>
            <w:r>
              <w:t>63.86</w:t>
            </w:r>
          </w:p>
        </w:tc>
        <w:tc>
          <w:tcPr>
            <w:tcW w:w="1474" w:type="dxa"/>
            <w:vAlign w:val="center"/>
          </w:tcPr>
          <w:p>
            <w:pPr>
              <w:pStyle w:val="14"/>
            </w:pPr>
            <w:r>
              <w:t>63.86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5.89</w:t>
            </w:r>
          </w:p>
        </w:tc>
        <w:tc>
          <w:tcPr>
            <w:tcW w:w="1474" w:type="dxa"/>
            <w:vAlign w:val="center"/>
          </w:tcPr>
          <w:p>
            <w:pPr>
              <w:pStyle w:val="14"/>
            </w:pPr>
            <w:r>
              <w:t>5.89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2.77</w:t>
            </w:r>
          </w:p>
        </w:tc>
        <w:tc>
          <w:tcPr>
            <w:tcW w:w="1474" w:type="dxa"/>
            <w:vAlign w:val="center"/>
          </w:tcPr>
          <w:p>
            <w:pPr>
              <w:pStyle w:val="14"/>
            </w:pPr>
            <w:r>
              <w:t>2.77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5.27</w:t>
            </w:r>
          </w:p>
        </w:tc>
        <w:tc>
          <w:tcPr>
            <w:tcW w:w="1474" w:type="dxa"/>
            <w:vAlign w:val="center"/>
          </w:tcPr>
          <w:p>
            <w:pPr>
              <w:pStyle w:val="14"/>
            </w:pPr>
            <w:r>
              <w:t>5.27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三十一、往来性收支</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77.78</w:t>
            </w:r>
          </w:p>
        </w:tc>
        <w:tc>
          <w:tcPr>
            <w:tcW w:w="3402" w:type="dxa"/>
            <w:vAlign w:val="center"/>
          </w:tcPr>
          <w:p>
            <w:pPr>
              <w:pStyle w:val="17"/>
            </w:pPr>
            <w:r>
              <w:t>本年支出合计</w:t>
            </w:r>
          </w:p>
        </w:tc>
        <w:tc>
          <w:tcPr>
            <w:tcW w:w="1474" w:type="dxa"/>
            <w:vAlign w:val="center"/>
          </w:tcPr>
          <w:p>
            <w:pPr>
              <w:pStyle w:val="18"/>
            </w:pPr>
            <w:r>
              <w:t>77.78</w:t>
            </w:r>
          </w:p>
        </w:tc>
        <w:tc>
          <w:tcPr>
            <w:tcW w:w="1474" w:type="dxa"/>
            <w:vAlign w:val="center"/>
          </w:tcPr>
          <w:p>
            <w:pPr>
              <w:pStyle w:val="18"/>
            </w:pPr>
            <w:r>
              <w:t>77.78</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77.78</w:t>
            </w:r>
          </w:p>
        </w:tc>
        <w:tc>
          <w:tcPr>
            <w:tcW w:w="3402" w:type="dxa"/>
            <w:vAlign w:val="center"/>
          </w:tcPr>
          <w:p>
            <w:pPr>
              <w:pStyle w:val="17"/>
            </w:pPr>
            <w:r>
              <w:t>支出总计</w:t>
            </w:r>
          </w:p>
        </w:tc>
        <w:tc>
          <w:tcPr>
            <w:tcW w:w="1474" w:type="dxa"/>
            <w:vAlign w:val="center"/>
          </w:tcPr>
          <w:p>
            <w:pPr>
              <w:pStyle w:val="18"/>
            </w:pPr>
            <w:r>
              <w:t>77.78</w:t>
            </w:r>
          </w:p>
        </w:tc>
        <w:tc>
          <w:tcPr>
            <w:tcW w:w="1474" w:type="dxa"/>
            <w:vAlign w:val="center"/>
          </w:tcPr>
          <w:p>
            <w:pPr>
              <w:pStyle w:val="18"/>
            </w:pPr>
            <w:r>
              <w:t>77.78</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4" w:name="_Toc4279"/>
      <w:r>
        <w:rPr>
          <w:rFonts w:hint="eastAsia" w:ascii="方正小标宋_GBK" w:hAnsi="方正小标宋_GBK" w:eastAsia="方正小标宋_GBK" w:cs="方正小标宋_GBK"/>
          <w:color w:val="000000"/>
          <w:sz w:val="36"/>
          <w:lang w:eastAsia="zh-CN"/>
        </w:rPr>
        <w:t>单位预算一般公共预算财政拨款支出表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77.78</w:t>
            </w:r>
          </w:p>
        </w:tc>
        <w:tc>
          <w:tcPr>
            <w:tcW w:w="2551" w:type="dxa"/>
            <w:vAlign w:val="center"/>
          </w:tcPr>
          <w:p>
            <w:pPr>
              <w:pStyle w:val="18"/>
            </w:pPr>
            <w:r>
              <w:t>68.01</w:t>
            </w:r>
          </w:p>
        </w:tc>
        <w:tc>
          <w:tcPr>
            <w:tcW w:w="2551" w:type="dxa"/>
            <w:vAlign w:val="center"/>
          </w:tcPr>
          <w:p>
            <w:pPr>
              <w:pStyle w:val="18"/>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63.86</w:t>
            </w:r>
          </w:p>
        </w:tc>
        <w:tc>
          <w:tcPr>
            <w:tcW w:w="2551" w:type="dxa"/>
            <w:vAlign w:val="center"/>
          </w:tcPr>
          <w:p>
            <w:pPr>
              <w:pStyle w:val="14"/>
            </w:pPr>
            <w:r>
              <w:t>54.09</w:t>
            </w:r>
          </w:p>
        </w:tc>
        <w:tc>
          <w:tcPr>
            <w:tcW w:w="2551" w:type="dxa"/>
            <w:vAlign w:val="center"/>
          </w:tcPr>
          <w:p>
            <w:pPr>
              <w:pStyle w:val="14"/>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20129</w:t>
            </w:r>
          </w:p>
        </w:tc>
        <w:tc>
          <w:tcPr>
            <w:tcW w:w="4535" w:type="dxa"/>
            <w:vAlign w:val="center"/>
          </w:tcPr>
          <w:p>
            <w:pPr>
              <w:pStyle w:val="15"/>
            </w:pPr>
            <w:r>
              <w:t>群众团体事务</w:t>
            </w:r>
          </w:p>
        </w:tc>
        <w:tc>
          <w:tcPr>
            <w:tcW w:w="2551" w:type="dxa"/>
            <w:vAlign w:val="center"/>
          </w:tcPr>
          <w:p>
            <w:pPr>
              <w:pStyle w:val="14"/>
            </w:pPr>
            <w:r>
              <w:t>63.86</w:t>
            </w:r>
          </w:p>
        </w:tc>
        <w:tc>
          <w:tcPr>
            <w:tcW w:w="2551" w:type="dxa"/>
            <w:vAlign w:val="center"/>
          </w:tcPr>
          <w:p>
            <w:pPr>
              <w:pStyle w:val="14"/>
            </w:pPr>
            <w:r>
              <w:t>54.09</w:t>
            </w:r>
          </w:p>
        </w:tc>
        <w:tc>
          <w:tcPr>
            <w:tcW w:w="2551" w:type="dxa"/>
            <w:vAlign w:val="center"/>
          </w:tcPr>
          <w:p>
            <w:pPr>
              <w:pStyle w:val="14"/>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2012901</w:t>
            </w:r>
          </w:p>
        </w:tc>
        <w:tc>
          <w:tcPr>
            <w:tcW w:w="4535" w:type="dxa"/>
            <w:vAlign w:val="center"/>
          </w:tcPr>
          <w:p>
            <w:pPr>
              <w:pStyle w:val="15"/>
            </w:pPr>
            <w:r>
              <w:t>行政运行</w:t>
            </w:r>
          </w:p>
        </w:tc>
        <w:tc>
          <w:tcPr>
            <w:tcW w:w="2551" w:type="dxa"/>
            <w:vAlign w:val="center"/>
          </w:tcPr>
          <w:p>
            <w:pPr>
              <w:pStyle w:val="14"/>
            </w:pPr>
            <w:r>
              <w:t>63.86</w:t>
            </w:r>
          </w:p>
        </w:tc>
        <w:tc>
          <w:tcPr>
            <w:tcW w:w="2551" w:type="dxa"/>
            <w:vAlign w:val="center"/>
          </w:tcPr>
          <w:p>
            <w:pPr>
              <w:pStyle w:val="14"/>
            </w:pPr>
            <w:r>
              <w:t>54.09</w:t>
            </w:r>
          </w:p>
        </w:tc>
        <w:tc>
          <w:tcPr>
            <w:tcW w:w="2551" w:type="dxa"/>
            <w:vAlign w:val="center"/>
          </w:tcPr>
          <w:p>
            <w:pPr>
              <w:pStyle w:val="14"/>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5.89</w:t>
            </w:r>
          </w:p>
        </w:tc>
        <w:tc>
          <w:tcPr>
            <w:tcW w:w="2551" w:type="dxa"/>
            <w:vAlign w:val="center"/>
          </w:tcPr>
          <w:p>
            <w:pPr>
              <w:pStyle w:val="14"/>
            </w:pPr>
            <w:r>
              <w:t>5.89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5.89</w:t>
            </w:r>
          </w:p>
        </w:tc>
        <w:tc>
          <w:tcPr>
            <w:tcW w:w="2551" w:type="dxa"/>
            <w:vAlign w:val="center"/>
          </w:tcPr>
          <w:p>
            <w:pPr>
              <w:pStyle w:val="14"/>
            </w:pPr>
            <w:r>
              <w:t>5.89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5.89</w:t>
            </w:r>
          </w:p>
        </w:tc>
        <w:tc>
          <w:tcPr>
            <w:tcW w:w="2551" w:type="dxa"/>
            <w:vAlign w:val="center"/>
          </w:tcPr>
          <w:p>
            <w:pPr>
              <w:pStyle w:val="14"/>
            </w:pPr>
            <w:r>
              <w:t>5.89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2.77</w:t>
            </w:r>
          </w:p>
        </w:tc>
        <w:tc>
          <w:tcPr>
            <w:tcW w:w="2551" w:type="dxa"/>
            <w:vAlign w:val="center"/>
          </w:tcPr>
          <w:p>
            <w:pPr>
              <w:pStyle w:val="14"/>
            </w:pPr>
            <w:r>
              <w:t>2.77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2.77</w:t>
            </w:r>
          </w:p>
        </w:tc>
        <w:tc>
          <w:tcPr>
            <w:tcW w:w="2551" w:type="dxa"/>
            <w:vAlign w:val="center"/>
          </w:tcPr>
          <w:p>
            <w:pPr>
              <w:pStyle w:val="14"/>
            </w:pPr>
            <w:r>
              <w:t>2.77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2.77</w:t>
            </w:r>
          </w:p>
        </w:tc>
        <w:tc>
          <w:tcPr>
            <w:tcW w:w="2551" w:type="dxa"/>
            <w:vAlign w:val="center"/>
          </w:tcPr>
          <w:p>
            <w:pPr>
              <w:pStyle w:val="14"/>
            </w:pPr>
            <w:r>
              <w:t>2.77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5.27</w:t>
            </w:r>
          </w:p>
        </w:tc>
        <w:tc>
          <w:tcPr>
            <w:tcW w:w="2551" w:type="dxa"/>
            <w:vAlign w:val="center"/>
          </w:tcPr>
          <w:p>
            <w:pPr>
              <w:pStyle w:val="14"/>
            </w:pPr>
            <w:r>
              <w:t>5.27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5.27</w:t>
            </w:r>
          </w:p>
        </w:tc>
        <w:tc>
          <w:tcPr>
            <w:tcW w:w="2551" w:type="dxa"/>
            <w:vAlign w:val="center"/>
          </w:tcPr>
          <w:p>
            <w:pPr>
              <w:pStyle w:val="14"/>
            </w:pPr>
            <w:r>
              <w:t>5.27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5.27</w:t>
            </w:r>
          </w:p>
        </w:tc>
        <w:tc>
          <w:tcPr>
            <w:tcW w:w="2551" w:type="dxa"/>
            <w:vAlign w:val="center"/>
          </w:tcPr>
          <w:p>
            <w:pPr>
              <w:pStyle w:val="14"/>
            </w:pPr>
            <w:r>
              <w:t>5.27</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5" w:name="_Toc4842"/>
      <w:r>
        <w:rPr>
          <w:rFonts w:hint="eastAsia" w:ascii="方正小标宋_GBK" w:hAnsi="方正小标宋_GBK" w:eastAsia="方正小标宋_GBK" w:cs="方正小标宋_GBK"/>
          <w:color w:val="000000"/>
          <w:sz w:val="36"/>
          <w:lang w:eastAsia="zh-CN"/>
        </w:rPr>
        <w:t>单位预算一般公共预算财政拨款基本支出表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68.01</w:t>
            </w:r>
          </w:p>
        </w:tc>
        <w:tc>
          <w:tcPr>
            <w:tcW w:w="2551" w:type="dxa"/>
            <w:vAlign w:val="center"/>
          </w:tcPr>
          <w:p>
            <w:pPr>
              <w:pStyle w:val="18"/>
            </w:pPr>
            <w:r>
              <w:t>62.77</w:t>
            </w:r>
          </w:p>
        </w:tc>
        <w:tc>
          <w:tcPr>
            <w:tcW w:w="2551" w:type="dxa"/>
            <w:vAlign w:val="center"/>
          </w:tcPr>
          <w:p>
            <w:pPr>
              <w:pStyle w:val="18"/>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60.59</w:t>
            </w:r>
          </w:p>
        </w:tc>
        <w:tc>
          <w:tcPr>
            <w:tcW w:w="2551" w:type="dxa"/>
            <w:vAlign w:val="center"/>
          </w:tcPr>
          <w:p>
            <w:pPr>
              <w:pStyle w:val="14"/>
            </w:pPr>
            <w:r>
              <w:t>60.59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25.40</w:t>
            </w:r>
          </w:p>
        </w:tc>
        <w:tc>
          <w:tcPr>
            <w:tcW w:w="2551" w:type="dxa"/>
            <w:vAlign w:val="center"/>
          </w:tcPr>
          <w:p>
            <w:pPr>
              <w:pStyle w:val="14"/>
            </w:pPr>
            <w:r>
              <w:t>25.40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9.85</w:t>
            </w:r>
          </w:p>
        </w:tc>
        <w:tc>
          <w:tcPr>
            <w:tcW w:w="2551" w:type="dxa"/>
            <w:vAlign w:val="center"/>
          </w:tcPr>
          <w:p>
            <w:pPr>
              <w:pStyle w:val="14"/>
            </w:pPr>
            <w:r>
              <w:t>9.85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10.78</w:t>
            </w:r>
          </w:p>
        </w:tc>
        <w:tc>
          <w:tcPr>
            <w:tcW w:w="2551" w:type="dxa"/>
            <w:vAlign w:val="center"/>
          </w:tcPr>
          <w:p>
            <w:pPr>
              <w:pStyle w:val="14"/>
            </w:pPr>
            <w:r>
              <w:t>10.78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5.89</w:t>
            </w:r>
          </w:p>
        </w:tc>
        <w:tc>
          <w:tcPr>
            <w:tcW w:w="2551" w:type="dxa"/>
            <w:vAlign w:val="center"/>
          </w:tcPr>
          <w:p>
            <w:pPr>
              <w:pStyle w:val="14"/>
            </w:pPr>
            <w:r>
              <w:t>5.89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2.77</w:t>
            </w:r>
          </w:p>
        </w:tc>
        <w:tc>
          <w:tcPr>
            <w:tcW w:w="2551" w:type="dxa"/>
            <w:vAlign w:val="center"/>
          </w:tcPr>
          <w:p>
            <w:pPr>
              <w:pStyle w:val="14"/>
            </w:pPr>
            <w:r>
              <w:t>2.77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0.65</w:t>
            </w:r>
          </w:p>
        </w:tc>
        <w:tc>
          <w:tcPr>
            <w:tcW w:w="2551" w:type="dxa"/>
            <w:vAlign w:val="center"/>
          </w:tcPr>
          <w:p>
            <w:pPr>
              <w:pStyle w:val="14"/>
            </w:pPr>
            <w:r>
              <w:t>0.65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5.27</w:t>
            </w:r>
          </w:p>
        </w:tc>
        <w:tc>
          <w:tcPr>
            <w:tcW w:w="2551" w:type="dxa"/>
            <w:vAlign w:val="center"/>
          </w:tcPr>
          <w:p>
            <w:pPr>
              <w:pStyle w:val="14"/>
            </w:pPr>
            <w:r>
              <w:t>5.27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5.24</w:t>
            </w:r>
          </w:p>
        </w:tc>
        <w:tc>
          <w:tcPr>
            <w:tcW w:w="2551" w:type="dxa"/>
            <w:vAlign w:val="center"/>
          </w:tcPr>
          <w:p>
            <w:pPr>
              <w:pStyle w:val="14"/>
            </w:pPr>
          </w:p>
        </w:tc>
        <w:tc>
          <w:tcPr>
            <w:tcW w:w="2551" w:type="dxa"/>
            <w:vAlign w:val="center"/>
          </w:tcPr>
          <w:p>
            <w:pPr>
              <w:pStyle w:val="14"/>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1.70</w:t>
            </w:r>
          </w:p>
        </w:tc>
        <w:tc>
          <w:tcPr>
            <w:tcW w:w="2551" w:type="dxa"/>
            <w:vAlign w:val="center"/>
          </w:tcPr>
          <w:p>
            <w:pPr>
              <w:pStyle w:val="14"/>
            </w:pPr>
          </w:p>
        </w:tc>
        <w:tc>
          <w:tcPr>
            <w:tcW w:w="2551" w:type="dxa"/>
            <w:vAlign w:val="center"/>
          </w:tcPr>
          <w:p>
            <w:pPr>
              <w:pStyle w:val="14"/>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0.10</w:t>
            </w:r>
          </w:p>
        </w:tc>
        <w:tc>
          <w:tcPr>
            <w:tcW w:w="2551" w:type="dxa"/>
            <w:vAlign w:val="center"/>
          </w:tcPr>
          <w:p>
            <w:pPr>
              <w:pStyle w:val="14"/>
            </w:pPr>
          </w:p>
        </w:tc>
        <w:tc>
          <w:tcPr>
            <w:tcW w:w="2551"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0.20</w:t>
            </w:r>
          </w:p>
        </w:tc>
        <w:tc>
          <w:tcPr>
            <w:tcW w:w="2551" w:type="dxa"/>
            <w:vAlign w:val="center"/>
          </w:tcPr>
          <w:p>
            <w:pPr>
              <w:pStyle w:val="14"/>
            </w:pPr>
          </w:p>
        </w:tc>
        <w:tc>
          <w:tcPr>
            <w:tcW w:w="2551"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3.24</w:t>
            </w:r>
          </w:p>
        </w:tc>
        <w:tc>
          <w:tcPr>
            <w:tcW w:w="2551" w:type="dxa"/>
            <w:vAlign w:val="center"/>
          </w:tcPr>
          <w:p>
            <w:pPr>
              <w:pStyle w:val="14"/>
            </w:pPr>
          </w:p>
        </w:tc>
        <w:tc>
          <w:tcPr>
            <w:tcW w:w="2551" w:type="dxa"/>
            <w:vAlign w:val="center"/>
          </w:tcPr>
          <w:p>
            <w:pPr>
              <w:pStyle w:val="14"/>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2.18</w:t>
            </w:r>
          </w:p>
        </w:tc>
        <w:tc>
          <w:tcPr>
            <w:tcW w:w="2551" w:type="dxa"/>
            <w:vAlign w:val="center"/>
          </w:tcPr>
          <w:p>
            <w:pPr>
              <w:pStyle w:val="14"/>
            </w:pPr>
            <w:r>
              <w:t>2.18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2.18</w:t>
            </w:r>
          </w:p>
        </w:tc>
        <w:tc>
          <w:tcPr>
            <w:tcW w:w="2551" w:type="dxa"/>
            <w:vAlign w:val="center"/>
          </w:tcPr>
          <w:p>
            <w:pPr>
              <w:pStyle w:val="14"/>
            </w:pPr>
            <w:r>
              <w:t>2.18</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1"/>
        <w:rPr>
          <w:rFonts w:hint="eastAsia" w:ascii="方正小标宋_GBK" w:hAnsi="方正小标宋_GBK" w:eastAsia="方正小标宋_GBK" w:cs="方正小标宋_GBK"/>
          <w:color w:val="000000"/>
          <w:sz w:val="36"/>
          <w:lang w:eastAsia="zh-CN"/>
        </w:rPr>
      </w:pPr>
      <w:bookmarkStart w:id="6" w:name="_Toc7495"/>
      <w:r>
        <w:rPr>
          <w:rFonts w:hint="eastAsia" w:ascii="方正小标宋_GBK" w:hAnsi="方正小标宋_GBK" w:eastAsia="方正小标宋_GBK" w:cs="方正小标宋_GBK"/>
          <w:color w:val="000000"/>
          <w:sz w:val="36"/>
          <w:lang w:eastAsia="zh-CN"/>
        </w:rPr>
        <w:t>单位预算政府基金预算财政拨款支出表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rPr>
          <w:rFonts w:hint="eastAsia" w:ascii="方正小标宋_GBK" w:hAnsi="方正小标宋_GBK" w:eastAsia="方正小标宋_GBK" w:cs="方正小标宋_GBK"/>
          <w:color w:val="000000"/>
          <w:sz w:val="36"/>
          <w:lang w:eastAsia="zh-CN"/>
        </w:rPr>
      </w:pPr>
      <w:bookmarkStart w:id="7" w:name="_Toc23745"/>
      <w:r>
        <w:rPr>
          <w:rFonts w:hint="eastAsia" w:ascii="方正小标宋_GBK" w:hAnsi="方正小标宋_GBK" w:eastAsia="方正小标宋_GBK" w:cs="方正小标宋_GBK"/>
          <w:color w:val="000000"/>
          <w:sz w:val="36"/>
          <w:lang w:eastAsia="zh-CN"/>
        </w:rPr>
        <w:t>单位预算国有资本经营预算财政拨款支出表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rPr>
          <w:rFonts w:hint="eastAsia" w:ascii="方正小标宋_GBK" w:hAnsi="方正小标宋_GBK" w:eastAsia="方正小标宋_GBK" w:cs="方正小标宋_GBK"/>
          <w:color w:val="000000"/>
          <w:sz w:val="36"/>
          <w:lang w:eastAsia="zh-CN"/>
        </w:rPr>
      </w:pPr>
      <w:bookmarkStart w:id="8" w:name="_Toc3668"/>
      <w:r>
        <w:rPr>
          <w:rFonts w:hint="eastAsia" w:ascii="方正小标宋_GBK" w:hAnsi="方正小标宋_GBK" w:eastAsia="方正小标宋_GBK" w:cs="方正小标宋_GBK"/>
          <w:color w:val="000000"/>
          <w:sz w:val="36"/>
          <w:lang w:eastAsia="zh-CN"/>
        </w:rPr>
        <w:t>单位预算财政拨款“三公”经费支出表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0.90</w:t>
            </w:r>
          </w:p>
        </w:tc>
        <w:tc>
          <w:tcPr>
            <w:tcW w:w="2381" w:type="dxa"/>
            <w:vAlign w:val="center"/>
          </w:tcPr>
          <w:p>
            <w:pPr>
              <w:pStyle w:val="18"/>
            </w:pPr>
            <w:r>
              <w:t>0.90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r>
              <w:t>0.90</w:t>
            </w:r>
          </w:p>
        </w:tc>
        <w:tc>
          <w:tcPr>
            <w:tcW w:w="2381" w:type="dxa"/>
            <w:vAlign w:val="center"/>
          </w:tcPr>
          <w:p>
            <w:pPr>
              <w:pStyle w:val="14"/>
            </w:pPr>
            <w:r>
              <w:t>0.90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隆尧县工业经济联合会秘书处本级2023年单位预算信息公开情况说明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按照《预算法》、《地方预决算公开操作规程》和《关于进一步推进预算公开工作的实施意见》规定，现将隆尧县工业经济联合会秘书处本级2023年单位预算公开如下：</w:t>
      </w:r>
    </w:p>
    <w:p>
      <w:pPr>
        <w:spacing w:before="10" w:after="10" w:line="360" w:lineRule="auto"/>
        <w:ind w:firstLine="640"/>
        <w:outlineLvl w:val="2"/>
        <w:rPr>
          <w:rFonts w:ascii="黑体" w:hAnsi="黑体" w:eastAsia="黑体" w:cs="黑体"/>
          <w:color w:val="000000"/>
          <w:sz w:val="32"/>
        </w:rPr>
      </w:pPr>
      <w:bookmarkStart w:id="9" w:name="_Toc6588"/>
      <w:r>
        <w:rPr>
          <w:rFonts w:ascii="黑体" w:hAnsi="黑体" w:eastAsia="黑体" w:cs="黑体"/>
          <w:color w:val="000000"/>
          <w:sz w:val="32"/>
        </w:rPr>
        <w:t>一、单位职责及机构设置情况</w:t>
      </w:r>
      <w:bookmarkEnd w:id="9"/>
    </w:p>
    <w:p>
      <w:pPr>
        <w:ind w:firstLine="640"/>
      </w:pPr>
      <w:r>
        <w:rPr>
          <w:rFonts w:ascii="方正楷体_GBK" w:hAnsi="方正楷体_GBK" w:eastAsia="方正楷体_GBK" w:cs="方正楷体_GBK"/>
          <w:b/>
          <w:color w:val="000000"/>
          <w:sz w:val="32"/>
        </w:rPr>
        <w:t>单位职责：</w:t>
      </w:r>
    </w:p>
    <w:p>
      <w:pPr>
        <w:pStyle w:val="28"/>
      </w:pPr>
      <w:r>
        <w:t>(1)贯彻执行党和国家的路线、方针和政策，加强和完善对会员单位的思想政治工作，围绕县委、县政府的中心工作开展各项活动，保证协会组织的社会主义方向。</w:t>
      </w:r>
    </w:p>
    <w:p>
      <w:pPr>
        <w:pStyle w:val="28"/>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28"/>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28"/>
      </w:pPr>
      <w:r>
        <w:t>(4)反映会员要求，协调会员关系，维护会员的合法权益。</w:t>
      </w:r>
    </w:p>
    <w:p>
      <w:pPr>
        <w:pStyle w:val="28"/>
      </w:pPr>
      <w:r>
        <w:t>(5)开展经济理论研究和学术交流活动，编辑出版经济类刊物，培训经济管理人才。</w:t>
      </w:r>
    </w:p>
    <w:p>
      <w:pPr>
        <w:pStyle w:val="28"/>
      </w:pPr>
      <w:r>
        <w:t>(6)发展与境内外社会经济团体的联系，促进地区、行业、企业间开展多种形式经济协作与交流，为企业加强对外经济技术交流服务。</w:t>
      </w:r>
    </w:p>
    <w:p>
      <w:pPr>
        <w:pStyle w:val="28"/>
      </w:pPr>
      <w:r>
        <w:t>(7)参与全县工建交邮经济领域的重大活动。</w:t>
      </w:r>
    </w:p>
    <w:p>
      <w:pPr>
        <w:pStyle w:val="28"/>
      </w:pPr>
      <w:r>
        <w:t>(8)承办县委、县政府交办的其他事项。</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隆尧县工业经济联合会秘书处本级</w:t>
            </w:r>
          </w:p>
        </w:tc>
        <w:tc>
          <w:tcPr>
            <w:tcW w:w="1843" w:type="dxa"/>
            <w:vAlign w:val="center"/>
          </w:tcPr>
          <w:p>
            <w:pPr>
              <w:pStyle w:val="16"/>
            </w:pPr>
            <w:r>
              <w:rPr>
                <w:rFonts w:hint="eastAsia"/>
                <w:lang w:eastAsia="zh-CN"/>
              </w:rPr>
              <w:t>参公</w:t>
            </w:r>
            <w:r>
              <w:t>事业</w:t>
            </w:r>
          </w:p>
        </w:tc>
        <w:tc>
          <w:tcPr>
            <w:tcW w:w="2126" w:type="dxa"/>
            <w:vAlign w:val="center"/>
          </w:tcPr>
          <w:p>
            <w:pPr>
              <w:pStyle w:val="16"/>
            </w:pPr>
            <w:r>
              <w:t>正科级</w:t>
            </w:r>
          </w:p>
        </w:tc>
        <w:tc>
          <w:tcPr>
            <w:tcW w:w="3827" w:type="dxa"/>
            <w:vAlign w:val="center"/>
          </w:tcPr>
          <w:p>
            <w:pPr>
              <w:pStyle w:val="16"/>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12249"/>
      <w:r>
        <w:rPr>
          <w:rFonts w:ascii="黑体" w:hAnsi="黑体" w:eastAsia="黑体" w:cs="黑体"/>
          <w:color w:val="000000"/>
          <w:sz w:val="32"/>
        </w:rPr>
        <w:t>二、单位预算安排的总体情况</w:t>
      </w:r>
      <w:bookmarkEnd w:id="10"/>
    </w:p>
    <w:p>
      <w:pPr>
        <w:pStyle w:val="29"/>
      </w:pPr>
      <w:r>
        <w:t>按照预算管理有关规定，目前我县单位预算的编制实行综合预算管理，即全部收入和支出都反映在预算中。</w:t>
      </w:r>
    </w:p>
    <w:p>
      <w:pPr>
        <w:pStyle w:val="29"/>
      </w:pPr>
      <w:r>
        <w:t>1、收入说明</w:t>
      </w:r>
    </w:p>
    <w:p>
      <w:pPr>
        <w:pStyle w:val="29"/>
      </w:pPr>
      <w:r>
        <w:t>反映本</w:t>
      </w:r>
      <w:r>
        <w:rPr>
          <w:rFonts w:hint="eastAsia"/>
          <w:lang w:eastAsia="zh-CN"/>
        </w:rPr>
        <w:t>单位</w:t>
      </w:r>
      <w:r>
        <w:t>当年全部收入。2023年预算收入77.78万元，其中：一般公共预算收入77.78万元，基金预算收入0万元，国有资本经营预算收入0万元，财政专户核拨收入0万元，单位资金收入0万元，上年结转结余0万元。</w:t>
      </w:r>
    </w:p>
    <w:p>
      <w:pPr>
        <w:pStyle w:val="29"/>
      </w:pPr>
      <w:r>
        <w:t>2、支出说明</w:t>
      </w:r>
    </w:p>
    <w:p>
      <w:pPr>
        <w:pStyle w:val="29"/>
      </w:pPr>
      <w:r>
        <w:t>收支预算总表支出栏、基本支出表、项目支出表按经济分类和支出功能分类科目编制，反映隆尧县工业经济联合会秘书处年度单位预算中支出预算的总体情况。2023年单位支出预算为77.78万元，其中基本支出68.01万元，包括人员经费62.77万元和日常公用经费5.24万元；项目支出9.77万元，主要是工经联专项经费。</w:t>
      </w:r>
    </w:p>
    <w:p>
      <w:pPr>
        <w:pStyle w:val="29"/>
      </w:pPr>
      <w:r>
        <w:t>3、比上年增减情况</w:t>
      </w:r>
    </w:p>
    <w:p>
      <w:pPr>
        <w:pStyle w:val="29"/>
      </w:pPr>
      <w:r>
        <w:t>2023年单位预算收支安排77.78万元，较2022年减少2.65万元，其中：基本支出增加14.78万元，主要为增加人员经费和日常公用经费支出；项目支出减少17.43万元，主要为项目减少。</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bookmarkStart w:id="11" w:name="_Toc11738"/>
      <w:r>
        <w:rPr>
          <w:rFonts w:ascii="黑体" w:hAnsi="黑体" w:eastAsia="黑体" w:cs="黑体"/>
          <w:color w:val="000000"/>
          <w:sz w:val="32"/>
        </w:rPr>
        <w:t>三、机关运行经费安排情况</w:t>
      </w:r>
      <w:bookmarkEnd w:id="11"/>
    </w:p>
    <w:p>
      <w:pPr>
        <w:pStyle w:val="30"/>
      </w:pPr>
      <w:r>
        <w:t>2023年，我单位机关运行经费共计安排5.24万元，主要用于保证机关正常运转的办公费、工会经费、福利费、其他交通费用等日常运行支出。</w:t>
      </w:r>
    </w:p>
    <w:p>
      <w:pPr>
        <w:spacing w:before="10" w:after="10" w:line="360" w:lineRule="auto"/>
        <w:ind w:firstLine="640"/>
        <w:outlineLvl w:val="2"/>
        <w:rPr>
          <w:rFonts w:ascii="黑体" w:hAnsi="黑体" w:eastAsia="黑体" w:cs="黑体"/>
          <w:color w:val="000000"/>
          <w:sz w:val="32"/>
        </w:rPr>
      </w:pPr>
      <w:bookmarkStart w:id="12" w:name="_Toc1792"/>
      <w:r>
        <w:rPr>
          <w:rFonts w:ascii="黑体" w:hAnsi="黑体" w:eastAsia="黑体" w:cs="黑体"/>
          <w:color w:val="000000"/>
          <w:sz w:val="32"/>
        </w:rPr>
        <w:t>四、财政拨款“三公”经费预算情况及增减变化原因</w:t>
      </w:r>
      <w:bookmarkEnd w:id="12"/>
    </w:p>
    <w:p>
      <w:pPr>
        <w:pStyle w:val="31"/>
      </w:pPr>
      <w:r>
        <w:t>2023年，我单位财政拨款“三公”经费预算安排0.9万元，其中：会议费0.9万元；因公出国（境）费0万元；公务用车购置及运维费0万元（其中：公务用车购置费0万元，公务用车运行维护费0万元)；公务接待费0万元。与</w:t>
      </w:r>
      <w:r>
        <w:rPr>
          <w:rFonts w:hint="eastAsia"/>
          <w:lang w:val="en-US" w:eastAsia="zh-CN"/>
        </w:rPr>
        <w:t>2022</w:t>
      </w:r>
      <w:r>
        <w:t>年</w:t>
      </w:r>
      <w:r>
        <w:rPr>
          <w:rFonts w:hint="eastAsia"/>
          <w:lang w:eastAsia="zh-CN"/>
        </w:rPr>
        <w:t>相比</w:t>
      </w:r>
      <w:r>
        <w:t>持平，无增减变化。</w:t>
      </w:r>
    </w:p>
    <w:p>
      <w:pPr>
        <w:spacing w:before="10" w:after="10" w:line="360" w:lineRule="auto"/>
        <w:ind w:firstLine="640"/>
        <w:outlineLvl w:val="2"/>
        <w:rPr>
          <w:rFonts w:ascii="黑体" w:hAnsi="黑体" w:eastAsia="黑体" w:cs="黑体"/>
          <w:color w:val="000000"/>
          <w:sz w:val="32"/>
        </w:rPr>
      </w:pPr>
      <w:bookmarkStart w:id="13" w:name="_Toc1406"/>
      <w:r>
        <w:rPr>
          <w:rFonts w:hint="eastAsia" w:ascii="黑体" w:hAnsi="黑体" w:eastAsia="黑体" w:cs="黑体"/>
          <w:color w:val="000000"/>
          <w:sz w:val="32"/>
          <w:lang w:eastAsia="zh-CN"/>
        </w:rPr>
        <w:t>五、</w:t>
      </w:r>
      <w:r>
        <w:rPr>
          <w:rFonts w:ascii="黑体" w:hAnsi="黑体" w:eastAsia="黑体" w:cs="黑体"/>
          <w:color w:val="000000"/>
          <w:sz w:val="32"/>
        </w:rPr>
        <w:t>预算绩效信息</w:t>
      </w:r>
      <w:bookmarkEnd w:id="13"/>
    </w:p>
    <w:p>
      <w:pPr>
        <w:keepNext w:val="0"/>
        <w:keepLines w:val="0"/>
        <w:pageBreakBefore w:val="0"/>
        <w:widowControl/>
        <w:kinsoku/>
        <w:wordWrap/>
        <w:overflowPunct/>
        <w:topLinePunct w:val="0"/>
        <w:autoSpaceDE/>
        <w:autoSpaceDN/>
        <w:bidi w:val="0"/>
        <w:adjustRightInd/>
        <w:snapToGrid/>
        <w:spacing w:before="0" w:beforeLines="100"/>
        <w:ind w:firstLine="561"/>
        <w:textAlignment w:val="auto"/>
        <w:rPr>
          <w:highlight w:val="none"/>
        </w:rPr>
      </w:pPr>
      <w:r>
        <w:rPr>
          <w:rFonts w:ascii="方正仿宋_GBK" w:hAnsi="方正仿宋_GBK" w:eastAsia="方正仿宋_GBK" w:cs="方正仿宋_GBK"/>
          <w:b/>
          <w:color w:val="000000"/>
          <w:sz w:val="28"/>
          <w:highlight w:val="none"/>
        </w:rPr>
        <w:t>1、工经联专项经费绩效目标表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1.确保工经联各项工作正常开展，服务企业发展。</w:t>
            </w:r>
          </w:p>
          <w:p>
            <w:pPr>
              <w:pStyle w:val="15"/>
            </w:pPr>
            <w:r>
              <w:t>2.召开《隆尧县工业志》发行仪式暨座谈会会议。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177"/>
        <w:gridCol w:w="4767"/>
        <w:gridCol w:w="1277"/>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177" w:type="dxa"/>
            <w:vAlign w:val="center"/>
          </w:tcPr>
          <w:p>
            <w:pPr>
              <w:pStyle w:val="13"/>
            </w:pPr>
            <w:r>
              <w:t>三级指标</w:t>
            </w:r>
          </w:p>
        </w:tc>
        <w:tc>
          <w:tcPr>
            <w:tcW w:w="4767" w:type="dxa"/>
            <w:vAlign w:val="center"/>
          </w:tcPr>
          <w:p>
            <w:pPr>
              <w:pStyle w:val="13"/>
            </w:pPr>
            <w:r>
              <w:t>绩效指标描述</w:t>
            </w:r>
          </w:p>
        </w:tc>
        <w:tc>
          <w:tcPr>
            <w:tcW w:w="1277"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177" w:type="dxa"/>
            <w:vAlign w:val="center"/>
          </w:tcPr>
          <w:p>
            <w:pPr>
              <w:pStyle w:val="15"/>
            </w:pPr>
            <w:r>
              <w:t>走访企业数</w:t>
            </w:r>
          </w:p>
        </w:tc>
        <w:tc>
          <w:tcPr>
            <w:tcW w:w="4767" w:type="dxa"/>
            <w:vAlign w:val="center"/>
          </w:tcPr>
          <w:p>
            <w:pPr>
              <w:pStyle w:val="15"/>
            </w:pPr>
            <w:r>
              <w:rPr>
                <w:rFonts w:hint="eastAsia"/>
              </w:rPr>
              <w:t>调研企业数量</w:t>
            </w:r>
          </w:p>
        </w:tc>
        <w:tc>
          <w:tcPr>
            <w:tcW w:w="1277" w:type="dxa"/>
            <w:vAlign w:val="center"/>
          </w:tcPr>
          <w:p>
            <w:pPr>
              <w:pStyle w:val="15"/>
            </w:pPr>
            <w:r>
              <w:t>10家</w:t>
            </w:r>
          </w:p>
        </w:tc>
        <w:tc>
          <w:tcPr>
            <w:tcW w:w="2268" w:type="dxa"/>
            <w:vAlign w:val="center"/>
          </w:tcPr>
          <w:p>
            <w:pPr>
              <w:pStyle w:val="15"/>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177" w:type="dxa"/>
            <w:vAlign w:val="center"/>
          </w:tcPr>
          <w:p>
            <w:pPr>
              <w:pStyle w:val="15"/>
            </w:pPr>
            <w:r>
              <w:rPr>
                <w:rFonts w:hint="eastAsia"/>
              </w:rPr>
              <w:t>各项支付工作完成率</w:t>
            </w:r>
          </w:p>
        </w:tc>
        <w:tc>
          <w:tcPr>
            <w:tcW w:w="4767" w:type="dxa"/>
            <w:vAlign w:val="center"/>
          </w:tcPr>
          <w:p>
            <w:pPr>
              <w:pStyle w:val="15"/>
            </w:pPr>
            <w:r>
              <w:rPr>
                <w:rFonts w:hint="eastAsia"/>
              </w:rPr>
              <w:t>各项支付工作完成情况</w:t>
            </w:r>
          </w:p>
        </w:tc>
        <w:tc>
          <w:tcPr>
            <w:tcW w:w="1277" w:type="dxa"/>
            <w:vAlign w:val="center"/>
          </w:tcPr>
          <w:p>
            <w:pPr>
              <w:pStyle w:val="15"/>
            </w:pPr>
            <w:r>
              <w:t>≥9</w:t>
            </w:r>
            <w:r>
              <w:rPr>
                <w:rFonts w:hint="eastAsia"/>
                <w:lang w:val="en-US" w:eastAsia="zh-CN"/>
              </w:rPr>
              <w:t>6%</w:t>
            </w:r>
          </w:p>
        </w:tc>
        <w:tc>
          <w:tcPr>
            <w:tcW w:w="2268" w:type="dxa"/>
            <w:vAlign w:val="center"/>
          </w:tcPr>
          <w:p>
            <w:pPr>
              <w:pStyle w:val="15"/>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177" w:type="dxa"/>
            <w:vAlign w:val="center"/>
          </w:tcPr>
          <w:p>
            <w:pPr>
              <w:pStyle w:val="15"/>
            </w:pPr>
            <w:r>
              <w:rPr>
                <w:rFonts w:hint="eastAsia"/>
              </w:rPr>
              <w:t>工作按时完成率</w:t>
            </w:r>
          </w:p>
        </w:tc>
        <w:tc>
          <w:tcPr>
            <w:tcW w:w="4767" w:type="dxa"/>
            <w:vAlign w:val="center"/>
          </w:tcPr>
          <w:p>
            <w:pPr>
              <w:pStyle w:val="15"/>
            </w:pPr>
            <w:r>
              <w:rPr>
                <w:rFonts w:hint="eastAsia"/>
              </w:rPr>
              <w:t>按时完成工作数占工作总数的比例</w:t>
            </w:r>
          </w:p>
        </w:tc>
        <w:tc>
          <w:tcPr>
            <w:tcW w:w="1277" w:type="dxa"/>
            <w:vAlign w:val="center"/>
          </w:tcPr>
          <w:p>
            <w:pPr>
              <w:pStyle w:val="15"/>
            </w:pPr>
            <w:r>
              <w:t>≥9</w:t>
            </w:r>
            <w:r>
              <w:rPr>
                <w:rFonts w:hint="eastAsia"/>
                <w:lang w:val="en-US" w:eastAsia="zh-CN"/>
              </w:rPr>
              <w:t>5%</w:t>
            </w:r>
          </w:p>
        </w:tc>
        <w:tc>
          <w:tcPr>
            <w:tcW w:w="2268" w:type="dxa"/>
            <w:vAlign w:val="center"/>
          </w:tcPr>
          <w:p>
            <w:pPr>
              <w:pStyle w:val="15"/>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177" w:type="dxa"/>
            <w:vAlign w:val="center"/>
          </w:tcPr>
          <w:p>
            <w:pPr>
              <w:pStyle w:val="15"/>
            </w:pPr>
            <w:r>
              <w:t>项目成本</w:t>
            </w:r>
          </w:p>
        </w:tc>
        <w:tc>
          <w:tcPr>
            <w:tcW w:w="4767" w:type="dxa"/>
            <w:vAlign w:val="center"/>
          </w:tcPr>
          <w:p>
            <w:pPr>
              <w:pStyle w:val="15"/>
            </w:pPr>
            <w:r>
              <w:rPr>
                <w:rFonts w:hint="eastAsia"/>
              </w:rPr>
              <w:t>工经联专项经费项目成本</w:t>
            </w:r>
          </w:p>
        </w:tc>
        <w:tc>
          <w:tcPr>
            <w:tcW w:w="1277" w:type="dxa"/>
            <w:vAlign w:val="center"/>
          </w:tcPr>
          <w:p>
            <w:pPr>
              <w:pStyle w:val="15"/>
            </w:pPr>
            <w:r>
              <w:rPr>
                <w:rFonts w:hint="eastAsia"/>
              </w:rPr>
              <w:t>97650</w:t>
            </w:r>
            <w:r>
              <w:rPr>
                <w:rFonts w:hint="eastAsia"/>
                <w:lang w:eastAsia="zh-CN"/>
              </w:rPr>
              <w:t>元</w:t>
            </w:r>
          </w:p>
        </w:tc>
        <w:tc>
          <w:tcPr>
            <w:tcW w:w="2268" w:type="dxa"/>
            <w:vAlign w:val="center"/>
          </w:tcPr>
          <w:p>
            <w:pPr>
              <w:pStyle w:val="15"/>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经济效益指标</w:t>
            </w:r>
          </w:p>
        </w:tc>
        <w:tc>
          <w:tcPr>
            <w:tcW w:w="2177" w:type="dxa"/>
            <w:vAlign w:val="center"/>
          </w:tcPr>
          <w:p>
            <w:pPr>
              <w:pStyle w:val="15"/>
            </w:pPr>
            <w:r>
              <w:t>服务企业发展</w:t>
            </w:r>
          </w:p>
        </w:tc>
        <w:tc>
          <w:tcPr>
            <w:tcW w:w="4767" w:type="dxa"/>
            <w:vAlign w:val="center"/>
          </w:tcPr>
          <w:p>
            <w:pPr>
              <w:pStyle w:val="15"/>
            </w:pPr>
            <w:r>
              <w:rPr>
                <w:rFonts w:hint="eastAsia"/>
              </w:rPr>
              <w:t>召开银企对接会，力争为3家以上企业融资成功</w:t>
            </w:r>
          </w:p>
        </w:tc>
        <w:tc>
          <w:tcPr>
            <w:tcW w:w="1277" w:type="dxa"/>
            <w:vAlign w:val="center"/>
          </w:tcPr>
          <w:p>
            <w:pPr>
              <w:pStyle w:val="15"/>
            </w:pPr>
            <w:r>
              <w:rPr>
                <w:rFonts w:hint="eastAsia"/>
                <w:lang w:val="en-US" w:eastAsia="zh-CN"/>
              </w:rPr>
              <w:t>3家</w:t>
            </w:r>
          </w:p>
        </w:tc>
        <w:tc>
          <w:tcPr>
            <w:tcW w:w="2268" w:type="dxa"/>
            <w:vAlign w:val="center"/>
          </w:tcPr>
          <w:p>
            <w:pPr>
              <w:pStyle w:val="15"/>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177" w:type="dxa"/>
            <w:vAlign w:val="center"/>
          </w:tcPr>
          <w:p>
            <w:pPr>
              <w:pStyle w:val="15"/>
            </w:pPr>
            <w:r>
              <w:t>企业满意度</w:t>
            </w:r>
          </w:p>
        </w:tc>
        <w:tc>
          <w:tcPr>
            <w:tcW w:w="4767" w:type="dxa"/>
            <w:vAlign w:val="center"/>
          </w:tcPr>
          <w:p>
            <w:pPr>
              <w:pStyle w:val="15"/>
            </w:pPr>
            <w:r>
              <w:rPr>
                <w:rFonts w:hint="eastAsia"/>
              </w:rPr>
              <w:t>满意的企业数占调查企业总数的比例</w:t>
            </w:r>
          </w:p>
        </w:tc>
        <w:tc>
          <w:tcPr>
            <w:tcW w:w="1277" w:type="dxa"/>
            <w:vAlign w:val="center"/>
          </w:tcPr>
          <w:p>
            <w:pPr>
              <w:pStyle w:val="15"/>
            </w:pPr>
            <w:r>
              <w:t>≥90</w:t>
            </w:r>
            <w:r>
              <w:rPr>
                <w:rFonts w:hint="eastAsia"/>
                <w:lang w:val="en-US" w:eastAsia="zh-CN"/>
              </w:rPr>
              <w:t>%</w:t>
            </w:r>
          </w:p>
        </w:tc>
        <w:tc>
          <w:tcPr>
            <w:tcW w:w="2268" w:type="dxa"/>
            <w:vAlign w:val="center"/>
          </w:tcPr>
          <w:p>
            <w:pPr>
              <w:pStyle w:val="15"/>
            </w:pPr>
            <w:r>
              <w:t>年初工作计划安排</w:t>
            </w:r>
          </w:p>
        </w:tc>
      </w:tr>
    </w:tbl>
    <w:p>
      <w:pPr>
        <w:sectPr>
          <w:pgSz w:w="16840" w:h="11900" w:orient="landscape"/>
          <w:pgMar w:top="1361" w:right="1020" w:bottom="1134" w:left="1020" w:header="720" w:footer="720" w:gutter="0"/>
          <w:pgNumType w:fmt="decimal"/>
          <w:cols w:space="720" w:num="1"/>
        </w:sectPr>
      </w:pPr>
    </w:p>
    <w:p>
      <w:pPr>
        <w:spacing w:before="10" w:after="10" w:line="360" w:lineRule="auto"/>
        <w:ind w:firstLine="640"/>
        <w:outlineLvl w:val="2"/>
        <w:rPr>
          <w:rFonts w:ascii="黑体" w:hAnsi="黑体" w:eastAsia="黑体" w:cs="黑体"/>
          <w:color w:val="000000"/>
          <w:sz w:val="32"/>
        </w:rPr>
      </w:pPr>
      <w:bookmarkStart w:id="14" w:name="_Toc8672"/>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2023年，隆尧县工业经济联合会秘书处本级安排政府采购预算1.52万元。具体内容见下表。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w:t>
            </w:r>
            <w:r>
              <w:rPr>
                <w:rFonts w:hint="eastAsia"/>
                <w:lang w:eastAsia="zh-CN"/>
              </w:rPr>
              <w:t>单位</w:t>
            </w:r>
            <w:r>
              <w:t>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1.52</w:t>
            </w:r>
          </w:p>
        </w:tc>
        <w:tc>
          <w:tcPr>
            <w:tcW w:w="964" w:type="dxa"/>
            <w:vAlign w:val="center"/>
          </w:tcPr>
          <w:p>
            <w:pPr>
              <w:pStyle w:val="18"/>
            </w:pPr>
            <w:r>
              <w:t>1.52</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隆尧县工业经济联合会秘书处本级小计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1.52</w:t>
            </w:r>
          </w:p>
        </w:tc>
        <w:tc>
          <w:tcPr>
            <w:tcW w:w="964" w:type="dxa"/>
            <w:vAlign w:val="center"/>
          </w:tcPr>
          <w:p>
            <w:pPr>
              <w:pStyle w:val="18"/>
            </w:pPr>
            <w:r>
              <w:t>1.52</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工经联专项经费</w:t>
            </w:r>
          </w:p>
        </w:tc>
        <w:tc>
          <w:tcPr>
            <w:tcW w:w="964" w:type="dxa"/>
            <w:vAlign w:val="center"/>
          </w:tcPr>
          <w:p>
            <w:pPr>
              <w:pStyle w:val="14"/>
            </w:pPr>
            <w:r>
              <w:t>9.77</w:t>
            </w:r>
          </w:p>
        </w:tc>
        <w:tc>
          <w:tcPr>
            <w:tcW w:w="1134" w:type="dxa"/>
            <w:vAlign w:val="center"/>
          </w:tcPr>
          <w:p>
            <w:pPr>
              <w:pStyle w:val="15"/>
            </w:pPr>
            <w:r>
              <w:t>多功能一体机</w:t>
            </w:r>
          </w:p>
        </w:tc>
        <w:tc>
          <w:tcPr>
            <w:tcW w:w="1134" w:type="dxa"/>
            <w:vAlign w:val="center"/>
          </w:tcPr>
          <w:p>
            <w:pPr>
              <w:pStyle w:val="15"/>
            </w:pPr>
            <w:r>
              <w:t>A02020400</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1.32</w:t>
            </w:r>
          </w:p>
        </w:tc>
        <w:tc>
          <w:tcPr>
            <w:tcW w:w="964" w:type="dxa"/>
            <w:vAlign w:val="center"/>
          </w:tcPr>
          <w:p>
            <w:pPr>
              <w:pStyle w:val="14"/>
            </w:pPr>
            <w:r>
              <w:t>1.32</w:t>
            </w:r>
          </w:p>
        </w:tc>
        <w:tc>
          <w:tcPr>
            <w:tcW w:w="964" w:type="dxa"/>
            <w:vAlign w:val="center"/>
          </w:tcPr>
          <w:p>
            <w:pPr>
              <w:pStyle w:val="14"/>
            </w:pPr>
            <w:r>
              <w:t>1.32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工经联专项经费</w:t>
            </w:r>
          </w:p>
        </w:tc>
        <w:tc>
          <w:tcPr>
            <w:tcW w:w="964" w:type="dxa"/>
            <w:vAlign w:val="center"/>
          </w:tcPr>
          <w:p>
            <w:pPr>
              <w:pStyle w:val="14"/>
            </w:pPr>
            <w:r>
              <w:t>9.77</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包</w:t>
            </w:r>
          </w:p>
        </w:tc>
        <w:tc>
          <w:tcPr>
            <w:tcW w:w="850" w:type="dxa"/>
            <w:vAlign w:val="center"/>
          </w:tcPr>
          <w:p>
            <w:pPr>
              <w:pStyle w:val="14"/>
            </w:pPr>
            <w:r>
              <w:t>10</w:t>
            </w:r>
          </w:p>
        </w:tc>
        <w:tc>
          <w:tcPr>
            <w:tcW w:w="850" w:type="dxa"/>
            <w:vAlign w:val="center"/>
          </w:tcPr>
          <w:p>
            <w:pPr>
              <w:pStyle w:val="14"/>
            </w:pPr>
            <w:r>
              <w:t>0.02</w:t>
            </w:r>
          </w:p>
        </w:tc>
        <w:tc>
          <w:tcPr>
            <w:tcW w:w="964" w:type="dxa"/>
            <w:vAlign w:val="center"/>
          </w:tcPr>
          <w:p>
            <w:pPr>
              <w:pStyle w:val="14"/>
            </w:pPr>
            <w:r>
              <w:t>0.20</w:t>
            </w:r>
          </w:p>
        </w:tc>
        <w:tc>
          <w:tcPr>
            <w:tcW w:w="964" w:type="dxa"/>
            <w:vAlign w:val="center"/>
          </w:tcPr>
          <w:p>
            <w:pPr>
              <w:pStyle w:val="14"/>
            </w:pPr>
            <w:r>
              <w:t>0.20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360" w:lineRule="auto"/>
        <w:ind w:firstLine="640"/>
        <w:outlineLvl w:val="2"/>
        <w:rPr>
          <w:rFonts w:ascii="黑体" w:hAnsi="黑体" w:eastAsia="黑体" w:cs="黑体"/>
          <w:color w:val="000000"/>
          <w:sz w:val="32"/>
        </w:rPr>
      </w:pPr>
      <w:bookmarkStart w:id="15" w:name="_Toc9243"/>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隆尧县工业经济联合会秘书处本级上年末固定资产金额为7.24万元（详见下表）。本年度拟购置固定资产总额为1.32万元，已按要求列入政府采购预算，详见政府采购预算表。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766001隆尧县工业经济联合会秘书处本级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r>
              <w:t>28</w:t>
            </w:r>
          </w:p>
        </w:tc>
        <w:tc>
          <w:tcPr>
            <w:tcW w:w="2835" w:type="dxa"/>
            <w:vAlign w:val="center"/>
          </w:tcPr>
          <w:p>
            <w:pPr>
              <w:pStyle w:val="14"/>
            </w:pPr>
            <w:r>
              <w:t>7.24</w:t>
            </w:r>
          </w:p>
        </w:tc>
      </w:tr>
    </w:tbl>
    <w:p>
      <w:pPr>
        <w:ind w:firstLine="640"/>
      </w:pPr>
      <w:r>
        <w:rPr>
          <w:rFonts w:eastAsia="方正仿宋_GBK"/>
          <w:color w:val="000000"/>
          <w:sz w:val="32"/>
        </w:rPr>
        <w:t xml:space="preserve"> </w:t>
      </w:r>
    </w:p>
    <w:p>
      <w:pPr>
        <w:spacing w:before="10" w:after="10" w:line="360" w:lineRule="auto"/>
        <w:ind w:firstLine="640"/>
        <w:outlineLvl w:val="2"/>
        <w:rPr>
          <w:rFonts w:ascii="黑体" w:hAnsi="黑体" w:eastAsia="黑体" w:cs="黑体"/>
          <w:color w:val="000000"/>
          <w:sz w:val="32"/>
        </w:rPr>
      </w:pPr>
      <w:bookmarkStart w:id="16" w:name="_Toc31356"/>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ind w:firstLine="640"/>
        <w:outlineLvl w:val="2"/>
        <w:rPr>
          <w:rFonts w:ascii="黑体" w:hAnsi="黑体" w:eastAsia="黑体" w:cs="黑体"/>
          <w:color w:val="000000"/>
          <w:sz w:val="32"/>
        </w:rPr>
      </w:pPr>
      <w:bookmarkStart w:id="17" w:name="_Toc30351"/>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YjU2NGZmNTgwY2E2NTc3Nzg3YTA2NGFiMTg4ZjkzZGIifQ=="/>
  </w:docVars>
  <w:rsids>
    <w:rsidRoot w:val="003273D5"/>
    <w:rsid w:val="003273D5"/>
    <w:rsid w:val="00942813"/>
    <w:rsid w:val="00D74E7D"/>
    <w:rsid w:val="01250F4F"/>
    <w:rsid w:val="0BCC5A6B"/>
    <w:rsid w:val="106C25B6"/>
    <w:rsid w:val="185500D0"/>
    <w:rsid w:val="186D4B18"/>
    <w:rsid w:val="18DC7F50"/>
    <w:rsid w:val="1EA23DFC"/>
    <w:rsid w:val="20F771EF"/>
    <w:rsid w:val="26F15921"/>
    <w:rsid w:val="2A616A2F"/>
    <w:rsid w:val="2C983C1D"/>
    <w:rsid w:val="2CF76118"/>
    <w:rsid w:val="2D211B50"/>
    <w:rsid w:val="2E6B78B2"/>
    <w:rsid w:val="2F2B399A"/>
    <w:rsid w:val="4C1721EC"/>
    <w:rsid w:val="4D616AAD"/>
    <w:rsid w:val="4EBE1A21"/>
    <w:rsid w:val="58F3008F"/>
    <w:rsid w:val="5CA17000"/>
    <w:rsid w:val="628A0254"/>
    <w:rsid w:val="652A2E66"/>
    <w:rsid w:val="65387C9C"/>
    <w:rsid w:val="668533B4"/>
    <w:rsid w:val="69DB5906"/>
    <w:rsid w:val="6D946DAA"/>
    <w:rsid w:val="74937FEA"/>
    <w:rsid w:val="79BA5984"/>
    <w:rsid w:val="7B523F1D"/>
    <w:rsid w:val="7FA61B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qFormat/>
    <w:uiPriority w:val="39"/>
    <w:pPr>
      <w:ind w:left="840" w:leftChars="40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4"/>
    <w:basedOn w:val="1"/>
    <w:next w:val="1"/>
    <w:semiHidden/>
    <w:unhideWhenUsed/>
    <w:uiPriority w:val="39"/>
    <w:pPr>
      <w:ind w:left="1260" w:leftChars="600"/>
    </w:pPr>
  </w:style>
  <w:style w:type="paragraph" w:styleId="6">
    <w:name w:val="toc 2"/>
    <w:basedOn w:val="1"/>
    <w:next w:val="1"/>
    <w:semiHidden/>
    <w:unhideWhenUsed/>
    <w:uiPriority w:val="39"/>
    <w:pPr>
      <w:ind w:left="420" w:leftChars="20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2023-01-18T08:58:02Z</dcterms:created>
  <dcterms:modified xsi:type="dcterms:W3CDTF">2023-01-18T00:58:02Z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2023-01-18T08:57:57Z</dcterms:created>
  <dcterms:modified xsi:type="dcterms:W3CDTF">2023-01-18T00:57:57Z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2023-01-18T08:58:03Z</dcterms:created>
  <dcterms:modified xsi:type="dcterms:W3CDTF">2023-01-18T00:58:03Z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2023-01-18T08:58:03Z</dcterms:created>
  <dcterms:modified xsi:type="dcterms:W3CDTF">2023-01-18T00:58:03Z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2023-01-18T08:57:56Z</dcterms:created>
  <dcterms:modified xsi:type="dcterms:W3CDTF">2023-01-18T00:57:56Z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2023-01-18T08:57:57Z</dcterms:created>
  <dcterms:modified xsi:type="dcterms:W3CDTF">2023-01-18T00:57:57Z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2023-01-18T08:57:56Z</dcterms:created>
  <dcterms:modified xsi:type="dcterms:W3CDTF">2023-01-18T00:57:56Z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04C5F3C-3DBE-4BF6-87E3-2652B5BB4579}">
  <ds:schemaRefs/>
</ds:datastoreItem>
</file>

<file path=customXml/itemProps11.xml><?xml version="1.0" encoding="utf-8"?>
<ds:datastoreItem xmlns:ds="http://schemas.openxmlformats.org/officeDocument/2006/customXml" ds:itemID="{D91735B4-F785-4EF3-A0AD-3A7E8986B922}">
  <ds:schemaRefs/>
</ds:datastoreItem>
</file>

<file path=customXml/itemProps12.xml><?xml version="1.0" encoding="utf-8"?>
<ds:datastoreItem xmlns:ds="http://schemas.openxmlformats.org/officeDocument/2006/customXml" ds:itemID="{C801D789-A222-4224-BAA4-397A52EE85BA}">
  <ds:schemaRefs/>
</ds:datastoreItem>
</file>

<file path=customXml/itemProps13.xml><?xml version="1.0" encoding="utf-8"?>
<ds:datastoreItem xmlns:ds="http://schemas.openxmlformats.org/officeDocument/2006/customXml" ds:itemID="{CC304307-3FC2-4177-B6A1-F1262BB37B57}">
  <ds:schemaRefs/>
</ds:datastoreItem>
</file>

<file path=customXml/itemProps14.xml><?xml version="1.0" encoding="utf-8"?>
<ds:datastoreItem xmlns:ds="http://schemas.openxmlformats.org/officeDocument/2006/customXml" ds:itemID="{84EF370C-690B-4B65-9496-FCC2A08AE6F8}">
  <ds:schemaRefs/>
</ds:datastoreItem>
</file>

<file path=customXml/itemProps15.xml><?xml version="1.0" encoding="utf-8"?>
<ds:datastoreItem xmlns:ds="http://schemas.openxmlformats.org/officeDocument/2006/customXml" ds:itemID="{E5530DA6-47C1-4F93-AC2F-75D4B60C5C16}">
  <ds:schemaRefs/>
</ds:datastoreItem>
</file>

<file path=customXml/itemProps2.xml><?xml version="1.0" encoding="utf-8"?>
<ds:datastoreItem xmlns:ds="http://schemas.openxmlformats.org/officeDocument/2006/customXml" ds:itemID="{B4EE587C-27A0-4E2C-8F3F-3CE5BB0341BD}">
  <ds:schemaRefs/>
</ds:datastoreItem>
</file>

<file path=customXml/itemProps3.xml><?xml version="1.0" encoding="utf-8"?>
<ds:datastoreItem xmlns:ds="http://schemas.openxmlformats.org/officeDocument/2006/customXml" ds:itemID="{C3284211-6D3C-4B24-94A7-60DE9FF715D4}">
  <ds:schemaRefs/>
</ds:datastoreItem>
</file>

<file path=customXml/itemProps4.xml><?xml version="1.0" encoding="utf-8"?>
<ds:datastoreItem xmlns:ds="http://schemas.openxmlformats.org/officeDocument/2006/customXml" ds:itemID="{DC298CD6-2F02-4E37-9AA6-5B06E98DF70C}">
  <ds:schemaRefs/>
</ds:datastoreItem>
</file>

<file path=customXml/itemProps5.xml><?xml version="1.0" encoding="utf-8"?>
<ds:datastoreItem xmlns:ds="http://schemas.openxmlformats.org/officeDocument/2006/customXml" ds:itemID="{DA2E8660-8A0D-4706-9630-46044C67D200}">
  <ds:schemaRefs/>
</ds:datastoreItem>
</file>

<file path=customXml/itemProps6.xml><?xml version="1.0" encoding="utf-8"?>
<ds:datastoreItem xmlns:ds="http://schemas.openxmlformats.org/officeDocument/2006/customXml" ds:itemID="{20A4B215-CB7F-4066-BCDA-5F359D036ED1}">
  <ds:schemaRefs/>
</ds:datastoreItem>
</file>

<file path=customXml/itemProps7.xml><?xml version="1.0" encoding="utf-8"?>
<ds:datastoreItem xmlns:ds="http://schemas.openxmlformats.org/officeDocument/2006/customXml" ds:itemID="{E46B1D15-6ADF-4739-BFAA-A032EA170DC0}">
  <ds:schemaRefs/>
</ds:datastoreItem>
</file>

<file path=customXml/itemProps8.xml><?xml version="1.0" encoding="utf-8"?>
<ds:datastoreItem xmlns:ds="http://schemas.openxmlformats.org/officeDocument/2006/customXml" ds:itemID="{B4274FBB-AC33-4DF1-AB68-B4298143254C}">
  <ds:schemaRefs/>
</ds:datastoreItem>
</file>

<file path=customXml/itemProps9.xml><?xml version="1.0" encoding="utf-8"?>
<ds:datastoreItem xmlns:ds="http://schemas.openxmlformats.org/officeDocument/2006/customXml" ds:itemID="{D8BFE1CE-B43D-4062-BD57-EF7C3CACB368}">
  <ds:schemaRefs/>
</ds:datastoreItem>
</file>

<file path=docProps/app.xml><?xml version="1.0" encoding="utf-8"?>
<Properties xmlns="http://schemas.openxmlformats.org/officeDocument/2006/extended-properties" xmlns:vt="http://schemas.openxmlformats.org/officeDocument/2006/docPropsVTypes">
  <Template>Normal</Template>
  <Pages>21</Pages>
  <Words>5423</Words>
  <Characters>6527</Characters>
  <Lines>132</Lines>
  <Paragraphs>37</Paragraphs>
  <TotalTime>7</TotalTime>
  <ScaleCrop>false</ScaleCrop>
  <LinksUpToDate>false</LinksUpToDate>
  <CharactersWithSpaces>6690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2023-01-18T00:57:00Z</dcterms:created>
  <dc:creator>Administrator</dc:creator>
  <cp:lastModifiedBy>Administrator</cp:lastModifiedBy>
  <dcterms:modified xsi:type="dcterms:W3CDTF">2023-09-06T06:05:53Z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45CDBC415C2F4B87878A04C6DB57F1F3</vt:lpwstr>
  </property>
</Properties>
</file>