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bookmarkStart w:id="18" w:name="_GoBack"/>
      <w:bookmarkEnd w:id="18"/>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318隆尧县财政局</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1138.34</w:t>
            </w:r>
          </w:p>
        </w:tc>
        <w:tc>
          <w:tcPr>
            <w:tcW w:w="4535" w:type="dxa"/>
            <w:vAlign w:val="center"/>
          </w:tcPr>
          <w:p>
            <w:pPr>
              <w:pStyle w:val="14"/>
            </w:pPr>
            <w:r>
              <w:t>一、一般公共服务支出</w:t>
            </w:r>
          </w:p>
        </w:tc>
        <w:tc>
          <w:tcPr>
            <w:tcW w:w="2126" w:type="dxa"/>
            <w:vAlign w:val="center"/>
          </w:tcPr>
          <w:p>
            <w:pPr>
              <w:pStyle w:val="13"/>
            </w:pPr>
            <w:r>
              <w:t>1011.90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二十六、年初预留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1138.34</w:t>
            </w:r>
          </w:p>
        </w:tc>
        <w:tc>
          <w:tcPr>
            <w:tcW w:w="4535" w:type="dxa"/>
            <w:vAlign w:val="center"/>
          </w:tcPr>
          <w:p>
            <w:pPr>
              <w:pStyle w:val="16"/>
            </w:pPr>
            <w:r>
              <w:t>本年支出合计</w:t>
            </w:r>
          </w:p>
        </w:tc>
        <w:tc>
          <w:tcPr>
            <w:tcW w:w="2126" w:type="dxa"/>
            <w:vAlign w:val="center"/>
          </w:tcPr>
          <w:p>
            <w:pPr>
              <w:pStyle w:val="17"/>
            </w:pPr>
            <w:r>
              <w:t>1138.34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1138.34</w:t>
            </w:r>
          </w:p>
        </w:tc>
        <w:tc>
          <w:tcPr>
            <w:tcW w:w="4535" w:type="dxa"/>
            <w:vAlign w:val="center"/>
          </w:tcPr>
          <w:p>
            <w:pPr>
              <w:pStyle w:val="16"/>
            </w:pPr>
            <w:r>
              <w:t>支出总计</w:t>
            </w:r>
          </w:p>
        </w:tc>
        <w:tc>
          <w:tcPr>
            <w:tcW w:w="2126" w:type="dxa"/>
            <w:vAlign w:val="center"/>
          </w:tcPr>
          <w:p>
            <w:pPr>
              <w:pStyle w:val="17"/>
            </w:pPr>
            <w:r>
              <w:t>1138.34</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318隆尧县财政局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1138.34</w:t>
            </w:r>
          </w:p>
        </w:tc>
        <w:tc>
          <w:tcPr>
            <w:tcW w:w="1134" w:type="dxa"/>
            <w:vAlign w:val="center"/>
          </w:tcPr>
          <w:p>
            <w:pPr>
              <w:pStyle w:val="17"/>
            </w:pPr>
            <w:r>
              <w:t>1138.34</w:t>
            </w:r>
          </w:p>
        </w:tc>
        <w:tc>
          <w:tcPr>
            <w:tcW w:w="1134" w:type="dxa"/>
            <w:vAlign w:val="center"/>
          </w:tcPr>
          <w:p>
            <w:pPr>
              <w:pStyle w:val="17"/>
            </w:pPr>
            <w:r>
              <w:t>1138.34</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20106</w:t>
            </w:r>
          </w:p>
        </w:tc>
        <w:tc>
          <w:tcPr>
            <w:tcW w:w="1559" w:type="dxa"/>
            <w:vAlign w:val="center"/>
          </w:tcPr>
          <w:p>
            <w:pPr>
              <w:pStyle w:val="14"/>
            </w:pPr>
            <w:r>
              <w:t>财政事务</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r>
              <w:t>1011.90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2010601</w:t>
            </w:r>
          </w:p>
        </w:tc>
        <w:tc>
          <w:tcPr>
            <w:tcW w:w="1559" w:type="dxa"/>
            <w:vAlign w:val="center"/>
          </w:tcPr>
          <w:p>
            <w:pPr>
              <w:pStyle w:val="14"/>
            </w:pPr>
            <w:r>
              <w:t>行政运行</w:t>
            </w:r>
          </w:p>
        </w:tc>
        <w:tc>
          <w:tcPr>
            <w:tcW w:w="1134" w:type="dxa"/>
            <w:vAlign w:val="center"/>
          </w:tcPr>
          <w:p>
            <w:pPr>
              <w:pStyle w:val="13"/>
            </w:pPr>
            <w:r>
              <w:t>428.01</w:t>
            </w:r>
          </w:p>
        </w:tc>
        <w:tc>
          <w:tcPr>
            <w:tcW w:w="1134" w:type="dxa"/>
            <w:vAlign w:val="center"/>
          </w:tcPr>
          <w:p>
            <w:pPr>
              <w:pStyle w:val="13"/>
            </w:pPr>
            <w:r>
              <w:t>428.01</w:t>
            </w:r>
          </w:p>
        </w:tc>
        <w:tc>
          <w:tcPr>
            <w:tcW w:w="1134" w:type="dxa"/>
            <w:vAlign w:val="center"/>
          </w:tcPr>
          <w:p>
            <w:pPr>
              <w:pStyle w:val="13"/>
            </w:pPr>
            <w:r>
              <w:t>428.01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2010602</w:t>
            </w:r>
          </w:p>
        </w:tc>
        <w:tc>
          <w:tcPr>
            <w:tcW w:w="1559" w:type="dxa"/>
            <w:vAlign w:val="center"/>
          </w:tcPr>
          <w:p>
            <w:pPr>
              <w:pStyle w:val="14"/>
            </w:pPr>
            <w:r>
              <w:t>一般行政管理事务</w:t>
            </w:r>
          </w:p>
        </w:tc>
        <w:tc>
          <w:tcPr>
            <w:tcW w:w="1134" w:type="dxa"/>
            <w:vAlign w:val="center"/>
          </w:tcPr>
          <w:p>
            <w:pPr>
              <w:pStyle w:val="13"/>
            </w:pPr>
            <w:r>
              <w:t>155.89</w:t>
            </w:r>
          </w:p>
        </w:tc>
        <w:tc>
          <w:tcPr>
            <w:tcW w:w="1134" w:type="dxa"/>
            <w:vAlign w:val="center"/>
          </w:tcPr>
          <w:p>
            <w:pPr>
              <w:pStyle w:val="13"/>
            </w:pPr>
            <w:r>
              <w:t>155.89</w:t>
            </w:r>
          </w:p>
        </w:tc>
        <w:tc>
          <w:tcPr>
            <w:tcW w:w="1134" w:type="dxa"/>
            <w:vAlign w:val="center"/>
          </w:tcPr>
          <w:p>
            <w:pPr>
              <w:pStyle w:val="13"/>
            </w:pPr>
            <w:r>
              <w:t>155.89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2010607</w:t>
            </w:r>
          </w:p>
        </w:tc>
        <w:tc>
          <w:tcPr>
            <w:tcW w:w="1559" w:type="dxa"/>
            <w:vAlign w:val="center"/>
          </w:tcPr>
          <w:p>
            <w:pPr>
              <w:pStyle w:val="14"/>
            </w:pPr>
            <w:r>
              <w:t>信息化建设</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r>
              <w:t>53.00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2010608</w:t>
            </w:r>
          </w:p>
        </w:tc>
        <w:tc>
          <w:tcPr>
            <w:tcW w:w="1559" w:type="dxa"/>
            <w:vAlign w:val="center"/>
          </w:tcPr>
          <w:p>
            <w:pPr>
              <w:pStyle w:val="14"/>
            </w:pPr>
            <w:r>
              <w:t>财政委托业务支出</w:t>
            </w:r>
          </w:p>
        </w:tc>
        <w:tc>
          <w:tcPr>
            <w:tcW w:w="1134" w:type="dxa"/>
            <w:vAlign w:val="center"/>
          </w:tcPr>
          <w:p>
            <w:pPr>
              <w:pStyle w:val="13"/>
            </w:pPr>
            <w:r>
              <w:t>345.00</w:t>
            </w:r>
          </w:p>
        </w:tc>
        <w:tc>
          <w:tcPr>
            <w:tcW w:w="1134" w:type="dxa"/>
            <w:vAlign w:val="center"/>
          </w:tcPr>
          <w:p>
            <w:pPr>
              <w:pStyle w:val="13"/>
            </w:pPr>
            <w:r>
              <w:t>345.00</w:t>
            </w:r>
          </w:p>
        </w:tc>
        <w:tc>
          <w:tcPr>
            <w:tcW w:w="1134" w:type="dxa"/>
            <w:vAlign w:val="center"/>
          </w:tcPr>
          <w:p>
            <w:pPr>
              <w:pStyle w:val="13"/>
            </w:pPr>
            <w:r>
              <w:t>345.00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2010699</w:t>
            </w:r>
          </w:p>
        </w:tc>
        <w:tc>
          <w:tcPr>
            <w:tcW w:w="1559" w:type="dxa"/>
            <w:vAlign w:val="center"/>
          </w:tcPr>
          <w:p>
            <w:pPr>
              <w:pStyle w:val="14"/>
            </w:pPr>
            <w:r>
              <w:t>其他财政事务支出</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r>
              <w:t>42.94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r>
              <w:t>21.00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2130199</w:t>
            </w:r>
          </w:p>
        </w:tc>
        <w:tc>
          <w:tcPr>
            <w:tcW w:w="1559" w:type="dxa"/>
            <w:vAlign w:val="center"/>
          </w:tcPr>
          <w:p>
            <w:pPr>
              <w:pStyle w:val="14"/>
            </w:pPr>
            <w:r>
              <w:t>其他农业农村支出</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2130799</w:t>
            </w:r>
          </w:p>
        </w:tc>
        <w:tc>
          <w:tcPr>
            <w:tcW w:w="1559" w:type="dxa"/>
            <w:vAlign w:val="center"/>
          </w:tcPr>
          <w:p>
            <w:pPr>
              <w:pStyle w:val="14"/>
            </w:pPr>
            <w:r>
              <w:t>其他农村综合改革支出</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r>
              <w:t>36.49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1138.34</w:t>
            </w:r>
          </w:p>
        </w:tc>
        <w:tc>
          <w:tcPr>
            <w:tcW w:w="1361" w:type="dxa"/>
            <w:vAlign w:val="center"/>
          </w:tcPr>
          <w:p>
            <w:pPr>
              <w:pStyle w:val="17"/>
            </w:pPr>
            <w:r>
              <w:t>528.45</w:t>
            </w:r>
          </w:p>
        </w:tc>
        <w:tc>
          <w:tcPr>
            <w:tcW w:w="1361" w:type="dxa"/>
            <w:vAlign w:val="center"/>
          </w:tcPr>
          <w:p>
            <w:pPr>
              <w:pStyle w:val="17"/>
            </w:pPr>
            <w:r>
              <w:t>609.89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1011.90</w:t>
            </w:r>
          </w:p>
        </w:tc>
        <w:tc>
          <w:tcPr>
            <w:tcW w:w="1361" w:type="dxa"/>
            <w:vAlign w:val="center"/>
          </w:tcPr>
          <w:p>
            <w:pPr>
              <w:pStyle w:val="13"/>
            </w:pPr>
            <w:r>
              <w:t>428.01</w:t>
            </w:r>
          </w:p>
        </w:tc>
        <w:tc>
          <w:tcPr>
            <w:tcW w:w="1361" w:type="dxa"/>
            <w:vAlign w:val="center"/>
          </w:tcPr>
          <w:p>
            <w:pPr>
              <w:pStyle w:val="13"/>
            </w:pPr>
            <w:r>
              <w:t>583.89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20106</w:t>
            </w:r>
          </w:p>
        </w:tc>
        <w:tc>
          <w:tcPr>
            <w:tcW w:w="4535" w:type="dxa"/>
            <w:vAlign w:val="center"/>
          </w:tcPr>
          <w:p>
            <w:pPr>
              <w:pStyle w:val="14"/>
            </w:pPr>
            <w:r>
              <w:t>财政事务</w:t>
            </w:r>
          </w:p>
        </w:tc>
        <w:tc>
          <w:tcPr>
            <w:tcW w:w="1361" w:type="dxa"/>
            <w:vAlign w:val="center"/>
          </w:tcPr>
          <w:p>
            <w:pPr>
              <w:pStyle w:val="13"/>
            </w:pPr>
            <w:r>
              <w:t>1011.90</w:t>
            </w:r>
          </w:p>
        </w:tc>
        <w:tc>
          <w:tcPr>
            <w:tcW w:w="1361" w:type="dxa"/>
            <w:vAlign w:val="center"/>
          </w:tcPr>
          <w:p>
            <w:pPr>
              <w:pStyle w:val="13"/>
            </w:pPr>
            <w:r>
              <w:t>428.01</w:t>
            </w:r>
          </w:p>
        </w:tc>
        <w:tc>
          <w:tcPr>
            <w:tcW w:w="1361" w:type="dxa"/>
            <w:vAlign w:val="center"/>
          </w:tcPr>
          <w:p>
            <w:pPr>
              <w:pStyle w:val="13"/>
            </w:pPr>
            <w:r>
              <w:t>583.89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2010601</w:t>
            </w:r>
          </w:p>
        </w:tc>
        <w:tc>
          <w:tcPr>
            <w:tcW w:w="4535" w:type="dxa"/>
            <w:vAlign w:val="center"/>
          </w:tcPr>
          <w:p>
            <w:pPr>
              <w:pStyle w:val="14"/>
            </w:pPr>
            <w:r>
              <w:t>行政运行</w:t>
            </w:r>
          </w:p>
        </w:tc>
        <w:tc>
          <w:tcPr>
            <w:tcW w:w="1361" w:type="dxa"/>
            <w:vAlign w:val="center"/>
          </w:tcPr>
          <w:p>
            <w:pPr>
              <w:pStyle w:val="13"/>
            </w:pPr>
            <w:r>
              <w:t>428.01</w:t>
            </w:r>
          </w:p>
        </w:tc>
        <w:tc>
          <w:tcPr>
            <w:tcW w:w="1361" w:type="dxa"/>
            <w:vAlign w:val="center"/>
          </w:tcPr>
          <w:p>
            <w:pPr>
              <w:pStyle w:val="13"/>
            </w:pPr>
            <w:r>
              <w:t>428.01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2010602</w:t>
            </w:r>
          </w:p>
        </w:tc>
        <w:tc>
          <w:tcPr>
            <w:tcW w:w="4535" w:type="dxa"/>
            <w:vAlign w:val="center"/>
          </w:tcPr>
          <w:p>
            <w:pPr>
              <w:pStyle w:val="14"/>
            </w:pPr>
            <w:r>
              <w:t>一般行政管理事务</w:t>
            </w:r>
          </w:p>
        </w:tc>
        <w:tc>
          <w:tcPr>
            <w:tcW w:w="1361" w:type="dxa"/>
            <w:vAlign w:val="center"/>
          </w:tcPr>
          <w:p>
            <w:pPr>
              <w:pStyle w:val="13"/>
            </w:pPr>
            <w:r>
              <w:t>155.89</w:t>
            </w:r>
          </w:p>
        </w:tc>
        <w:tc>
          <w:tcPr>
            <w:tcW w:w="1361" w:type="dxa"/>
            <w:vAlign w:val="center"/>
          </w:tcPr>
          <w:p>
            <w:pPr>
              <w:pStyle w:val="13"/>
            </w:pPr>
          </w:p>
        </w:tc>
        <w:tc>
          <w:tcPr>
            <w:tcW w:w="1361" w:type="dxa"/>
            <w:vAlign w:val="center"/>
          </w:tcPr>
          <w:p>
            <w:pPr>
              <w:pStyle w:val="13"/>
            </w:pPr>
            <w:r>
              <w:t>155.89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2010607</w:t>
            </w:r>
          </w:p>
        </w:tc>
        <w:tc>
          <w:tcPr>
            <w:tcW w:w="4535" w:type="dxa"/>
            <w:vAlign w:val="center"/>
          </w:tcPr>
          <w:p>
            <w:pPr>
              <w:pStyle w:val="14"/>
            </w:pPr>
            <w:r>
              <w:t>信息化建设</w:t>
            </w:r>
          </w:p>
        </w:tc>
        <w:tc>
          <w:tcPr>
            <w:tcW w:w="1361" w:type="dxa"/>
            <w:vAlign w:val="center"/>
          </w:tcPr>
          <w:p>
            <w:pPr>
              <w:pStyle w:val="13"/>
            </w:pPr>
            <w:r>
              <w:t>53.00</w:t>
            </w:r>
          </w:p>
        </w:tc>
        <w:tc>
          <w:tcPr>
            <w:tcW w:w="1361" w:type="dxa"/>
            <w:vAlign w:val="center"/>
          </w:tcPr>
          <w:p>
            <w:pPr>
              <w:pStyle w:val="13"/>
            </w:pPr>
          </w:p>
        </w:tc>
        <w:tc>
          <w:tcPr>
            <w:tcW w:w="1361" w:type="dxa"/>
            <w:vAlign w:val="center"/>
          </w:tcPr>
          <w:p>
            <w:pPr>
              <w:pStyle w:val="13"/>
            </w:pPr>
            <w:r>
              <w:t>53.00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2010608</w:t>
            </w:r>
          </w:p>
        </w:tc>
        <w:tc>
          <w:tcPr>
            <w:tcW w:w="4535" w:type="dxa"/>
            <w:vAlign w:val="center"/>
          </w:tcPr>
          <w:p>
            <w:pPr>
              <w:pStyle w:val="14"/>
            </w:pPr>
            <w:r>
              <w:t>财政委托业务支出</w:t>
            </w:r>
          </w:p>
        </w:tc>
        <w:tc>
          <w:tcPr>
            <w:tcW w:w="1361" w:type="dxa"/>
            <w:vAlign w:val="center"/>
          </w:tcPr>
          <w:p>
            <w:pPr>
              <w:pStyle w:val="13"/>
            </w:pPr>
            <w:r>
              <w:t>345.00</w:t>
            </w:r>
          </w:p>
        </w:tc>
        <w:tc>
          <w:tcPr>
            <w:tcW w:w="1361" w:type="dxa"/>
            <w:vAlign w:val="center"/>
          </w:tcPr>
          <w:p>
            <w:pPr>
              <w:pStyle w:val="13"/>
            </w:pPr>
          </w:p>
        </w:tc>
        <w:tc>
          <w:tcPr>
            <w:tcW w:w="1361" w:type="dxa"/>
            <w:vAlign w:val="center"/>
          </w:tcPr>
          <w:p>
            <w:pPr>
              <w:pStyle w:val="13"/>
            </w:pPr>
            <w:r>
              <w:t>345.00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2010699</w:t>
            </w:r>
          </w:p>
        </w:tc>
        <w:tc>
          <w:tcPr>
            <w:tcW w:w="4535" w:type="dxa"/>
            <w:vAlign w:val="center"/>
          </w:tcPr>
          <w:p>
            <w:pPr>
              <w:pStyle w:val="14"/>
            </w:pPr>
            <w:r>
              <w:t>其他财政事务支出</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42.94</w:t>
            </w:r>
          </w:p>
        </w:tc>
        <w:tc>
          <w:tcPr>
            <w:tcW w:w="1361" w:type="dxa"/>
            <w:vAlign w:val="center"/>
          </w:tcPr>
          <w:p>
            <w:pPr>
              <w:pStyle w:val="13"/>
            </w:pPr>
            <w:r>
              <w:t>42.94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42.94</w:t>
            </w:r>
          </w:p>
        </w:tc>
        <w:tc>
          <w:tcPr>
            <w:tcW w:w="1361" w:type="dxa"/>
            <w:vAlign w:val="center"/>
          </w:tcPr>
          <w:p>
            <w:pPr>
              <w:pStyle w:val="13"/>
            </w:pPr>
            <w:r>
              <w:t>42.94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42.94</w:t>
            </w:r>
          </w:p>
        </w:tc>
        <w:tc>
          <w:tcPr>
            <w:tcW w:w="1361" w:type="dxa"/>
            <w:vAlign w:val="center"/>
          </w:tcPr>
          <w:p>
            <w:pPr>
              <w:pStyle w:val="13"/>
            </w:pPr>
            <w:r>
              <w:t>42.94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21.00</w:t>
            </w:r>
          </w:p>
        </w:tc>
        <w:tc>
          <w:tcPr>
            <w:tcW w:w="1361" w:type="dxa"/>
            <w:vAlign w:val="center"/>
          </w:tcPr>
          <w:p>
            <w:pPr>
              <w:pStyle w:val="13"/>
            </w:pPr>
            <w:r>
              <w:t>21.00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2130199</w:t>
            </w:r>
          </w:p>
        </w:tc>
        <w:tc>
          <w:tcPr>
            <w:tcW w:w="4535" w:type="dxa"/>
            <w:vAlign w:val="center"/>
          </w:tcPr>
          <w:p>
            <w:pPr>
              <w:pStyle w:val="14"/>
            </w:pPr>
            <w:r>
              <w:t>其他农业农村支出</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2130799</w:t>
            </w:r>
          </w:p>
        </w:tc>
        <w:tc>
          <w:tcPr>
            <w:tcW w:w="4535" w:type="dxa"/>
            <w:vAlign w:val="center"/>
          </w:tcPr>
          <w:p>
            <w:pPr>
              <w:pStyle w:val="14"/>
            </w:pPr>
            <w:r>
              <w:t>其他农村综合改革支出</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36.49</w:t>
            </w:r>
          </w:p>
        </w:tc>
        <w:tc>
          <w:tcPr>
            <w:tcW w:w="1361" w:type="dxa"/>
            <w:vAlign w:val="center"/>
          </w:tcPr>
          <w:p>
            <w:pPr>
              <w:pStyle w:val="13"/>
            </w:pPr>
            <w:r>
              <w:t>36.49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36.49</w:t>
            </w:r>
          </w:p>
        </w:tc>
        <w:tc>
          <w:tcPr>
            <w:tcW w:w="1361" w:type="dxa"/>
            <w:vAlign w:val="center"/>
          </w:tcPr>
          <w:p>
            <w:pPr>
              <w:pStyle w:val="13"/>
            </w:pPr>
            <w:r>
              <w:t>36.49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36.49</w:t>
            </w:r>
          </w:p>
        </w:tc>
        <w:tc>
          <w:tcPr>
            <w:tcW w:w="1361" w:type="dxa"/>
            <w:vAlign w:val="center"/>
          </w:tcPr>
          <w:p>
            <w:pPr>
              <w:pStyle w:val="13"/>
            </w:pPr>
            <w:r>
              <w:t>36.49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1138.34</w:t>
            </w:r>
          </w:p>
        </w:tc>
        <w:tc>
          <w:tcPr>
            <w:tcW w:w="3402" w:type="dxa"/>
            <w:vAlign w:val="center"/>
          </w:tcPr>
          <w:p>
            <w:pPr>
              <w:pStyle w:val="14"/>
            </w:pPr>
            <w:r>
              <w:t>一、一般公共服务支出</w:t>
            </w:r>
          </w:p>
        </w:tc>
        <w:tc>
          <w:tcPr>
            <w:tcW w:w="1474" w:type="dxa"/>
            <w:vAlign w:val="center"/>
          </w:tcPr>
          <w:p>
            <w:pPr>
              <w:pStyle w:val="13"/>
            </w:pPr>
            <w:r>
              <w:t>1011.90</w:t>
            </w:r>
          </w:p>
        </w:tc>
        <w:tc>
          <w:tcPr>
            <w:tcW w:w="1474" w:type="dxa"/>
            <w:vAlign w:val="center"/>
          </w:tcPr>
          <w:p>
            <w:pPr>
              <w:pStyle w:val="13"/>
            </w:pPr>
            <w:r>
              <w:t>1011.90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42.94</w:t>
            </w:r>
          </w:p>
        </w:tc>
        <w:tc>
          <w:tcPr>
            <w:tcW w:w="1474" w:type="dxa"/>
            <w:vAlign w:val="center"/>
          </w:tcPr>
          <w:p>
            <w:pPr>
              <w:pStyle w:val="13"/>
            </w:pPr>
            <w:r>
              <w:t>42.94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21.00</w:t>
            </w:r>
          </w:p>
        </w:tc>
        <w:tc>
          <w:tcPr>
            <w:tcW w:w="1474" w:type="dxa"/>
            <w:vAlign w:val="center"/>
          </w:tcPr>
          <w:p>
            <w:pPr>
              <w:pStyle w:val="13"/>
            </w:pPr>
            <w:r>
              <w:t>21.00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26.00</w:t>
            </w:r>
          </w:p>
        </w:tc>
        <w:tc>
          <w:tcPr>
            <w:tcW w:w="1474" w:type="dxa"/>
            <w:vAlign w:val="center"/>
          </w:tcPr>
          <w:p>
            <w:pPr>
              <w:pStyle w:val="13"/>
            </w:pPr>
            <w:r>
              <w:t>26.00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36.49</w:t>
            </w:r>
          </w:p>
        </w:tc>
        <w:tc>
          <w:tcPr>
            <w:tcW w:w="1474" w:type="dxa"/>
            <w:vAlign w:val="center"/>
          </w:tcPr>
          <w:p>
            <w:pPr>
              <w:pStyle w:val="13"/>
            </w:pPr>
            <w:r>
              <w:t>36.49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二十六、年初预留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1138.34</w:t>
            </w:r>
          </w:p>
        </w:tc>
        <w:tc>
          <w:tcPr>
            <w:tcW w:w="3402" w:type="dxa"/>
            <w:vAlign w:val="center"/>
          </w:tcPr>
          <w:p>
            <w:pPr>
              <w:pStyle w:val="16"/>
            </w:pPr>
            <w:r>
              <w:t>本年支出合计</w:t>
            </w:r>
          </w:p>
        </w:tc>
        <w:tc>
          <w:tcPr>
            <w:tcW w:w="1474" w:type="dxa"/>
            <w:vAlign w:val="center"/>
          </w:tcPr>
          <w:p>
            <w:pPr>
              <w:pStyle w:val="17"/>
            </w:pPr>
            <w:r>
              <w:t>1138.34</w:t>
            </w:r>
          </w:p>
        </w:tc>
        <w:tc>
          <w:tcPr>
            <w:tcW w:w="1474" w:type="dxa"/>
            <w:vAlign w:val="center"/>
          </w:tcPr>
          <w:p>
            <w:pPr>
              <w:pStyle w:val="17"/>
            </w:pPr>
            <w:r>
              <w:t>1138.34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1138.34</w:t>
            </w:r>
          </w:p>
        </w:tc>
        <w:tc>
          <w:tcPr>
            <w:tcW w:w="3402" w:type="dxa"/>
            <w:vAlign w:val="center"/>
          </w:tcPr>
          <w:p>
            <w:pPr>
              <w:pStyle w:val="16"/>
            </w:pPr>
            <w:r>
              <w:t>支出总计</w:t>
            </w:r>
          </w:p>
        </w:tc>
        <w:tc>
          <w:tcPr>
            <w:tcW w:w="1474" w:type="dxa"/>
            <w:vAlign w:val="center"/>
          </w:tcPr>
          <w:p>
            <w:pPr>
              <w:pStyle w:val="17"/>
            </w:pPr>
            <w:r>
              <w:t>1138.34</w:t>
            </w:r>
          </w:p>
        </w:tc>
        <w:tc>
          <w:tcPr>
            <w:tcW w:w="1474" w:type="dxa"/>
            <w:vAlign w:val="center"/>
          </w:tcPr>
          <w:p>
            <w:pPr>
              <w:pStyle w:val="17"/>
            </w:pPr>
            <w:r>
              <w:t>1138.34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1138.34</w:t>
            </w:r>
          </w:p>
        </w:tc>
        <w:tc>
          <w:tcPr>
            <w:tcW w:w="2551" w:type="dxa"/>
            <w:vAlign w:val="center"/>
          </w:tcPr>
          <w:p>
            <w:pPr>
              <w:pStyle w:val="17"/>
            </w:pPr>
            <w:r>
              <w:t>528.45</w:t>
            </w:r>
          </w:p>
        </w:tc>
        <w:tc>
          <w:tcPr>
            <w:tcW w:w="2551" w:type="dxa"/>
            <w:vAlign w:val="center"/>
          </w:tcPr>
          <w:p>
            <w:pPr>
              <w:pStyle w:val="17"/>
            </w:pPr>
            <w:r>
              <w:t>609.89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1011.90</w:t>
            </w:r>
          </w:p>
        </w:tc>
        <w:tc>
          <w:tcPr>
            <w:tcW w:w="2551" w:type="dxa"/>
            <w:vAlign w:val="center"/>
          </w:tcPr>
          <w:p>
            <w:pPr>
              <w:pStyle w:val="13"/>
            </w:pPr>
            <w:r>
              <w:t>428.01</w:t>
            </w:r>
          </w:p>
        </w:tc>
        <w:tc>
          <w:tcPr>
            <w:tcW w:w="2551" w:type="dxa"/>
            <w:vAlign w:val="center"/>
          </w:tcPr>
          <w:p>
            <w:pPr>
              <w:pStyle w:val="13"/>
            </w:pPr>
            <w:r>
              <w:t>583.89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20106</w:t>
            </w:r>
          </w:p>
        </w:tc>
        <w:tc>
          <w:tcPr>
            <w:tcW w:w="4535" w:type="dxa"/>
            <w:vAlign w:val="center"/>
          </w:tcPr>
          <w:p>
            <w:pPr>
              <w:pStyle w:val="14"/>
            </w:pPr>
            <w:r>
              <w:t>财政事务</w:t>
            </w:r>
          </w:p>
        </w:tc>
        <w:tc>
          <w:tcPr>
            <w:tcW w:w="2551" w:type="dxa"/>
            <w:vAlign w:val="center"/>
          </w:tcPr>
          <w:p>
            <w:pPr>
              <w:pStyle w:val="13"/>
            </w:pPr>
            <w:r>
              <w:t>1011.90</w:t>
            </w:r>
          </w:p>
        </w:tc>
        <w:tc>
          <w:tcPr>
            <w:tcW w:w="2551" w:type="dxa"/>
            <w:vAlign w:val="center"/>
          </w:tcPr>
          <w:p>
            <w:pPr>
              <w:pStyle w:val="13"/>
            </w:pPr>
            <w:r>
              <w:t>428.01</w:t>
            </w:r>
          </w:p>
        </w:tc>
        <w:tc>
          <w:tcPr>
            <w:tcW w:w="2551" w:type="dxa"/>
            <w:vAlign w:val="center"/>
          </w:tcPr>
          <w:p>
            <w:pPr>
              <w:pStyle w:val="13"/>
            </w:pPr>
            <w:r>
              <w:t>583.89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2010601</w:t>
            </w:r>
          </w:p>
        </w:tc>
        <w:tc>
          <w:tcPr>
            <w:tcW w:w="4535" w:type="dxa"/>
            <w:vAlign w:val="center"/>
          </w:tcPr>
          <w:p>
            <w:pPr>
              <w:pStyle w:val="14"/>
            </w:pPr>
            <w:r>
              <w:t>行政运行</w:t>
            </w:r>
          </w:p>
        </w:tc>
        <w:tc>
          <w:tcPr>
            <w:tcW w:w="2551" w:type="dxa"/>
            <w:vAlign w:val="center"/>
          </w:tcPr>
          <w:p>
            <w:pPr>
              <w:pStyle w:val="13"/>
            </w:pPr>
            <w:r>
              <w:t>428.01</w:t>
            </w:r>
          </w:p>
        </w:tc>
        <w:tc>
          <w:tcPr>
            <w:tcW w:w="2551" w:type="dxa"/>
            <w:vAlign w:val="center"/>
          </w:tcPr>
          <w:p>
            <w:pPr>
              <w:pStyle w:val="13"/>
            </w:pPr>
            <w:r>
              <w:t>428.01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2010602</w:t>
            </w:r>
          </w:p>
        </w:tc>
        <w:tc>
          <w:tcPr>
            <w:tcW w:w="4535" w:type="dxa"/>
            <w:vAlign w:val="center"/>
          </w:tcPr>
          <w:p>
            <w:pPr>
              <w:pStyle w:val="14"/>
            </w:pPr>
            <w:r>
              <w:t>一般行政管理事务</w:t>
            </w:r>
          </w:p>
        </w:tc>
        <w:tc>
          <w:tcPr>
            <w:tcW w:w="2551" w:type="dxa"/>
            <w:vAlign w:val="center"/>
          </w:tcPr>
          <w:p>
            <w:pPr>
              <w:pStyle w:val="13"/>
            </w:pPr>
            <w:r>
              <w:t>155.89</w:t>
            </w:r>
          </w:p>
        </w:tc>
        <w:tc>
          <w:tcPr>
            <w:tcW w:w="2551" w:type="dxa"/>
            <w:vAlign w:val="center"/>
          </w:tcPr>
          <w:p>
            <w:pPr>
              <w:pStyle w:val="13"/>
            </w:pPr>
          </w:p>
        </w:tc>
        <w:tc>
          <w:tcPr>
            <w:tcW w:w="2551" w:type="dxa"/>
            <w:vAlign w:val="center"/>
          </w:tcPr>
          <w:p>
            <w:pPr>
              <w:pStyle w:val="13"/>
            </w:pPr>
            <w:r>
              <w:t>155.89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2010607</w:t>
            </w:r>
          </w:p>
        </w:tc>
        <w:tc>
          <w:tcPr>
            <w:tcW w:w="4535" w:type="dxa"/>
            <w:vAlign w:val="center"/>
          </w:tcPr>
          <w:p>
            <w:pPr>
              <w:pStyle w:val="14"/>
            </w:pPr>
            <w:r>
              <w:t>信息化建设</w:t>
            </w:r>
          </w:p>
        </w:tc>
        <w:tc>
          <w:tcPr>
            <w:tcW w:w="2551" w:type="dxa"/>
            <w:vAlign w:val="center"/>
          </w:tcPr>
          <w:p>
            <w:pPr>
              <w:pStyle w:val="13"/>
            </w:pPr>
            <w:r>
              <w:t>53.00</w:t>
            </w:r>
          </w:p>
        </w:tc>
        <w:tc>
          <w:tcPr>
            <w:tcW w:w="2551" w:type="dxa"/>
            <w:vAlign w:val="center"/>
          </w:tcPr>
          <w:p>
            <w:pPr>
              <w:pStyle w:val="13"/>
            </w:pPr>
          </w:p>
        </w:tc>
        <w:tc>
          <w:tcPr>
            <w:tcW w:w="2551" w:type="dxa"/>
            <w:vAlign w:val="center"/>
          </w:tcPr>
          <w:p>
            <w:pPr>
              <w:pStyle w:val="13"/>
            </w:pPr>
            <w:r>
              <w:t>53.00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2010608</w:t>
            </w:r>
          </w:p>
        </w:tc>
        <w:tc>
          <w:tcPr>
            <w:tcW w:w="4535" w:type="dxa"/>
            <w:vAlign w:val="center"/>
          </w:tcPr>
          <w:p>
            <w:pPr>
              <w:pStyle w:val="14"/>
            </w:pPr>
            <w:r>
              <w:t>财政委托业务支出</w:t>
            </w:r>
          </w:p>
        </w:tc>
        <w:tc>
          <w:tcPr>
            <w:tcW w:w="2551" w:type="dxa"/>
            <w:vAlign w:val="center"/>
          </w:tcPr>
          <w:p>
            <w:pPr>
              <w:pStyle w:val="13"/>
            </w:pPr>
            <w:r>
              <w:t>345.00</w:t>
            </w:r>
          </w:p>
        </w:tc>
        <w:tc>
          <w:tcPr>
            <w:tcW w:w="2551" w:type="dxa"/>
            <w:vAlign w:val="center"/>
          </w:tcPr>
          <w:p>
            <w:pPr>
              <w:pStyle w:val="13"/>
            </w:pPr>
          </w:p>
        </w:tc>
        <w:tc>
          <w:tcPr>
            <w:tcW w:w="2551" w:type="dxa"/>
            <w:vAlign w:val="center"/>
          </w:tcPr>
          <w:p>
            <w:pPr>
              <w:pStyle w:val="13"/>
            </w:pPr>
            <w:r>
              <w:t>345.00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2010699</w:t>
            </w:r>
          </w:p>
        </w:tc>
        <w:tc>
          <w:tcPr>
            <w:tcW w:w="4535" w:type="dxa"/>
            <w:vAlign w:val="center"/>
          </w:tcPr>
          <w:p>
            <w:pPr>
              <w:pStyle w:val="14"/>
            </w:pPr>
            <w:r>
              <w:t>其他财政事务支出</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26.00</w:t>
            </w:r>
          </w:p>
        </w:tc>
        <w:tc>
          <w:tcPr>
            <w:tcW w:w="2551" w:type="dxa"/>
            <w:vAlign w:val="center"/>
          </w:tcPr>
          <w:p>
            <w:pPr>
              <w:pStyle w:val="13"/>
            </w:pPr>
          </w:p>
        </w:tc>
        <w:tc>
          <w:tcPr>
            <w:tcW w:w="2551"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2130199</w:t>
            </w:r>
          </w:p>
        </w:tc>
        <w:tc>
          <w:tcPr>
            <w:tcW w:w="4535" w:type="dxa"/>
            <w:vAlign w:val="center"/>
          </w:tcPr>
          <w:p>
            <w:pPr>
              <w:pStyle w:val="14"/>
            </w:pPr>
            <w:r>
              <w:t>其他农业农村支出</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2130799</w:t>
            </w:r>
          </w:p>
        </w:tc>
        <w:tc>
          <w:tcPr>
            <w:tcW w:w="4535" w:type="dxa"/>
            <w:vAlign w:val="center"/>
          </w:tcPr>
          <w:p>
            <w:pPr>
              <w:pStyle w:val="14"/>
            </w:pPr>
            <w:r>
              <w:t>其他农村综合改革支出</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528.45</w:t>
            </w:r>
          </w:p>
        </w:tc>
        <w:tc>
          <w:tcPr>
            <w:tcW w:w="2551" w:type="dxa"/>
            <w:vAlign w:val="center"/>
          </w:tcPr>
          <w:p>
            <w:pPr>
              <w:pStyle w:val="17"/>
            </w:pPr>
            <w:r>
              <w:t>478.41</w:t>
            </w:r>
          </w:p>
        </w:tc>
        <w:tc>
          <w:tcPr>
            <w:tcW w:w="2551" w:type="dxa"/>
            <w:vAlign w:val="center"/>
          </w:tcPr>
          <w:p>
            <w:pPr>
              <w:pStyle w:val="17"/>
            </w:pPr>
            <w:r>
              <w:t>50.04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470.21</w:t>
            </w:r>
          </w:p>
        </w:tc>
        <w:tc>
          <w:tcPr>
            <w:tcW w:w="2551" w:type="dxa"/>
            <w:vAlign w:val="center"/>
          </w:tcPr>
          <w:p>
            <w:pPr>
              <w:pStyle w:val="13"/>
            </w:pPr>
            <w:r>
              <w:t>470.21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187.93</w:t>
            </w:r>
          </w:p>
        </w:tc>
        <w:tc>
          <w:tcPr>
            <w:tcW w:w="2551" w:type="dxa"/>
            <w:vAlign w:val="center"/>
          </w:tcPr>
          <w:p>
            <w:pPr>
              <w:pStyle w:val="13"/>
            </w:pPr>
            <w:r>
              <w:t>187.93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131.17</w:t>
            </w:r>
          </w:p>
        </w:tc>
        <w:tc>
          <w:tcPr>
            <w:tcW w:w="2551" w:type="dxa"/>
            <w:vAlign w:val="center"/>
          </w:tcPr>
          <w:p>
            <w:pPr>
              <w:pStyle w:val="13"/>
            </w:pPr>
            <w:r>
              <w:t>131.17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15.66</w:t>
            </w:r>
          </w:p>
        </w:tc>
        <w:tc>
          <w:tcPr>
            <w:tcW w:w="2551" w:type="dxa"/>
            <w:vAlign w:val="center"/>
          </w:tcPr>
          <w:p>
            <w:pPr>
              <w:pStyle w:val="13"/>
            </w:pPr>
            <w:r>
              <w:t>15.66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33.88</w:t>
            </w:r>
          </w:p>
        </w:tc>
        <w:tc>
          <w:tcPr>
            <w:tcW w:w="2551" w:type="dxa"/>
            <w:vAlign w:val="center"/>
          </w:tcPr>
          <w:p>
            <w:pPr>
              <w:pStyle w:val="13"/>
            </w:pPr>
            <w:r>
              <w:t>33.88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42.94</w:t>
            </w:r>
          </w:p>
        </w:tc>
        <w:tc>
          <w:tcPr>
            <w:tcW w:w="2551" w:type="dxa"/>
            <w:vAlign w:val="center"/>
          </w:tcPr>
          <w:p>
            <w:pPr>
              <w:pStyle w:val="13"/>
            </w:pPr>
            <w:r>
              <w:t>42.94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21.00</w:t>
            </w:r>
          </w:p>
        </w:tc>
        <w:tc>
          <w:tcPr>
            <w:tcW w:w="2551" w:type="dxa"/>
            <w:vAlign w:val="center"/>
          </w:tcPr>
          <w:p>
            <w:pPr>
              <w:pStyle w:val="13"/>
            </w:pPr>
            <w:r>
              <w:t>21.00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1.14</w:t>
            </w:r>
          </w:p>
        </w:tc>
        <w:tc>
          <w:tcPr>
            <w:tcW w:w="2551" w:type="dxa"/>
            <w:vAlign w:val="center"/>
          </w:tcPr>
          <w:p>
            <w:pPr>
              <w:pStyle w:val="13"/>
            </w:pPr>
            <w:r>
              <w:t>1.14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36.49</w:t>
            </w:r>
          </w:p>
        </w:tc>
        <w:tc>
          <w:tcPr>
            <w:tcW w:w="2551" w:type="dxa"/>
            <w:vAlign w:val="center"/>
          </w:tcPr>
          <w:p>
            <w:pPr>
              <w:pStyle w:val="13"/>
            </w:pPr>
            <w:r>
              <w:t>36.49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50.04</w:t>
            </w:r>
          </w:p>
        </w:tc>
        <w:tc>
          <w:tcPr>
            <w:tcW w:w="2551" w:type="dxa"/>
            <w:vAlign w:val="center"/>
          </w:tcPr>
          <w:p>
            <w:pPr>
              <w:pStyle w:val="13"/>
            </w:pPr>
          </w:p>
        </w:tc>
        <w:tc>
          <w:tcPr>
            <w:tcW w:w="2551" w:type="dxa"/>
            <w:vAlign w:val="center"/>
          </w:tcPr>
          <w:p>
            <w:pPr>
              <w:pStyle w:val="13"/>
            </w:pPr>
            <w:r>
              <w:t>50.04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6.72</w:t>
            </w:r>
          </w:p>
        </w:tc>
        <w:tc>
          <w:tcPr>
            <w:tcW w:w="2551" w:type="dxa"/>
            <w:vAlign w:val="center"/>
          </w:tcPr>
          <w:p>
            <w:pPr>
              <w:pStyle w:val="13"/>
            </w:pPr>
          </w:p>
        </w:tc>
        <w:tc>
          <w:tcPr>
            <w:tcW w:w="2551" w:type="dxa"/>
            <w:vAlign w:val="center"/>
          </w:tcPr>
          <w:p>
            <w:pPr>
              <w:pStyle w:val="13"/>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30214</w:t>
            </w:r>
          </w:p>
        </w:tc>
        <w:tc>
          <w:tcPr>
            <w:tcW w:w="4535" w:type="dxa"/>
            <w:vAlign w:val="center"/>
          </w:tcPr>
          <w:p>
            <w:pPr>
              <w:pStyle w:val="14"/>
            </w:pPr>
            <w:r>
              <w:t>租赁费</w:t>
            </w:r>
          </w:p>
        </w:tc>
        <w:tc>
          <w:tcPr>
            <w:tcW w:w="2551" w:type="dxa"/>
            <w:vAlign w:val="center"/>
          </w:tcPr>
          <w:p>
            <w:pPr>
              <w:pStyle w:val="13"/>
            </w:pPr>
            <w:r>
              <w:t>4.20</w:t>
            </w:r>
          </w:p>
        </w:tc>
        <w:tc>
          <w:tcPr>
            <w:tcW w:w="2551" w:type="dxa"/>
            <w:vAlign w:val="center"/>
          </w:tcPr>
          <w:p>
            <w:pPr>
              <w:pStyle w:val="13"/>
            </w:pPr>
          </w:p>
        </w:tc>
        <w:tc>
          <w:tcPr>
            <w:tcW w:w="2551" w:type="dxa"/>
            <w:vAlign w:val="center"/>
          </w:tcPr>
          <w:p>
            <w:pPr>
              <w:pStyle w:val="13"/>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1.70</w:t>
            </w:r>
          </w:p>
        </w:tc>
        <w:tc>
          <w:tcPr>
            <w:tcW w:w="2551" w:type="dxa"/>
            <w:vAlign w:val="center"/>
          </w:tcPr>
          <w:p>
            <w:pPr>
              <w:pStyle w:val="13"/>
            </w:pPr>
          </w:p>
        </w:tc>
        <w:tc>
          <w:tcPr>
            <w:tcW w:w="2551"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0.96</w:t>
            </w:r>
          </w:p>
        </w:tc>
        <w:tc>
          <w:tcPr>
            <w:tcW w:w="2551" w:type="dxa"/>
            <w:vAlign w:val="center"/>
          </w:tcPr>
          <w:p>
            <w:pPr>
              <w:pStyle w:val="13"/>
            </w:pPr>
          </w:p>
        </w:tc>
        <w:tc>
          <w:tcPr>
            <w:tcW w:w="2551" w:type="dxa"/>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6.96</w:t>
            </w:r>
          </w:p>
        </w:tc>
        <w:tc>
          <w:tcPr>
            <w:tcW w:w="2551" w:type="dxa"/>
            <w:vAlign w:val="center"/>
          </w:tcPr>
          <w:p>
            <w:pPr>
              <w:pStyle w:val="13"/>
            </w:pPr>
          </w:p>
        </w:tc>
        <w:tc>
          <w:tcPr>
            <w:tcW w:w="2551" w:type="dxa"/>
            <w:vAlign w:val="center"/>
          </w:tcPr>
          <w:p>
            <w:pPr>
              <w:pStyle w:val="13"/>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26.04</w:t>
            </w:r>
          </w:p>
        </w:tc>
        <w:tc>
          <w:tcPr>
            <w:tcW w:w="2551" w:type="dxa"/>
            <w:vAlign w:val="center"/>
          </w:tcPr>
          <w:p>
            <w:pPr>
              <w:pStyle w:val="13"/>
            </w:pPr>
          </w:p>
        </w:tc>
        <w:tc>
          <w:tcPr>
            <w:tcW w:w="2551" w:type="dxa"/>
            <w:vAlign w:val="center"/>
          </w:tcPr>
          <w:p>
            <w:pPr>
              <w:pStyle w:val="13"/>
            </w:pPr>
            <w:r>
              <w:t>26.04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0.96</w:t>
            </w:r>
          </w:p>
        </w:tc>
        <w:tc>
          <w:tcPr>
            <w:tcW w:w="2551" w:type="dxa"/>
            <w:vAlign w:val="center"/>
          </w:tcPr>
          <w:p>
            <w:pPr>
              <w:pStyle w:val="13"/>
            </w:pPr>
          </w:p>
        </w:tc>
        <w:tc>
          <w:tcPr>
            <w:tcW w:w="2551" w:type="dxa"/>
            <w:vAlign w:val="center"/>
          </w:tcPr>
          <w:p>
            <w:pPr>
              <w:pStyle w:val="13"/>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8.19</w:t>
            </w:r>
          </w:p>
        </w:tc>
        <w:tc>
          <w:tcPr>
            <w:tcW w:w="2551" w:type="dxa"/>
            <w:vAlign w:val="center"/>
          </w:tcPr>
          <w:p>
            <w:pPr>
              <w:pStyle w:val="13"/>
            </w:pPr>
            <w:r>
              <w:t>8.19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0.36</w:t>
            </w:r>
          </w:p>
        </w:tc>
        <w:tc>
          <w:tcPr>
            <w:tcW w:w="2551" w:type="dxa"/>
            <w:vAlign w:val="center"/>
          </w:tcPr>
          <w:p>
            <w:pPr>
              <w:pStyle w:val="13"/>
            </w:pPr>
            <w:r>
              <w:t>0.36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318隆尧县财政局</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27.70</w:t>
            </w:r>
          </w:p>
        </w:tc>
        <w:tc>
          <w:tcPr>
            <w:tcW w:w="2381" w:type="dxa"/>
            <w:vAlign w:val="center"/>
          </w:tcPr>
          <w:p>
            <w:pPr>
              <w:pStyle w:val="17"/>
            </w:pPr>
            <w:r>
              <w:t>27.70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1.70</w:t>
            </w:r>
          </w:p>
        </w:tc>
        <w:tc>
          <w:tcPr>
            <w:tcW w:w="2381" w:type="dxa"/>
            <w:vAlign w:val="center"/>
          </w:tcPr>
          <w:p>
            <w:pPr>
              <w:pStyle w:val="13"/>
            </w:pPr>
            <w:r>
              <w:t>1.70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r>
              <w:t>1.70</w:t>
            </w:r>
          </w:p>
        </w:tc>
        <w:tc>
          <w:tcPr>
            <w:tcW w:w="2381" w:type="dxa"/>
            <w:vAlign w:val="center"/>
          </w:tcPr>
          <w:p>
            <w:pPr>
              <w:pStyle w:val="13"/>
            </w:pPr>
            <w:r>
              <w:t>1.70</w:t>
            </w: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隆尧县财政局2022年部门预算信息公开情况说明</w:t>
      </w:r>
    </w:p>
    <w:p>
      <w:pPr>
        <w:jc w:val="center"/>
      </w:pPr>
      <w:r>
        <w:rPr>
          <w:rFonts w:ascii="方正小标宋_GBK" w:hAnsi="方正小标宋_GBK" w:eastAsia="方正小标宋_GBK" w:cs="方正小标宋_GBK"/>
          <w:color w:val="000000"/>
          <w:sz w:val="44"/>
        </w:rPr>
        <w:t>隆尧县财政局2022年部门预算信息公开情况说明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按照《预算法》、《地方预决算公开操作规程》和《关于进一步推进预算公开工作的实施意见》规定，现将隆尧县财政局2022年部门预算公开如下：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1、拟订财税发展战略、规划、政策和改革方案并组织实施。分析预测宏观经济形勢,参与制定各项宏观经济政策,提出运用财税政策实施宏观调控和综合平衡社会财力的建议。拟定县级与乡镇、政府与企业的分配政策,完善鼓励公益事业发展的财税政策。</w:t>
      </w:r>
    </w:p>
    <w:p>
      <w:pPr>
        <w:pStyle w:val="19"/>
      </w:pPr>
      <w:r>
        <w:t>2、贯彻执行财政、财务、会计管理的法律、行政法规、规章,在国家和省市授权范围内,起草相关的地方性法规、政府规章草案,并监督执行。</w:t>
      </w:r>
    </w:p>
    <w:p>
      <w:pPr>
        <w:pStyle w:val="19"/>
      </w:pPr>
      <w:r>
        <w:t>3、负责管理全县各项财政收支。编制年度县级预决算草案并组织执行,汇编全县年度预决算草案。组织制定经费开支标准、定额,审核批复部门(单位)年度预决算受县政府委托，向县人民代表大会及其常委会报告全县预算、执行和决算等情况。负责县级财政预决算公开。</w:t>
      </w:r>
    </w:p>
    <w:p>
      <w:pPr>
        <w:pStyle w:val="19"/>
      </w:pPr>
      <w:r>
        <w:t>4、承担财政体制管理的工作。负责拟订全县财政管理体制。</w:t>
      </w:r>
    </w:p>
    <w:p>
      <w:pPr>
        <w:pStyle w:val="19"/>
      </w:pPr>
      <w:r>
        <w:t>5、负责执行省制定的税收地方性法规、政府规章及实施细则和税收调整方案。提出省、市授权税目税率调整、减免和地方税收政策等重大事项的建议，对地方承担出口退税事务实施监管，监督检查税收政策的执行情况。组织推进税收制度改革。</w:t>
      </w:r>
    </w:p>
    <w:p>
      <w:pPr>
        <w:pStyle w:val="19"/>
      </w:pPr>
      <w:r>
        <w:t>6、按分工负责政府非税收入管理。负责政府性基金管理, 按规定管理行政事业性收费。管理财政票据。制定彩票管理政策和有关办法，按规定管理彩票资金。</w:t>
      </w:r>
    </w:p>
    <w:p>
      <w:pPr>
        <w:pStyle w:val="19"/>
      </w:pPr>
      <w:r>
        <w:t>7、承担财政国库管理的工作。研究制定国库管理制度、国库集中收付制度并组织实施。指导和监督全县国库业务，按规定开展国库现金管理。制定政府财务报告编制办法并组织实施。</w:t>
      </w:r>
    </w:p>
    <w:p>
      <w:pPr>
        <w:pStyle w:val="19"/>
      </w:pPr>
      <w:r>
        <w:t>8、负责执行政府债务管理制度和政策。编制县级政府债务预算，统筹债务资金安排使用，安排调度偿债资金。做好政府债务管理等工作。执行国家外债管理的政策，拟订具体实施办法,管理县政府的国内外债权、债务。开展对外财经交流。</w:t>
      </w:r>
    </w:p>
    <w:p>
      <w:pPr>
        <w:pStyle w:val="19"/>
      </w:pPr>
      <w:r>
        <w:t>9、负责制定政府采购政策、制度并组织实施。监督检查政府釆购活动。</w:t>
      </w:r>
    </w:p>
    <w:p>
      <w:pPr>
        <w:pStyle w:val="19"/>
      </w:pPr>
      <w:r>
        <w:t>10、负责制定行政事业单位国有资产管理规章制度，以及县委、县政府直属企事业单位和县直部门所属企事业单位的国有资产监督管理，制定需要全县统一规定的开支标准和支出政策。</w:t>
      </w:r>
    </w:p>
    <w:p>
      <w:pPr>
        <w:pStyle w:val="19"/>
      </w:pPr>
      <w:r>
        <w:t>11、负责审核并汇总编制全县国有资本经营预决算草案，组织实施国有资本经营预算的制度，制定具体办法，收取全县企业国有资本收益。组织实施企业财务制度及企业财务会计报告编制等工作。</w:t>
      </w:r>
    </w:p>
    <w:p>
      <w:pPr>
        <w:pStyle w:val="19"/>
      </w:pPr>
      <w:r>
        <w:t>12、负责审核并汇总编制全县社会保险基金预决算草案，会同有关部门拟订社会保障资金（基金〉的财务管理制度并组织实施。承担社会保险基金财政监管工作。</w:t>
      </w:r>
    </w:p>
    <w:p>
      <w:pPr>
        <w:pStyle w:val="19"/>
      </w:pPr>
      <w:r>
        <w:t>13、负责办理和监督全县财政的经济社会发展支出、全县投资项目的财政拨款，参与拟订全县建设投资的有关政策，制定基建财务管理制度。负责财政预算评审管理。</w:t>
      </w:r>
    </w:p>
    <w:p>
      <w:pPr>
        <w:pStyle w:val="19"/>
      </w:pPr>
      <w:r>
        <w:t>14、负责管理全县会计工作，监督和规范会计行为，组织实施国家统一的会计制度，指导和监督注册会计师和会计事务所的业务，指导和管理社会审计。依法管理资产评估有关工作。</w:t>
      </w:r>
    </w:p>
    <w:p>
      <w:pPr>
        <w:pStyle w:val="19"/>
      </w:pPr>
      <w:r>
        <w:t>15、监督检查财税法规、政策的执行情况，反映财政收支管理中的重大问题。</w:t>
      </w:r>
    </w:p>
    <w:p>
      <w:pPr>
        <w:pStyle w:val="19"/>
      </w:pPr>
      <w:r>
        <w:t>16、组织财务人员培训，负责财政信息和财政宣传工作。</w:t>
      </w:r>
    </w:p>
    <w:p>
      <w:pPr>
        <w:pStyle w:val="19"/>
      </w:pPr>
      <w:r>
        <w:t>17、完成县委、县政府交办的其他事项。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隆尧县财政局本级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按照预算管理有关规定，目前我县部门预算的编制实行综合预算管理，即全部收入和支出都反映在预算中。隆尧县财政局机关及所属事业单位的收支包含在部门预算中。</w:t>
      </w:r>
    </w:p>
    <w:p>
      <w:pPr>
        <w:pStyle w:val="20"/>
      </w:pPr>
      <w:r>
        <w:t>1、收入说明</w:t>
      </w:r>
    </w:p>
    <w:p>
      <w:pPr>
        <w:pStyle w:val="20"/>
      </w:pPr>
      <w:r>
        <w:t>反映本部门当年全部收入。2022年预算收入1138.34万元，其中：一般公共预算收入1138.34万元，基金预算收入0万元，财政专户核拨收入0万元，其他来源收入（单位资金）0万元。</w:t>
      </w:r>
    </w:p>
    <w:p>
      <w:pPr>
        <w:pStyle w:val="20"/>
      </w:pPr>
      <w:r>
        <w:t>2、支出说明</w:t>
      </w:r>
    </w:p>
    <w:p>
      <w:pPr>
        <w:pStyle w:val="20"/>
      </w:pPr>
      <w:r>
        <w:t>收支预算总表支出栏、基本支出表、项目支出表按经济分类和支出功能分类科目编制，反映隆尧县财政局年度部门预算中支出预算的总体情况。2022年支出预算1138.34万元，其中基本支出528.45万元，包括人员经费478.41万元和日常公用经费50.04万元；项目支出609.89万元，主要为一般公共服务支出583.89万元，农林水支出26万元。</w:t>
      </w:r>
    </w:p>
    <w:p>
      <w:pPr>
        <w:pStyle w:val="20"/>
      </w:pPr>
      <w:r>
        <w:t>3、比上年增减情况</w:t>
      </w:r>
    </w:p>
    <w:p>
      <w:pPr>
        <w:pStyle w:val="20"/>
      </w:pPr>
      <w:r>
        <w:t>2022年预算收支安排1138.34万元，较2021年年初预算增加256.7万元，其中：基本支出增加120.18万元，主要为增加人员经费支出；项目支出增加136.52万元，主要为财政投资项目评审费增加55万元，资产评估增加100万元。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1"/>
      </w:pPr>
      <w:r>
        <w:t>2022年，我部门局机关运行经费共计安排50.04万元，主要用于保证机关正常运转的办公费、邮电费、福利费、公务交通补贴、工会经费、党组织活动经费、租赁费、公务接待费等支出。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1.7万元，其中：因公出国（境）费0万元；公务用车购置及运维费0万元（其中：公务用车购置费0万元，公务用车运行维护费0万元)；公务接待费1.7万元。与2021年相比减少0.1万元，减少的主要原因是：压减了公务接待费。</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1、保障财政预算按计划执行。</w:t>
      </w:r>
    </w:p>
    <w:p>
      <w:pPr>
        <w:pStyle w:val="23"/>
      </w:pPr>
      <w:r>
        <w:t>2、保障财政各项重点工作按期完成。</w:t>
      </w:r>
    </w:p>
    <w:p>
      <w:pPr>
        <w:spacing w:line="500" w:lineRule="exact"/>
        <w:ind w:firstLine="560"/>
      </w:pPr>
      <w:r>
        <w:rPr>
          <w:rFonts w:eastAsia="方正仿宋_GBK"/>
          <w:color w:val="000000"/>
          <w:sz w:val="28"/>
        </w:rPr>
        <w:t>（二）分项绩效目标</w:t>
      </w:r>
    </w:p>
    <w:p>
      <w:pPr>
        <w:pStyle w:val="24"/>
      </w:pPr>
      <w:r>
        <w:t>（1）保障机关日常运转、信息安全，做好财政系统人才队伍建设，规范业务流程，提升财政政策管理水平，确保国家、省市和县委县政府各项重大决策部署贯彻落实。</w:t>
      </w:r>
    </w:p>
    <w:p>
      <w:pPr>
        <w:pStyle w:val="24"/>
      </w:pPr>
      <w:r>
        <w:t>（2）加强财政资金预算监管，对部门预算调整事项进行审核，做好财政收支分析管理。强化政府债务管理，做好风险预警。规范预算公开程序，扩大预算公开范围，细化公开内容。</w:t>
      </w:r>
    </w:p>
    <w:p>
      <w:pPr>
        <w:pStyle w:val="24"/>
      </w:pPr>
      <w:r>
        <w:t>（3）提高全县预算绩效管理工作整体水平，实现预算绩效挂钩办法，落实资金使用必问效，无效必问责的机制。</w:t>
      </w:r>
    </w:p>
    <w:p>
      <w:pPr>
        <w:pStyle w:val="24"/>
      </w:pPr>
      <w:r>
        <w:t>（4）提升基本财力保障程度，调度全县预算支出进度，盘活财政存量资金。</w:t>
      </w:r>
    </w:p>
    <w:p>
      <w:pPr>
        <w:pStyle w:val="24"/>
      </w:pPr>
      <w:r>
        <w:t>（5）做好全县总决算和部门决算编报工作，及时做好专项资金的拨付核对工作，加强暂存暂付款管理，完善财政专户管理各项规章制度。</w:t>
      </w:r>
    </w:p>
    <w:p>
      <w:pPr>
        <w:pStyle w:val="24"/>
      </w:pPr>
      <w:r>
        <w:t>（6）规范非税收入票据管理，提高收入质量。</w:t>
      </w:r>
    </w:p>
    <w:p>
      <w:pPr>
        <w:pStyle w:val="24"/>
      </w:pPr>
      <w:r>
        <w:t>（7）做好行政事业单位国有资产管理，国有企业改制和整合工作，优化营商环境。</w:t>
      </w:r>
    </w:p>
    <w:p>
      <w:pPr>
        <w:pStyle w:val="24"/>
      </w:pPr>
      <w:r>
        <w:t>（8）履行财政监管职能，对财政投资项目进行评审，降低财政投资风险，提高财政资金使用效率。</w:t>
      </w:r>
    </w:p>
    <w:p>
      <w:pPr>
        <w:pStyle w:val="24"/>
      </w:pPr>
      <w:r>
        <w:t>（9）管理县级财政社会保障和就业及医疗卫生支出，拟订社会保障资金（基金）的财务管理制度，编制县级社会保障预决算草案。</w:t>
      </w:r>
    </w:p>
    <w:p>
      <w:pPr>
        <w:pStyle w:val="24"/>
      </w:pPr>
      <w:r>
        <w:t>（10）支持实施乡村振兴战略，统筹安排财政扶贫资金，管理农村综合改革资金。</w:t>
      </w:r>
    </w:p>
    <w:p>
      <w:pPr>
        <w:pStyle w:val="24"/>
      </w:pPr>
      <w:r>
        <w:t>（11）提升会计人员专业素质和会计培训工作质量，提高农村财会人员专业素质，提升培训的层次和效果。</w:t>
      </w:r>
    </w:p>
    <w:p>
      <w:pPr>
        <w:pStyle w:val="24"/>
      </w:pPr>
      <w:r>
        <w:t>（12）按省级预算管理规定及相关资金管理办法申报、审核和拨付专项资金，按时保质保量完成发放工作。</w:t>
      </w:r>
    </w:p>
    <w:p>
      <w:pPr>
        <w:pStyle w:val="24"/>
      </w:pPr>
      <w:r>
        <w:t>（13）加强对财政部门内部财经制度执行情况的监督检查。</w:t>
      </w:r>
    </w:p>
    <w:p>
      <w:pPr>
        <w:spacing w:line="500" w:lineRule="exact"/>
        <w:ind w:firstLine="560"/>
      </w:pPr>
      <w:r>
        <w:rPr>
          <w:rFonts w:eastAsia="方正仿宋_GBK"/>
          <w:color w:val="000000"/>
          <w:sz w:val="28"/>
        </w:rPr>
        <w:t>（三）工作保障措施</w:t>
      </w:r>
    </w:p>
    <w:p>
      <w:pPr>
        <w:pStyle w:val="25"/>
      </w:pPr>
      <w:r>
        <w:t>1、着力加强财政收支管理。一是确保各项收入及时足额入库，促进财政收入提质增效。二是管好支出，健全财政支出分类调度督导机制，硬化预算刚性约束，严控无预算或超预算支出。</w:t>
      </w:r>
    </w:p>
    <w:p>
      <w:pPr>
        <w:pStyle w:val="25"/>
      </w:pPr>
      <w:r>
        <w:t>2、切实保障和改善民生。一是对县政府确定的2022年民生工程、民生实事等事项，切实强化资金保障，确保各项民生政策全面落实。二是支持就业创业。统筹用好就业补助资金、职业技能提升行动资金、失业保险基金等，着力稳定重点群体就业，促进全县新增就业。三是支持教育事业发展。认真落实财政支持构建优质均衡基础教育服务体系要求，推动农村学前教育全覆盖，做好困难学生资助、职业教育发展等经费保障工作，确保教育投入实现“两个只增不减”。四是加大社会保障。大力支持养老、医疗、基本公共卫生服务、社会福利等事业，切实提升社会保障水平。五是加大生态环境治理保障力度。加强对大气、水、土壤污染治理资金支持力度，特别是保障“双代”、污水治理、造林绿化等，助推打赢蓝天碧水净土保卫战。</w:t>
      </w:r>
    </w:p>
    <w:p>
      <w:pPr>
        <w:pStyle w:val="25"/>
      </w:pPr>
      <w:r>
        <w:t>3、着力防范化解财政风险。一是严格控制政府隐性债务。完善防范化解隐性债务风险长效机制，加强部门协同监管，强化预算约束和政府投资项目管理。统筹各类资金资源妥善化解存量隐性债务，确保完成年度化债任务。严守举债融资负面清单，坚决遏制隐性债务增量。依法依规申请政府新增债券，严格执行政府债务管理各项规定，确保政府性债务规模和债务率在合理区间运行。二是加大项目储备。建立专项债券项目储备、前期准备和评估遴选等工作机制，做到谋划一批、申报一批、储备一批强基础、增功能、利长远的项目，形成拉动经济增长的长效效应。三是加强监管措施。全过程跟踪专项债券发行使用情况，发现问题及时督促整改。四是强化暂付款管控。坚持暂付款“严控新增”和“消化存量”两手抓，坚决守住不发生系统性、区域性风险的底线。</w:t>
      </w:r>
    </w:p>
    <w:p>
      <w:pPr>
        <w:pStyle w:val="25"/>
      </w:pPr>
      <w:r>
        <w:t>4、着力争取上级资金支持。一是加强和省市财政部门的沟通联系，及时掌握省级资金分配政策动向。结合“十四五”发展规划，以城市建设、乡村振兴、生态环境保护和文化旅游等为突破口，多层次全方位争取上级政策、项目和资金支持，助推县域经济发展。二是及时做好疫情资金争取工作，对疫苗及接种费用、33类重点人群核酸检测费用及各项疫情防控资金等，及时做好测算和拨付并上报上级财政部门，为争取疫情防控资金打好基础。</w:t>
      </w:r>
    </w:p>
    <w:p>
      <w:pPr>
        <w:pStyle w:val="25"/>
      </w:pPr>
      <w:r>
        <w:t>5、着力推进财税体制改革。一是深化预算管理制度改革，二是巩固预算绩效管理改革，三是稳妥推进税费改革，四是强化国有资产管理。</w:t>
      </w: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1、办公楼维修绩效目标表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1.对各项设施进行定期检修，保障全年故障率低于10％。</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检修面积</w:t>
            </w:r>
          </w:p>
        </w:tc>
        <w:tc>
          <w:tcPr>
            <w:tcW w:w="2835" w:type="dxa"/>
            <w:vAlign w:val="center"/>
          </w:tcPr>
          <w:p>
            <w:pPr>
              <w:pStyle w:val="14"/>
            </w:pPr>
            <w:r>
              <w:t>检修面积</w:t>
            </w:r>
          </w:p>
        </w:tc>
        <w:tc>
          <w:tcPr>
            <w:tcW w:w="2551" w:type="dxa"/>
            <w:vAlign w:val="center"/>
          </w:tcPr>
          <w:p>
            <w:pPr>
              <w:pStyle w:val="14"/>
            </w:pPr>
            <w:r>
              <w:t>3000平方米</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设施故障率</w:t>
            </w:r>
          </w:p>
        </w:tc>
        <w:tc>
          <w:tcPr>
            <w:tcW w:w="2835" w:type="dxa"/>
            <w:vAlign w:val="center"/>
          </w:tcPr>
          <w:p>
            <w:pPr>
              <w:pStyle w:val="14"/>
            </w:pPr>
            <w:r>
              <w:t>设施故障率</w:t>
            </w:r>
          </w:p>
        </w:tc>
        <w:tc>
          <w:tcPr>
            <w:tcW w:w="2551" w:type="dxa"/>
            <w:vAlign w:val="center"/>
          </w:tcPr>
          <w:p>
            <w:pPr>
              <w:pStyle w:val="14"/>
            </w:pPr>
            <w:r>
              <w:t>≤10百分比</w:t>
            </w:r>
          </w:p>
        </w:tc>
        <w:tc>
          <w:tcPr>
            <w:tcW w:w="2268" w:type="dxa"/>
            <w:vAlign w:val="center"/>
          </w:tcPr>
          <w:p>
            <w:pPr>
              <w:pStyle w:val="14"/>
            </w:pPr>
            <w:r>
              <w:t>实际数据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定期检修率</w:t>
            </w:r>
          </w:p>
        </w:tc>
        <w:tc>
          <w:tcPr>
            <w:tcW w:w="2835" w:type="dxa"/>
            <w:vAlign w:val="center"/>
          </w:tcPr>
          <w:p>
            <w:pPr>
              <w:pStyle w:val="14"/>
            </w:pPr>
            <w:r>
              <w:t>定期检修率</w:t>
            </w:r>
          </w:p>
        </w:tc>
        <w:tc>
          <w:tcPr>
            <w:tcW w:w="2551" w:type="dxa"/>
            <w:vAlign w:val="center"/>
          </w:tcPr>
          <w:p>
            <w:pPr>
              <w:pStyle w:val="14"/>
            </w:pPr>
            <w:r>
              <w:t>≥80百分比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全年支出</w:t>
            </w:r>
          </w:p>
        </w:tc>
        <w:tc>
          <w:tcPr>
            <w:tcW w:w="2835" w:type="dxa"/>
            <w:vAlign w:val="center"/>
          </w:tcPr>
          <w:p>
            <w:pPr>
              <w:pStyle w:val="14"/>
            </w:pPr>
            <w:r>
              <w:t>全年经费支出</w:t>
            </w:r>
          </w:p>
        </w:tc>
        <w:tc>
          <w:tcPr>
            <w:tcW w:w="2551" w:type="dxa"/>
            <w:vAlign w:val="center"/>
          </w:tcPr>
          <w:p>
            <w:pPr>
              <w:pStyle w:val="14"/>
            </w:pPr>
            <w:r>
              <w:t>≤20万元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工作正常开展</w:t>
            </w:r>
          </w:p>
        </w:tc>
        <w:tc>
          <w:tcPr>
            <w:tcW w:w="2835" w:type="dxa"/>
            <w:vAlign w:val="center"/>
          </w:tcPr>
          <w:p>
            <w:pPr>
              <w:pStyle w:val="14"/>
            </w:pPr>
            <w:r>
              <w:t>工作正常开展</w:t>
            </w:r>
          </w:p>
        </w:tc>
        <w:tc>
          <w:tcPr>
            <w:tcW w:w="2551" w:type="dxa"/>
            <w:vAlign w:val="center"/>
          </w:tcPr>
          <w:p>
            <w:pPr>
              <w:pStyle w:val="14"/>
            </w:pPr>
            <w:r>
              <w:t>100百分比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≥80百分比</w:t>
            </w:r>
          </w:p>
        </w:tc>
        <w:tc>
          <w:tcPr>
            <w:tcW w:w="2268" w:type="dxa"/>
            <w:vAlign w:val="center"/>
          </w:tcPr>
          <w:p>
            <w:pPr>
              <w:pStyle w:val="14"/>
            </w:pPr>
            <w:r>
              <w:t>群众反馈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2、财政国库业务绩效目标表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1.规范县级账户管理和资金核算，保证国库业务正常有序开展。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实施电子差旅费单位数量</w:t>
            </w:r>
          </w:p>
        </w:tc>
        <w:tc>
          <w:tcPr>
            <w:tcW w:w="2835" w:type="dxa"/>
            <w:vAlign w:val="center"/>
          </w:tcPr>
          <w:p>
            <w:pPr>
              <w:pStyle w:val="14"/>
            </w:pPr>
            <w:r>
              <w:t>实施电子差旅费单位数量</w:t>
            </w:r>
          </w:p>
        </w:tc>
        <w:tc>
          <w:tcPr>
            <w:tcW w:w="2551" w:type="dxa"/>
            <w:vAlign w:val="center"/>
          </w:tcPr>
          <w:p>
            <w:pPr>
              <w:pStyle w:val="14"/>
            </w:pPr>
            <w:r>
              <w:t>≥30个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资金管理合规率</w:t>
            </w:r>
          </w:p>
        </w:tc>
        <w:tc>
          <w:tcPr>
            <w:tcW w:w="2835" w:type="dxa"/>
            <w:vAlign w:val="center"/>
          </w:tcPr>
          <w:p>
            <w:pPr>
              <w:pStyle w:val="14"/>
            </w:pPr>
            <w:r>
              <w:t>反映资金账户和专户资金管理情况</w:t>
            </w:r>
          </w:p>
        </w:tc>
        <w:tc>
          <w:tcPr>
            <w:tcW w:w="2551" w:type="dxa"/>
            <w:vAlign w:val="center"/>
          </w:tcPr>
          <w:p>
            <w:pPr>
              <w:pStyle w:val="14"/>
            </w:pPr>
            <w:r>
              <w:t>≥90百分比</w:t>
            </w:r>
          </w:p>
        </w:tc>
        <w:tc>
          <w:tcPr>
            <w:tcW w:w="2268" w:type="dxa"/>
            <w:vAlign w:val="center"/>
          </w:tcPr>
          <w:p>
            <w:pPr>
              <w:pStyle w:val="14"/>
            </w:pPr>
            <w:r>
              <w:t>资金管理情况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支出序时进度</w:t>
            </w:r>
          </w:p>
        </w:tc>
        <w:tc>
          <w:tcPr>
            <w:tcW w:w="2835" w:type="dxa"/>
            <w:vAlign w:val="center"/>
          </w:tcPr>
          <w:p>
            <w:pPr>
              <w:pStyle w:val="14"/>
            </w:pPr>
            <w:r>
              <w:t>预算支出按季达到序时进度</w:t>
            </w:r>
          </w:p>
        </w:tc>
        <w:tc>
          <w:tcPr>
            <w:tcW w:w="2551" w:type="dxa"/>
            <w:vAlign w:val="center"/>
          </w:tcPr>
          <w:p>
            <w:pPr>
              <w:pStyle w:val="14"/>
            </w:pPr>
            <w:r>
              <w:t>≥90百分比</w:t>
            </w:r>
          </w:p>
        </w:tc>
        <w:tc>
          <w:tcPr>
            <w:tcW w:w="2268" w:type="dxa"/>
            <w:vAlign w:val="center"/>
          </w:tcPr>
          <w:p>
            <w:pPr>
              <w:pStyle w:val="14"/>
            </w:pPr>
            <w:r>
              <w:t>预算支出情况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≤16万元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暂存款压减率</w:t>
            </w:r>
          </w:p>
        </w:tc>
        <w:tc>
          <w:tcPr>
            <w:tcW w:w="2835" w:type="dxa"/>
            <w:vAlign w:val="center"/>
          </w:tcPr>
          <w:p>
            <w:pPr>
              <w:pStyle w:val="14"/>
            </w:pPr>
            <w:r>
              <w:t>反映暂存款压减情况</w:t>
            </w:r>
          </w:p>
        </w:tc>
        <w:tc>
          <w:tcPr>
            <w:tcW w:w="2551" w:type="dxa"/>
            <w:vAlign w:val="center"/>
          </w:tcPr>
          <w:p>
            <w:pPr>
              <w:pStyle w:val="14"/>
            </w:pPr>
            <w:r>
              <w:t>≥20百分比</w:t>
            </w:r>
          </w:p>
        </w:tc>
        <w:tc>
          <w:tcPr>
            <w:tcW w:w="2268" w:type="dxa"/>
            <w:vAlign w:val="center"/>
          </w:tcPr>
          <w:p>
            <w:pPr>
              <w:pStyle w:val="14"/>
            </w:pPr>
            <w:r>
              <w:t>暂存款压减情况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3、财政项目评审费绩效目标表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1.完成本年度财政投资项目评审，按时支付评审费用。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评审项目数量</w:t>
            </w:r>
          </w:p>
        </w:tc>
        <w:tc>
          <w:tcPr>
            <w:tcW w:w="2835" w:type="dxa"/>
            <w:vAlign w:val="center"/>
          </w:tcPr>
          <w:p>
            <w:pPr>
              <w:pStyle w:val="14"/>
            </w:pPr>
            <w:r>
              <w:t>评审项目数量</w:t>
            </w:r>
          </w:p>
        </w:tc>
        <w:tc>
          <w:tcPr>
            <w:tcW w:w="2551" w:type="dxa"/>
            <w:vAlign w:val="center"/>
          </w:tcPr>
          <w:p>
            <w:pPr>
              <w:pStyle w:val="14"/>
            </w:pPr>
            <w:r>
              <w:t>≥50个</w:t>
            </w:r>
          </w:p>
        </w:tc>
        <w:tc>
          <w:tcPr>
            <w:tcW w:w="2268"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评审报告合格率</w:t>
            </w:r>
          </w:p>
        </w:tc>
        <w:tc>
          <w:tcPr>
            <w:tcW w:w="2835" w:type="dxa"/>
            <w:vAlign w:val="center"/>
          </w:tcPr>
          <w:p>
            <w:pPr>
              <w:pStyle w:val="14"/>
            </w:pPr>
            <w:r>
              <w:t>出具的评审报告合格率</w:t>
            </w:r>
          </w:p>
        </w:tc>
        <w:tc>
          <w:tcPr>
            <w:tcW w:w="2551" w:type="dxa"/>
            <w:vAlign w:val="center"/>
          </w:tcPr>
          <w:p>
            <w:pPr>
              <w:pStyle w:val="14"/>
            </w:pPr>
            <w:r>
              <w:t>≥90百分比</w:t>
            </w:r>
          </w:p>
        </w:tc>
        <w:tc>
          <w:tcPr>
            <w:tcW w:w="2268" w:type="dxa"/>
            <w:vAlign w:val="center"/>
          </w:tcPr>
          <w:p>
            <w:pPr>
              <w:pStyle w:val="14"/>
            </w:pP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费用支付率</w:t>
            </w:r>
          </w:p>
        </w:tc>
        <w:tc>
          <w:tcPr>
            <w:tcW w:w="2835" w:type="dxa"/>
            <w:vAlign w:val="center"/>
          </w:tcPr>
          <w:p>
            <w:pPr>
              <w:pStyle w:val="14"/>
            </w:pPr>
            <w:r>
              <w:t>费用支付及时性</w:t>
            </w:r>
          </w:p>
        </w:tc>
        <w:tc>
          <w:tcPr>
            <w:tcW w:w="2551" w:type="dxa"/>
            <w:vAlign w:val="center"/>
          </w:tcPr>
          <w:p>
            <w:pPr>
              <w:pStyle w:val="14"/>
            </w:pPr>
            <w:r>
              <w:t>≥90百分比</w:t>
            </w:r>
          </w:p>
        </w:tc>
        <w:tc>
          <w:tcPr>
            <w:tcW w:w="2268" w:type="dxa"/>
            <w:vAlign w:val="center"/>
          </w:tcPr>
          <w:p>
            <w:pPr>
              <w:pStyle w:val="14"/>
            </w:pP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≤170万元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项目预算审减率</w:t>
            </w:r>
          </w:p>
        </w:tc>
        <w:tc>
          <w:tcPr>
            <w:tcW w:w="2835" w:type="dxa"/>
            <w:vAlign w:val="center"/>
          </w:tcPr>
          <w:p>
            <w:pPr>
              <w:pStyle w:val="14"/>
            </w:pPr>
            <w:r>
              <w:t>对财政投资项目预算审减比例</w:t>
            </w:r>
          </w:p>
        </w:tc>
        <w:tc>
          <w:tcPr>
            <w:tcW w:w="2551" w:type="dxa"/>
            <w:vAlign w:val="center"/>
          </w:tcPr>
          <w:p>
            <w:pPr>
              <w:pStyle w:val="14"/>
            </w:pPr>
            <w:r>
              <w:t>≥5百分比</w:t>
            </w:r>
          </w:p>
        </w:tc>
        <w:tc>
          <w:tcPr>
            <w:tcW w:w="2268" w:type="dxa"/>
            <w:vAlign w:val="center"/>
          </w:tcPr>
          <w:p>
            <w:pPr>
              <w:pStyle w:val="14"/>
            </w:pPr>
            <w:r>
              <w:t>评审结果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4、绩效预算管理绩效目标表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1.确保预算工作正常开展，控制三公经费，厉行节约。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开展绩效评价项目数量</w:t>
            </w:r>
          </w:p>
        </w:tc>
        <w:tc>
          <w:tcPr>
            <w:tcW w:w="2835" w:type="dxa"/>
            <w:vAlign w:val="center"/>
          </w:tcPr>
          <w:p>
            <w:pPr>
              <w:pStyle w:val="14"/>
            </w:pPr>
            <w:r>
              <w:t>开展绩效评价项目数量</w:t>
            </w:r>
          </w:p>
        </w:tc>
        <w:tc>
          <w:tcPr>
            <w:tcW w:w="2551" w:type="dxa"/>
            <w:vAlign w:val="center"/>
          </w:tcPr>
          <w:p>
            <w:pPr>
              <w:pStyle w:val="14"/>
            </w:pPr>
            <w:r>
              <w:t>≥50个</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绩效评价报告合格率</w:t>
            </w:r>
          </w:p>
        </w:tc>
        <w:tc>
          <w:tcPr>
            <w:tcW w:w="2835" w:type="dxa"/>
            <w:vAlign w:val="center"/>
          </w:tcPr>
          <w:p>
            <w:pPr>
              <w:pStyle w:val="14"/>
            </w:pPr>
            <w:r>
              <w:t>绩效评价报告合格率</w:t>
            </w:r>
          </w:p>
        </w:tc>
        <w:tc>
          <w:tcPr>
            <w:tcW w:w="2551" w:type="dxa"/>
            <w:vAlign w:val="center"/>
          </w:tcPr>
          <w:p>
            <w:pPr>
              <w:pStyle w:val="14"/>
            </w:pPr>
            <w:r>
              <w:t>≥90百分比</w:t>
            </w:r>
          </w:p>
        </w:tc>
        <w:tc>
          <w:tcPr>
            <w:tcW w:w="2268" w:type="dxa"/>
            <w:vAlign w:val="center"/>
          </w:tcPr>
          <w:p>
            <w:pPr>
              <w:pStyle w:val="14"/>
            </w:pPr>
            <w:r>
              <w:t>评价结果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预算资金拨付率</w:t>
            </w:r>
          </w:p>
        </w:tc>
        <w:tc>
          <w:tcPr>
            <w:tcW w:w="2835" w:type="dxa"/>
            <w:vAlign w:val="center"/>
          </w:tcPr>
          <w:p>
            <w:pPr>
              <w:pStyle w:val="14"/>
            </w:pPr>
            <w:r>
              <w:t>预算资金拨付率</w:t>
            </w:r>
          </w:p>
        </w:tc>
        <w:tc>
          <w:tcPr>
            <w:tcW w:w="2551" w:type="dxa"/>
            <w:vAlign w:val="center"/>
          </w:tcPr>
          <w:p>
            <w:pPr>
              <w:pStyle w:val="14"/>
            </w:pPr>
            <w:r>
              <w:t>≥80百分比</w:t>
            </w:r>
          </w:p>
        </w:tc>
        <w:tc>
          <w:tcPr>
            <w:tcW w:w="2268" w:type="dxa"/>
            <w:vAlign w:val="center"/>
          </w:tcPr>
          <w:p>
            <w:pPr>
              <w:pStyle w:val="14"/>
            </w:pPr>
            <w:r>
              <w:t>实际拨付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≤18万元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三公经费压减率</w:t>
            </w:r>
          </w:p>
        </w:tc>
        <w:tc>
          <w:tcPr>
            <w:tcW w:w="2835" w:type="dxa"/>
            <w:vAlign w:val="center"/>
          </w:tcPr>
          <w:p>
            <w:pPr>
              <w:pStyle w:val="14"/>
            </w:pPr>
            <w:r>
              <w:t>三公经费压减率</w:t>
            </w:r>
          </w:p>
        </w:tc>
        <w:tc>
          <w:tcPr>
            <w:tcW w:w="2551" w:type="dxa"/>
            <w:vAlign w:val="center"/>
          </w:tcPr>
          <w:p>
            <w:pPr>
              <w:pStyle w:val="14"/>
            </w:pPr>
            <w:r>
              <w:t>≥5百分比</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5、冀财农[2021]160号/省级/2022年农村财会人员培训资金绩效目标表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参训人次</w:t>
            </w:r>
          </w:p>
        </w:tc>
        <w:tc>
          <w:tcPr>
            <w:tcW w:w="2835" w:type="dxa"/>
            <w:vAlign w:val="center"/>
          </w:tcPr>
          <w:p>
            <w:pPr>
              <w:pStyle w:val="14"/>
            </w:pPr>
            <w:r>
              <w:t>参训人次</w:t>
            </w:r>
          </w:p>
        </w:tc>
        <w:tc>
          <w:tcPr>
            <w:tcW w:w="2551" w:type="dxa"/>
            <w:vAlign w:val="center"/>
          </w:tcPr>
          <w:p>
            <w:pPr>
              <w:pStyle w:val="14"/>
            </w:pPr>
            <w:r>
              <w:t>≥1000人次</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培训出勤率</w:t>
            </w:r>
          </w:p>
        </w:tc>
        <w:tc>
          <w:tcPr>
            <w:tcW w:w="2835" w:type="dxa"/>
            <w:vAlign w:val="center"/>
          </w:tcPr>
          <w:p>
            <w:pPr>
              <w:pStyle w:val="14"/>
            </w:pPr>
            <w:r>
              <w:t>培训出勤率</w:t>
            </w:r>
          </w:p>
        </w:tc>
        <w:tc>
          <w:tcPr>
            <w:tcW w:w="2551" w:type="dxa"/>
            <w:vAlign w:val="center"/>
          </w:tcPr>
          <w:p>
            <w:pPr>
              <w:pStyle w:val="14"/>
            </w:pPr>
            <w:r>
              <w:t>≥80百分比</w:t>
            </w:r>
          </w:p>
        </w:tc>
        <w:tc>
          <w:tcPr>
            <w:tcW w:w="2268" w:type="dxa"/>
            <w:vAlign w:val="center"/>
          </w:tcPr>
          <w:p>
            <w:pPr>
              <w:pStyle w:val="14"/>
            </w:pPr>
            <w:r>
              <w:t>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培训完成时间</w:t>
            </w:r>
          </w:p>
        </w:tc>
        <w:tc>
          <w:tcPr>
            <w:tcW w:w="2835" w:type="dxa"/>
            <w:vAlign w:val="center"/>
          </w:tcPr>
          <w:p>
            <w:pPr>
              <w:pStyle w:val="14"/>
            </w:pPr>
            <w:r>
              <w:t>培训完成时间</w:t>
            </w:r>
          </w:p>
        </w:tc>
        <w:tc>
          <w:tcPr>
            <w:tcW w:w="2551" w:type="dxa"/>
            <w:vAlign w:val="center"/>
          </w:tcPr>
          <w:p>
            <w:pPr>
              <w:pStyle w:val="14"/>
            </w:pPr>
            <w:r>
              <w:t>年底</w:t>
            </w:r>
          </w:p>
        </w:tc>
        <w:tc>
          <w:tcPr>
            <w:tcW w:w="2268" w:type="dxa"/>
            <w:vAlign w:val="center"/>
          </w:tcPr>
          <w:p>
            <w:pPr>
              <w:pStyle w:val="14"/>
            </w:pPr>
            <w:r>
              <w:t>年度培训计划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培训费用</w:t>
            </w:r>
          </w:p>
        </w:tc>
        <w:tc>
          <w:tcPr>
            <w:tcW w:w="2835" w:type="dxa"/>
            <w:vAlign w:val="center"/>
          </w:tcPr>
          <w:p>
            <w:pPr>
              <w:pStyle w:val="14"/>
            </w:pPr>
            <w:r>
              <w:t>培训费用</w:t>
            </w:r>
          </w:p>
        </w:tc>
        <w:tc>
          <w:tcPr>
            <w:tcW w:w="2551" w:type="dxa"/>
            <w:vAlign w:val="center"/>
          </w:tcPr>
          <w:p>
            <w:pPr>
              <w:pStyle w:val="14"/>
            </w:pPr>
            <w:r>
              <w:t>≤16万元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培训合格率</w:t>
            </w:r>
          </w:p>
        </w:tc>
        <w:tc>
          <w:tcPr>
            <w:tcW w:w="2835" w:type="dxa"/>
            <w:vAlign w:val="center"/>
          </w:tcPr>
          <w:p>
            <w:pPr>
              <w:pStyle w:val="14"/>
            </w:pPr>
            <w:r>
              <w:t>培训合格率</w:t>
            </w:r>
          </w:p>
        </w:tc>
        <w:tc>
          <w:tcPr>
            <w:tcW w:w="2551" w:type="dxa"/>
            <w:vAlign w:val="center"/>
          </w:tcPr>
          <w:p>
            <w:pPr>
              <w:pStyle w:val="14"/>
            </w:pPr>
            <w:r>
              <w:t>≥80百分比</w:t>
            </w:r>
          </w:p>
        </w:tc>
        <w:tc>
          <w:tcPr>
            <w:tcW w:w="2268" w:type="dxa"/>
            <w:vAlign w:val="center"/>
          </w:tcPr>
          <w:p>
            <w:pPr>
              <w:pStyle w:val="14"/>
            </w:pPr>
            <w:r>
              <w:t>培训结果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学员满意度</w:t>
            </w:r>
          </w:p>
        </w:tc>
        <w:tc>
          <w:tcPr>
            <w:tcW w:w="2835" w:type="dxa"/>
            <w:vAlign w:val="center"/>
          </w:tcPr>
          <w:p>
            <w:pPr>
              <w:pStyle w:val="14"/>
            </w:pPr>
            <w:r>
              <w:t>学员满意度</w:t>
            </w:r>
          </w:p>
        </w:tc>
        <w:tc>
          <w:tcPr>
            <w:tcW w:w="2551" w:type="dxa"/>
            <w:vAlign w:val="center"/>
          </w:tcPr>
          <w:p>
            <w:pPr>
              <w:pStyle w:val="14"/>
            </w:pPr>
            <w:r>
              <w:t>≥80百分比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6、监督评价等委托业务经费绩效目标表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1.按期开展财政专项检查，降低各项工作违规率。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开展财政专项检查次数</w:t>
            </w:r>
          </w:p>
        </w:tc>
        <w:tc>
          <w:tcPr>
            <w:tcW w:w="2835" w:type="dxa"/>
            <w:vAlign w:val="center"/>
          </w:tcPr>
          <w:p>
            <w:pPr>
              <w:pStyle w:val="14"/>
            </w:pPr>
            <w:r>
              <w:t>开展财政专项检查次数</w:t>
            </w:r>
          </w:p>
        </w:tc>
        <w:tc>
          <w:tcPr>
            <w:tcW w:w="2551" w:type="dxa"/>
            <w:vAlign w:val="center"/>
          </w:tcPr>
          <w:p>
            <w:pPr>
              <w:pStyle w:val="14"/>
            </w:pPr>
            <w:r>
              <w:t>≥2次</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检查完成度</w:t>
            </w:r>
          </w:p>
        </w:tc>
        <w:tc>
          <w:tcPr>
            <w:tcW w:w="2835" w:type="dxa"/>
            <w:vAlign w:val="center"/>
          </w:tcPr>
          <w:p>
            <w:pPr>
              <w:pStyle w:val="14"/>
            </w:pPr>
            <w:r>
              <w:t>检查结果完整程度</w:t>
            </w:r>
          </w:p>
        </w:tc>
        <w:tc>
          <w:tcPr>
            <w:tcW w:w="2551" w:type="dxa"/>
            <w:vAlign w:val="center"/>
          </w:tcPr>
          <w:p>
            <w:pPr>
              <w:pStyle w:val="14"/>
            </w:pPr>
            <w:r>
              <w:t>≥90百分比</w:t>
            </w:r>
          </w:p>
        </w:tc>
        <w:tc>
          <w:tcPr>
            <w:tcW w:w="2268" w:type="dxa"/>
            <w:vAlign w:val="center"/>
          </w:tcPr>
          <w:p>
            <w:pPr>
              <w:pStyle w:val="14"/>
            </w:pPr>
            <w: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是</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全年支出</w:t>
            </w:r>
          </w:p>
        </w:tc>
        <w:tc>
          <w:tcPr>
            <w:tcW w:w="2835" w:type="dxa"/>
            <w:vAlign w:val="center"/>
          </w:tcPr>
          <w:p>
            <w:pPr>
              <w:pStyle w:val="14"/>
            </w:pPr>
            <w:r>
              <w:t>全年经费支出</w:t>
            </w:r>
          </w:p>
        </w:tc>
        <w:tc>
          <w:tcPr>
            <w:tcW w:w="2551" w:type="dxa"/>
            <w:vAlign w:val="center"/>
          </w:tcPr>
          <w:p>
            <w:pPr>
              <w:pStyle w:val="14"/>
            </w:pPr>
            <w:r>
              <w:t>≤15万元</w:t>
            </w:r>
          </w:p>
        </w:tc>
        <w:tc>
          <w:tcPr>
            <w:tcW w:w="2268" w:type="dxa"/>
            <w:vAlign w:val="center"/>
          </w:tcPr>
          <w:p>
            <w:pPr>
              <w:pStyle w:val="14"/>
            </w:pPr>
            <w:r>
              <w:t>实际支出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降低违规率</w:t>
            </w:r>
          </w:p>
        </w:tc>
        <w:tc>
          <w:tcPr>
            <w:tcW w:w="2835" w:type="dxa"/>
            <w:vAlign w:val="center"/>
          </w:tcPr>
          <w:p>
            <w:pPr>
              <w:pStyle w:val="14"/>
            </w:pPr>
            <w:r>
              <w:t>降低违规率</w:t>
            </w:r>
          </w:p>
        </w:tc>
        <w:tc>
          <w:tcPr>
            <w:tcW w:w="2551" w:type="dxa"/>
            <w:vAlign w:val="center"/>
          </w:tcPr>
          <w:p>
            <w:pPr>
              <w:pStyle w:val="14"/>
            </w:pPr>
            <w:r>
              <w:t>≥10百分比</w:t>
            </w:r>
          </w:p>
        </w:tc>
        <w:tc>
          <w:tcPr>
            <w:tcW w:w="2268" w:type="dxa"/>
            <w:vAlign w:val="center"/>
          </w:tcPr>
          <w:p>
            <w:pPr>
              <w:pStyle w:val="14"/>
            </w:pPr>
            <w:r>
              <w:t>检查结果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≥80百分比</w:t>
            </w:r>
          </w:p>
        </w:tc>
        <w:tc>
          <w:tcPr>
            <w:tcW w:w="2268"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7、金财工程建设绩效目标表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1.确保财政专网、财政系统软件正常运转。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财政专网覆盖面增加</w:t>
            </w:r>
          </w:p>
        </w:tc>
        <w:tc>
          <w:tcPr>
            <w:tcW w:w="2835" w:type="dxa"/>
            <w:vAlign w:val="center"/>
          </w:tcPr>
          <w:p>
            <w:pPr>
              <w:pStyle w:val="14"/>
            </w:pPr>
            <w:r>
              <w:t>财政专网覆盖面增加</w:t>
            </w:r>
          </w:p>
        </w:tc>
        <w:tc>
          <w:tcPr>
            <w:tcW w:w="2551" w:type="dxa"/>
            <w:vAlign w:val="center"/>
          </w:tcPr>
          <w:p>
            <w:pPr>
              <w:pStyle w:val="14"/>
            </w:pPr>
            <w:r>
              <w:t>≥13条</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系统正常运转率</w:t>
            </w:r>
          </w:p>
        </w:tc>
        <w:tc>
          <w:tcPr>
            <w:tcW w:w="2835" w:type="dxa"/>
            <w:vAlign w:val="center"/>
          </w:tcPr>
          <w:p>
            <w:pPr>
              <w:pStyle w:val="14"/>
            </w:pPr>
            <w:r>
              <w:t>系统正常运转率</w:t>
            </w:r>
          </w:p>
        </w:tc>
        <w:tc>
          <w:tcPr>
            <w:tcW w:w="2551" w:type="dxa"/>
            <w:vAlign w:val="center"/>
          </w:tcPr>
          <w:p>
            <w:pPr>
              <w:pStyle w:val="14"/>
            </w:pPr>
            <w:r>
              <w:t>≥90百分比</w:t>
            </w:r>
          </w:p>
        </w:tc>
        <w:tc>
          <w:tcPr>
            <w:tcW w:w="2268"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故障处理及时率</w:t>
            </w:r>
          </w:p>
        </w:tc>
        <w:tc>
          <w:tcPr>
            <w:tcW w:w="2835" w:type="dxa"/>
            <w:vAlign w:val="center"/>
          </w:tcPr>
          <w:p>
            <w:pPr>
              <w:pStyle w:val="14"/>
            </w:pPr>
            <w:r>
              <w:t>故障处理及时率</w:t>
            </w:r>
          </w:p>
        </w:tc>
        <w:tc>
          <w:tcPr>
            <w:tcW w:w="2551" w:type="dxa"/>
            <w:vAlign w:val="center"/>
          </w:tcPr>
          <w:p>
            <w:pPr>
              <w:pStyle w:val="14"/>
            </w:pPr>
            <w:r>
              <w:t>≤24小时</w:t>
            </w:r>
          </w:p>
        </w:tc>
        <w:tc>
          <w:tcPr>
            <w:tcW w:w="2268"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≤37万元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信息化覆盖率</w:t>
            </w:r>
          </w:p>
        </w:tc>
        <w:tc>
          <w:tcPr>
            <w:tcW w:w="2835" w:type="dxa"/>
            <w:vAlign w:val="center"/>
          </w:tcPr>
          <w:p>
            <w:pPr>
              <w:pStyle w:val="14"/>
            </w:pPr>
            <w:r>
              <w:t>信息化覆盖率</w:t>
            </w:r>
          </w:p>
        </w:tc>
        <w:tc>
          <w:tcPr>
            <w:tcW w:w="2551" w:type="dxa"/>
            <w:vAlign w:val="center"/>
          </w:tcPr>
          <w:p>
            <w:pPr>
              <w:pStyle w:val="14"/>
            </w:pPr>
            <w:r>
              <w:t>≥80百分比</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≥80百分比</w:t>
            </w:r>
          </w:p>
        </w:tc>
        <w:tc>
          <w:tcPr>
            <w:tcW w:w="2268"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8、面貌提升绩效目标表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1.提升办公楼、广场、分包小区面貌。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维修面积</w:t>
            </w:r>
          </w:p>
        </w:tc>
        <w:tc>
          <w:tcPr>
            <w:tcW w:w="2835" w:type="dxa"/>
            <w:vAlign w:val="center"/>
          </w:tcPr>
          <w:p>
            <w:pPr>
              <w:pStyle w:val="14"/>
            </w:pPr>
            <w:r>
              <w:t>办公楼及广场维护面积</w:t>
            </w:r>
          </w:p>
        </w:tc>
        <w:tc>
          <w:tcPr>
            <w:tcW w:w="2551" w:type="dxa"/>
            <w:vAlign w:val="center"/>
          </w:tcPr>
          <w:p>
            <w:pPr>
              <w:pStyle w:val="14"/>
            </w:pPr>
            <w:r>
              <w:t>2000平方米</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合格率</w:t>
            </w:r>
          </w:p>
        </w:tc>
        <w:tc>
          <w:tcPr>
            <w:tcW w:w="2835" w:type="dxa"/>
            <w:vAlign w:val="center"/>
          </w:tcPr>
          <w:p>
            <w:pPr>
              <w:pStyle w:val="14"/>
            </w:pPr>
            <w:r>
              <w:t>维修合格程度</w:t>
            </w:r>
          </w:p>
        </w:tc>
        <w:tc>
          <w:tcPr>
            <w:tcW w:w="2551" w:type="dxa"/>
            <w:vAlign w:val="center"/>
          </w:tcPr>
          <w:p>
            <w:pPr>
              <w:pStyle w:val="14"/>
            </w:pPr>
            <w:r>
              <w:t>≥95百分比</w:t>
            </w:r>
          </w:p>
        </w:tc>
        <w:tc>
          <w:tcPr>
            <w:tcW w:w="2268" w:type="dxa"/>
            <w:vAlign w:val="center"/>
          </w:tcPr>
          <w:p>
            <w:pPr>
              <w:pStyle w:val="14"/>
            </w:pPr>
            <w: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完工率</w:t>
            </w:r>
          </w:p>
        </w:tc>
        <w:tc>
          <w:tcPr>
            <w:tcW w:w="2835" w:type="dxa"/>
            <w:vAlign w:val="center"/>
          </w:tcPr>
          <w:p>
            <w:pPr>
              <w:pStyle w:val="14"/>
            </w:pPr>
            <w:r>
              <w:t>维修完工程度</w:t>
            </w:r>
          </w:p>
        </w:tc>
        <w:tc>
          <w:tcPr>
            <w:tcW w:w="2551" w:type="dxa"/>
            <w:vAlign w:val="center"/>
          </w:tcPr>
          <w:p>
            <w:pPr>
              <w:pStyle w:val="14"/>
            </w:pPr>
            <w:r>
              <w:t>≥95百分比</w:t>
            </w:r>
          </w:p>
        </w:tc>
        <w:tc>
          <w:tcPr>
            <w:tcW w:w="2268" w:type="dxa"/>
            <w:vAlign w:val="center"/>
          </w:tcPr>
          <w:p>
            <w:pPr>
              <w:pStyle w:val="14"/>
            </w:pPr>
            <w: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≤20万元</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工程使用年限</w:t>
            </w:r>
          </w:p>
        </w:tc>
        <w:tc>
          <w:tcPr>
            <w:tcW w:w="2835" w:type="dxa"/>
            <w:vAlign w:val="center"/>
          </w:tcPr>
          <w:p>
            <w:pPr>
              <w:pStyle w:val="14"/>
            </w:pPr>
            <w:r>
              <w:t>工程使用年限</w:t>
            </w:r>
          </w:p>
        </w:tc>
        <w:tc>
          <w:tcPr>
            <w:tcW w:w="2551" w:type="dxa"/>
            <w:vAlign w:val="center"/>
          </w:tcPr>
          <w:p>
            <w:pPr>
              <w:pStyle w:val="14"/>
            </w:pPr>
            <w:r>
              <w:t>≥5年</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9、农村综合改革专项工作经费绩效目标表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1.完成农村综合改革项目验收工作，按时支付费用。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整理档案数量</w:t>
            </w:r>
          </w:p>
        </w:tc>
        <w:tc>
          <w:tcPr>
            <w:tcW w:w="2835" w:type="dxa"/>
            <w:vAlign w:val="center"/>
          </w:tcPr>
          <w:p>
            <w:pPr>
              <w:pStyle w:val="14"/>
            </w:pPr>
            <w:r>
              <w:t>整理档案数量</w:t>
            </w:r>
          </w:p>
        </w:tc>
        <w:tc>
          <w:tcPr>
            <w:tcW w:w="2551" w:type="dxa"/>
            <w:vAlign w:val="center"/>
          </w:tcPr>
          <w:p>
            <w:pPr>
              <w:pStyle w:val="14"/>
            </w:pPr>
            <w:r>
              <w:t>≥100盒</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验收项目合格率</w:t>
            </w:r>
          </w:p>
        </w:tc>
        <w:tc>
          <w:tcPr>
            <w:tcW w:w="2835" w:type="dxa"/>
            <w:vAlign w:val="center"/>
          </w:tcPr>
          <w:p>
            <w:pPr>
              <w:pStyle w:val="14"/>
            </w:pPr>
            <w:r>
              <w:t>验收项目合格率</w:t>
            </w:r>
          </w:p>
        </w:tc>
        <w:tc>
          <w:tcPr>
            <w:tcW w:w="2551" w:type="dxa"/>
            <w:vAlign w:val="center"/>
          </w:tcPr>
          <w:p>
            <w:pPr>
              <w:pStyle w:val="14"/>
            </w:pPr>
            <w:r>
              <w:t>≥90百分比</w:t>
            </w:r>
          </w:p>
        </w:tc>
        <w:tc>
          <w:tcPr>
            <w:tcW w:w="2268"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验收完成率</w:t>
            </w:r>
          </w:p>
        </w:tc>
        <w:tc>
          <w:tcPr>
            <w:tcW w:w="2835" w:type="dxa"/>
            <w:vAlign w:val="center"/>
          </w:tcPr>
          <w:p>
            <w:pPr>
              <w:pStyle w:val="14"/>
            </w:pPr>
            <w:r>
              <w:t>当年项目验收任务完成情况</w:t>
            </w:r>
          </w:p>
        </w:tc>
        <w:tc>
          <w:tcPr>
            <w:tcW w:w="2551" w:type="dxa"/>
            <w:vAlign w:val="center"/>
          </w:tcPr>
          <w:p>
            <w:pPr>
              <w:pStyle w:val="14"/>
            </w:pPr>
            <w:r>
              <w:t>≥90百分比</w:t>
            </w:r>
          </w:p>
        </w:tc>
        <w:tc>
          <w:tcPr>
            <w:tcW w:w="2268"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≤10万元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项目整改合格率</w:t>
            </w:r>
          </w:p>
        </w:tc>
        <w:tc>
          <w:tcPr>
            <w:tcW w:w="2835" w:type="dxa"/>
            <w:vAlign w:val="center"/>
          </w:tcPr>
          <w:p>
            <w:pPr>
              <w:pStyle w:val="14"/>
            </w:pPr>
            <w:r>
              <w:t>项目整改合格率</w:t>
            </w:r>
          </w:p>
        </w:tc>
        <w:tc>
          <w:tcPr>
            <w:tcW w:w="2551" w:type="dxa"/>
            <w:vAlign w:val="center"/>
          </w:tcPr>
          <w:p>
            <w:pPr>
              <w:pStyle w:val="14"/>
            </w:pPr>
            <w:r>
              <w:t>100百分比</w:t>
            </w:r>
          </w:p>
        </w:tc>
        <w:tc>
          <w:tcPr>
            <w:tcW w:w="2268" w:type="dxa"/>
            <w:vAlign w:val="center"/>
          </w:tcPr>
          <w:p>
            <w:pPr>
              <w:pStyle w:val="14"/>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10、设备购置绩效目标表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1.及时更新设备，降低设备故障率，保证日常工作正常开展。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设备更新比例</w:t>
            </w:r>
          </w:p>
        </w:tc>
        <w:tc>
          <w:tcPr>
            <w:tcW w:w="2835" w:type="dxa"/>
            <w:vAlign w:val="center"/>
          </w:tcPr>
          <w:p>
            <w:pPr>
              <w:pStyle w:val="14"/>
            </w:pPr>
            <w:r>
              <w:t>设备更新比例</w:t>
            </w:r>
          </w:p>
        </w:tc>
        <w:tc>
          <w:tcPr>
            <w:tcW w:w="2551" w:type="dxa"/>
            <w:vAlign w:val="center"/>
          </w:tcPr>
          <w:p>
            <w:pPr>
              <w:pStyle w:val="14"/>
            </w:pPr>
            <w:r>
              <w:t>≤10百分比</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购置设备合格率</w:t>
            </w:r>
          </w:p>
        </w:tc>
        <w:tc>
          <w:tcPr>
            <w:tcW w:w="2835" w:type="dxa"/>
            <w:vAlign w:val="center"/>
          </w:tcPr>
          <w:p>
            <w:pPr>
              <w:pStyle w:val="14"/>
            </w:pPr>
            <w:r>
              <w:t>购置设备合格率</w:t>
            </w:r>
          </w:p>
        </w:tc>
        <w:tc>
          <w:tcPr>
            <w:tcW w:w="2551" w:type="dxa"/>
            <w:vAlign w:val="center"/>
          </w:tcPr>
          <w:p>
            <w:pPr>
              <w:pStyle w:val="14"/>
            </w:pPr>
            <w:r>
              <w:t>≥100百分比</w:t>
            </w:r>
          </w:p>
        </w:tc>
        <w:tc>
          <w:tcPr>
            <w:tcW w:w="2268" w:type="dxa"/>
            <w:vAlign w:val="center"/>
          </w:tcPr>
          <w:p>
            <w:pPr>
              <w:pStyle w:val="14"/>
            </w:pPr>
            <w:r>
              <w:t>实际验收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购置及时性</w:t>
            </w:r>
          </w:p>
        </w:tc>
        <w:tc>
          <w:tcPr>
            <w:tcW w:w="2835" w:type="dxa"/>
            <w:vAlign w:val="center"/>
          </w:tcPr>
          <w:p>
            <w:pPr>
              <w:pStyle w:val="14"/>
            </w:pPr>
            <w:r>
              <w:t>按工作需要及时购置更新相关设备</w:t>
            </w:r>
          </w:p>
        </w:tc>
        <w:tc>
          <w:tcPr>
            <w:tcW w:w="2551" w:type="dxa"/>
            <w:vAlign w:val="center"/>
          </w:tcPr>
          <w:p>
            <w:pPr>
              <w:pStyle w:val="14"/>
            </w:pPr>
            <w:r>
              <w:t>≥80百分比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资金使用合规率</w:t>
            </w:r>
          </w:p>
        </w:tc>
        <w:tc>
          <w:tcPr>
            <w:tcW w:w="2835" w:type="dxa"/>
            <w:vAlign w:val="center"/>
          </w:tcPr>
          <w:p>
            <w:pPr>
              <w:pStyle w:val="14"/>
            </w:pPr>
            <w:r>
              <w:t>购置设备价款应低于相关标准</w:t>
            </w:r>
          </w:p>
        </w:tc>
        <w:tc>
          <w:tcPr>
            <w:tcW w:w="2551" w:type="dxa"/>
            <w:vAlign w:val="center"/>
          </w:tcPr>
          <w:p>
            <w:pPr>
              <w:pStyle w:val="14"/>
            </w:pPr>
            <w:r>
              <w:t>≥90百分比</w:t>
            </w:r>
          </w:p>
        </w:tc>
        <w:tc>
          <w:tcPr>
            <w:tcW w:w="2268" w:type="dxa"/>
            <w:vAlign w:val="center"/>
          </w:tcPr>
          <w:p>
            <w:pPr>
              <w:pStyle w:val="14"/>
            </w:pPr>
            <w:r>
              <w:t>行政单位设备配置标准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设备使用年限</w:t>
            </w:r>
          </w:p>
        </w:tc>
        <w:tc>
          <w:tcPr>
            <w:tcW w:w="2835" w:type="dxa"/>
            <w:vAlign w:val="center"/>
          </w:tcPr>
          <w:p>
            <w:pPr>
              <w:pStyle w:val="14"/>
            </w:pPr>
            <w:r>
              <w:t>设备使用年限</w:t>
            </w:r>
          </w:p>
        </w:tc>
        <w:tc>
          <w:tcPr>
            <w:tcW w:w="2551" w:type="dxa"/>
            <w:vAlign w:val="center"/>
          </w:tcPr>
          <w:p>
            <w:pPr>
              <w:pStyle w:val="14"/>
            </w:pPr>
            <w:r>
              <w:t>≥5年</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p>
            <w:pPr>
              <w:pStyle w:val="14"/>
            </w:pPr>
          </w:p>
        </w:tc>
        <w:tc>
          <w:tcPr>
            <w:tcW w:w="2551" w:type="dxa"/>
            <w:vAlign w:val="center"/>
          </w:tcPr>
          <w:p>
            <w:pPr>
              <w:pStyle w:val="14"/>
            </w:pPr>
            <w:r>
              <w:t>≥80百分比</w:t>
            </w:r>
          </w:p>
        </w:tc>
        <w:tc>
          <w:tcPr>
            <w:tcW w:w="2268" w:type="dxa"/>
            <w:vAlign w:val="center"/>
          </w:tcPr>
          <w:p>
            <w:pPr>
              <w:pStyle w:val="14"/>
            </w:pPr>
            <w:r>
              <w:t>群众反馈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11、网络舆情监测绩效目标表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1.掌握网络舆情，做好舆情及时应对和处置。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网络舆情监测率</w:t>
            </w:r>
          </w:p>
        </w:tc>
        <w:tc>
          <w:tcPr>
            <w:tcW w:w="2835" w:type="dxa"/>
            <w:vAlign w:val="center"/>
          </w:tcPr>
          <w:p>
            <w:pPr>
              <w:pStyle w:val="14"/>
            </w:pPr>
            <w:r>
              <w:t>网络舆情监测率</w:t>
            </w:r>
          </w:p>
        </w:tc>
        <w:tc>
          <w:tcPr>
            <w:tcW w:w="2551" w:type="dxa"/>
            <w:vAlign w:val="center"/>
          </w:tcPr>
          <w:p>
            <w:pPr>
              <w:pStyle w:val="14"/>
            </w:pPr>
            <w:r>
              <w:t>100百分比</w:t>
            </w:r>
          </w:p>
        </w:tc>
        <w:tc>
          <w:tcPr>
            <w:tcW w:w="2268" w:type="dxa"/>
            <w:vAlign w:val="center"/>
          </w:tcPr>
          <w:p>
            <w:pPr>
              <w:pStyle w:val="14"/>
            </w:pPr>
            <w:r>
              <w:t>监测结果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网络舆情处置率</w:t>
            </w:r>
          </w:p>
        </w:tc>
        <w:tc>
          <w:tcPr>
            <w:tcW w:w="2835" w:type="dxa"/>
            <w:vAlign w:val="center"/>
          </w:tcPr>
          <w:p>
            <w:pPr>
              <w:pStyle w:val="14"/>
            </w:pPr>
            <w:r>
              <w:t>网络舆情处置率</w:t>
            </w:r>
          </w:p>
        </w:tc>
        <w:tc>
          <w:tcPr>
            <w:tcW w:w="2551" w:type="dxa"/>
            <w:vAlign w:val="center"/>
          </w:tcPr>
          <w:p>
            <w:pPr>
              <w:pStyle w:val="14"/>
            </w:pPr>
            <w:r>
              <w:t>≥95百分比</w:t>
            </w:r>
          </w:p>
        </w:tc>
        <w:tc>
          <w:tcPr>
            <w:tcW w:w="2268" w:type="dxa"/>
            <w:vAlign w:val="center"/>
          </w:tcPr>
          <w:p>
            <w:pPr>
              <w:pStyle w:val="14"/>
            </w:pPr>
            <w: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网络舆情处置及时性</w:t>
            </w:r>
          </w:p>
        </w:tc>
        <w:tc>
          <w:tcPr>
            <w:tcW w:w="2835" w:type="dxa"/>
            <w:vAlign w:val="center"/>
          </w:tcPr>
          <w:p>
            <w:pPr>
              <w:pStyle w:val="14"/>
            </w:pPr>
            <w:r>
              <w:t>网络舆情处置及时性</w:t>
            </w:r>
          </w:p>
        </w:tc>
        <w:tc>
          <w:tcPr>
            <w:tcW w:w="2551" w:type="dxa"/>
            <w:vAlign w:val="center"/>
          </w:tcPr>
          <w:p>
            <w:pPr>
              <w:pStyle w:val="14"/>
            </w:pPr>
            <w:r>
              <w:t>≤24小时</w:t>
            </w:r>
          </w:p>
        </w:tc>
        <w:tc>
          <w:tcPr>
            <w:tcW w:w="2268" w:type="dxa"/>
            <w:vAlign w:val="center"/>
          </w:tcPr>
          <w:p>
            <w:pPr>
              <w:pStyle w:val="14"/>
            </w:pPr>
            <w:r>
              <w:t>处置结果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经费支出</w:t>
            </w:r>
          </w:p>
        </w:tc>
        <w:tc>
          <w:tcPr>
            <w:tcW w:w="2551" w:type="dxa"/>
            <w:vAlign w:val="center"/>
          </w:tcPr>
          <w:p>
            <w:pPr>
              <w:pStyle w:val="14"/>
            </w:pPr>
            <w:r>
              <w:t>≤7.61万元</w:t>
            </w:r>
          </w:p>
        </w:tc>
        <w:tc>
          <w:tcPr>
            <w:tcW w:w="2268" w:type="dxa"/>
            <w:vAlign w:val="center"/>
          </w:tcPr>
          <w:p>
            <w:pPr>
              <w:pStyle w:val="14"/>
            </w:pPr>
            <w:r>
              <w:t>合同金额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社会稳定水平</w:t>
            </w:r>
          </w:p>
        </w:tc>
        <w:tc>
          <w:tcPr>
            <w:tcW w:w="2835" w:type="dxa"/>
            <w:vAlign w:val="center"/>
          </w:tcPr>
          <w:p>
            <w:pPr>
              <w:pStyle w:val="14"/>
            </w:pPr>
            <w:r>
              <w:t>通过实施网络舆情监测促进社会稳定水平逐步提高</w:t>
            </w:r>
          </w:p>
        </w:tc>
        <w:tc>
          <w:tcPr>
            <w:tcW w:w="2551" w:type="dxa"/>
            <w:vAlign w:val="center"/>
          </w:tcPr>
          <w:p>
            <w:pPr>
              <w:pStyle w:val="14"/>
            </w:pPr>
            <w:r>
              <w:t>≥10百分比</w:t>
            </w:r>
          </w:p>
        </w:tc>
        <w:tc>
          <w:tcPr>
            <w:tcW w:w="2268" w:type="dxa"/>
            <w:vAlign w:val="center"/>
          </w:tcPr>
          <w:p>
            <w:pPr>
              <w:pStyle w:val="14"/>
            </w:pPr>
            <w:r>
              <w:t>网络调查结果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≥80百分比</w:t>
            </w:r>
          </w:p>
        </w:tc>
        <w:tc>
          <w:tcPr>
            <w:tcW w:w="2268" w:type="dxa"/>
            <w:vAlign w:val="center"/>
          </w:tcPr>
          <w:p>
            <w:pPr>
              <w:pStyle w:val="14"/>
            </w:pPr>
            <w:r>
              <w:t>网络反馈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12、县财政事业费绩效目标表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1.保障局机关承担的各项工作正常开展。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下乡扶贫批次</w:t>
            </w:r>
          </w:p>
        </w:tc>
        <w:tc>
          <w:tcPr>
            <w:tcW w:w="2835" w:type="dxa"/>
            <w:vAlign w:val="center"/>
          </w:tcPr>
          <w:p>
            <w:pPr>
              <w:pStyle w:val="14"/>
            </w:pPr>
            <w:r>
              <w:t>下乡扶贫批次</w:t>
            </w:r>
          </w:p>
        </w:tc>
        <w:tc>
          <w:tcPr>
            <w:tcW w:w="2551" w:type="dxa"/>
            <w:vAlign w:val="center"/>
          </w:tcPr>
          <w:p>
            <w:pPr>
              <w:pStyle w:val="14"/>
            </w:pPr>
            <w:r>
              <w:t>≥12批</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工作正常运转率</w:t>
            </w:r>
          </w:p>
        </w:tc>
        <w:tc>
          <w:tcPr>
            <w:tcW w:w="2835" w:type="dxa"/>
            <w:vAlign w:val="center"/>
          </w:tcPr>
          <w:p>
            <w:pPr>
              <w:pStyle w:val="14"/>
            </w:pPr>
            <w:r>
              <w:t>保障各项工作正常运转比例</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各项任务按时完成</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≤35.2万元</w:t>
            </w:r>
          </w:p>
        </w:tc>
        <w:tc>
          <w:tcPr>
            <w:tcW w:w="2268"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减少疫情风险</w:t>
            </w:r>
          </w:p>
        </w:tc>
        <w:tc>
          <w:tcPr>
            <w:tcW w:w="2835" w:type="dxa"/>
            <w:vAlign w:val="center"/>
          </w:tcPr>
          <w:p>
            <w:pPr>
              <w:pStyle w:val="14"/>
            </w:pPr>
            <w:r>
              <w:t>减少分包小区疫情漏报风险</w:t>
            </w:r>
          </w:p>
        </w:tc>
        <w:tc>
          <w:tcPr>
            <w:tcW w:w="2551" w:type="dxa"/>
            <w:vAlign w:val="center"/>
          </w:tcPr>
          <w:p>
            <w:pPr>
              <w:pStyle w:val="14"/>
            </w:pPr>
            <w:r>
              <w:t>≤5百分比</w:t>
            </w:r>
          </w:p>
        </w:tc>
        <w:tc>
          <w:tcPr>
            <w:tcW w:w="2268"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2835" w:type="dxa"/>
            <w:vAlign w:val="center"/>
          </w:tcPr>
          <w:p>
            <w:pPr>
              <w:pStyle w:val="14"/>
            </w:pPr>
            <w:r>
              <w:t>职工满意度</w:t>
            </w:r>
          </w:p>
        </w:tc>
        <w:tc>
          <w:tcPr>
            <w:tcW w:w="2551" w:type="dxa"/>
            <w:vAlign w:val="center"/>
          </w:tcPr>
          <w:p>
            <w:pPr>
              <w:pStyle w:val="14"/>
            </w:pPr>
            <w:r>
              <w:t>≥85百分比</w:t>
            </w:r>
          </w:p>
        </w:tc>
        <w:tc>
          <w:tcPr>
            <w:tcW w:w="2268"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13、信息一体化建设绩效目标表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1.推进信息一体化基础建设，保障信息化系统高效稳定运行。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机房故障次数</w:t>
            </w:r>
          </w:p>
        </w:tc>
        <w:tc>
          <w:tcPr>
            <w:tcW w:w="2835" w:type="dxa"/>
            <w:vAlign w:val="center"/>
          </w:tcPr>
          <w:p>
            <w:pPr>
              <w:pStyle w:val="14"/>
            </w:pPr>
            <w:r>
              <w:t>机房故障次数</w:t>
            </w:r>
          </w:p>
        </w:tc>
        <w:tc>
          <w:tcPr>
            <w:tcW w:w="2551" w:type="dxa"/>
            <w:vAlign w:val="center"/>
          </w:tcPr>
          <w:p>
            <w:pPr>
              <w:pStyle w:val="14"/>
            </w:pPr>
            <w:r>
              <w:t>≤4次</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2835" w:type="dxa"/>
            <w:vAlign w:val="center"/>
          </w:tcPr>
          <w:p>
            <w:pPr>
              <w:pStyle w:val="14"/>
            </w:pPr>
            <w:r>
              <w:t>正常运转率</w:t>
            </w:r>
          </w:p>
        </w:tc>
        <w:tc>
          <w:tcPr>
            <w:tcW w:w="2551" w:type="dxa"/>
            <w:vAlign w:val="center"/>
          </w:tcPr>
          <w:p>
            <w:pPr>
              <w:pStyle w:val="14"/>
            </w:pPr>
            <w:r>
              <w:t>≥90百分比</w:t>
            </w:r>
          </w:p>
        </w:tc>
        <w:tc>
          <w:tcPr>
            <w:tcW w:w="2268" w:type="dxa"/>
            <w:vAlign w:val="center"/>
          </w:tcPr>
          <w:p>
            <w:pPr>
              <w:pStyle w:val="14"/>
            </w:pPr>
            <w:r>
              <w:t>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故障处理及时性</w:t>
            </w:r>
          </w:p>
        </w:tc>
        <w:tc>
          <w:tcPr>
            <w:tcW w:w="2835" w:type="dxa"/>
            <w:vAlign w:val="center"/>
          </w:tcPr>
          <w:p>
            <w:pPr>
              <w:pStyle w:val="14"/>
            </w:pPr>
            <w:r>
              <w:t>故障处理及时性</w:t>
            </w:r>
          </w:p>
        </w:tc>
        <w:tc>
          <w:tcPr>
            <w:tcW w:w="2551" w:type="dxa"/>
            <w:vAlign w:val="center"/>
          </w:tcPr>
          <w:p>
            <w:pPr>
              <w:pStyle w:val="14"/>
            </w:pPr>
            <w:r>
              <w:t>≤24小时</w:t>
            </w:r>
          </w:p>
        </w:tc>
        <w:tc>
          <w:tcPr>
            <w:tcW w:w="2268" w:type="dxa"/>
            <w:vAlign w:val="center"/>
          </w:tcPr>
          <w:p>
            <w:pPr>
              <w:pStyle w:val="14"/>
            </w:pPr>
            <w:r>
              <w:t>技术支持承诺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≤16万元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信息化覆盖率</w:t>
            </w:r>
          </w:p>
        </w:tc>
        <w:tc>
          <w:tcPr>
            <w:tcW w:w="2835" w:type="dxa"/>
            <w:vAlign w:val="center"/>
          </w:tcPr>
          <w:p>
            <w:pPr>
              <w:pStyle w:val="14"/>
            </w:pPr>
            <w:r>
              <w:t>信息化覆盖率</w:t>
            </w:r>
          </w:p>
        </w:tc>
        <w:tc>
          <w:tcPr>
            <w:tcW w:w="2551" w:type="dxa"/>
            <w:vAlign w:val="center"/>
          </w:tcPr>
          <w:p>
            <w:pPr>
              <w:pStyle w:val="14"/>
            </w:pPr>
            <w:r>
              <w:t>≥100百分比</w:t>
            </w:r>
          </w:p>
        </w:tc>
        <w:tc>
          <w:tcPr>
            <w:tcW w:w="2268"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14、行政服务办公楼运转费绩效目标表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1.提高办公楼整体管理水平，改善办公环境。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资金支持办公场所数量</w:t>
            </w:r>
          </w:p>
        </w:tc>
        <w:tc>
          <w:tcPr>
            <w:tcW w:w="2835" w:type="dxa"/>
            <w:vAlign w:val="center"/>
          </w:tcPr>
          <w:p>
            <w:pPr>
              <w:pStyle w:val="14"/>
            </w:pPr>
            <w:r>
              <w:t>支持的办公场所数量</w:t>
            </w:r>
          </w:p>
        </w:tc>
        <w:tc>
          <w:tcPr>
            <w:tcW w:w="2551" w:type="dxa"/>
            <w:vAlign w:val="center"/>
          </w:tcPr>
          <w:p>
            <w:pPr>
              <w:pStyle w:val="14"/>
            </w:pPr>
            <w:r>
              <w:t>≥3000平方米</w:t>
            </w:r>
          </w:p>
        </w:tc>
        <w:tc>
          <w:tcPr>
            <w:tcW w:w="2268" w:type="dxa"/>
            <w:vAlign w:val="center"/>
          </w:tcPr>
          <w:p>
            <w:pPr>
              <w:pStyle w:val="14"/>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投诉率</w:t>
            </w:r>
          </w:p>
        </w:tc>
        <w:tc>
          <w:tcPr>
            <w:tcW w:w="2835" w:type="dxa"/>
            <w:vAlign w:val="center"/>
          </w:tcPr>
          <w:p>
            <w:pPr>
              <w:pStyle w:val="14"/>
            </w:pPr>
            <w:r>
              <w:t>日常工作中接到的投诉数量</w:t>
            </w:r>
          </w:p>
        </w:tc>
        <w:tc>
          <w:tcPr>
            <w:tcW w:w="2551" w:type="dxa"/>
            <w:vAlign w:val="center"/>
          </w:tcPr>
          <w:p>
            <w:pPr>
              <w:pStyle w:val="14"/>
            </w:pPr>
            <w:r>
              <w:t>≤12次</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2835" w:type="dxa"/>
            <w:vAlign w:val="center"/>
          </w:tcPr>
          <w:p>
            <w:pPr>
              <w:pStyle w:val="14"/>
            </w:pPr>
            <w:r>
              <w:t>及时缴纳各项费用</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≤47.88万元</w:t>
            </w:r>
          </w:p>
        </w:tc>
        <w:tc>
          <w:tcPr>
            <w:tcW w:w="2268"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工作正常运转率</w:t>
            </w:r>
          </w:p>
        </w:tc>
        <w:tc>
          <w:tcPr>
            <w:tcW w:w="2835" w:type="dxa"/>
            <w:vAlign w:val="center"/>
          </w:tcPr>
          <w:p>
            <w:pPr>
              <w:pStyle w:val="14"/>
            </w:pPr>
            <w:r>
              <w:t>工作正常运转情况</w:t>
            </w:r>
          </w:p>
        </w:tc>
        <w:tc>
          <w:tcPr>
            <w:tcW w:w="2551" w:type="dxa"/>
            <w:vAlign w:val="center"/>
          </w:tcPr>
          <w:p>
            <w:pPr>
              <w:pStyle w:val="14"/>
            </w:pPr>
            <w:r>
              <w:t>≥90百分比</w:t>
            </w:r>
          </w:p>
        </w:tc>
        <w:tc>
          <w:tcPr>
            <w:tcW w:w="2268" w:type="dxa"/>
            <w:vAlign w:val="center"/>
          </w:tcPr>
          <w:p>
            <w:pPr>
              <w:pStyle w:val="14"/>
            </w:pPr>
            <w:r>
              <w:t>往年数据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职工满意度</w:t>
            </w:r>
          </w:p>
        </w:tc>
        <w:tc>
          <w:tcPr>
            <w:tcW w:w="2835" w:type="dxa"/>
            <w:vAlign w:val="center"/>
          </w:tcPr>
          <w:p>
            <w:pPr>
              <w:pStyle w:val="14"/>
            </w:pPr>
            <w:r>
              <w:t>职工满意度</w:t>
            </w:r>
          </w:p>
        </w:tc>
        <w:tc>
          <w:tcPr>
            <w:tcW w:w="2551" w:type="dxa"/>
            <w:vAlign w:val="center"/>
          </w:tcPr>
          <w:p>
            <w:pPr>
              <w:pStyle w:val="14"/>
            </w:pPr>
            <w:r>
              <w:t>≥85百分比</w:t>
            </w:r>
          </w:p>
        </w:tc>
        <w:tc>
          <w:tcPr>
            <w:tcW w:w="2268" w:type="dxa"/>
            <w:vAlign w:val="center"/>
          </w:tcPr>
          <w:p>
            <w:pPr>
              <w:pStyle w:val="14"/>
            </w:pPr>
            <w:r>
              <w:t>反馈意见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15、行政事业单位人员培训费绩效目标表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1.按计划开展培训，提高行政事业单位财会人员业务水平。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培训次数</w:t>
            </w:r>
          </w:p>
        </w:tc>
        <w:tc>
          <w:tcPr>
            <w:tcW w:w="2835" w:type="dxa"/>
            <w:vAlign w:val="center"/>
          </w:tcPr>
          <w:p>
            <w:pPr>
              <w:pStyle w:val="14"/>
            </w:pPr>
            <w:r>
              <w:t>组织培训次数</w:t>
            </w:r>
          </w:p>
        </w:tc>
        <w:tc>
          <w:tcPr>
            <w:tcW w:w="2551" w:type="dxa"/>
            <w:vAlign w:val="center"/>
          </w:tcPr>
          <w:p>
            <w:pPr>
              <w:pStyle w:val="14"/>
            </w:pPr>
            <w:r>
              <w:t>≥8次</w:t>
            </w:r>
          </w:p>
        </w:tc>
        <w:tc>
          <w:tcPr>
            <w:tcW w:w="2268" w:type="dxa"/>
            <w:vAlign w:val="center"/>
          </w:tcPr>
          <w:p>
            <w:pPr>
              <w:pStyle w:val="14"/>
            </w:pPr>
            <w:r>
              <w:t>往年培训情况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培训人员人次</w:t>
            </w:r>
          </w:p>
        </w:tc>
        <w:tc>
          <w:tcPr>
            <w:tcW w:w="2835" w:type="dxa"/>
            <w:vAlign w:val="center"/>
          </w:tcPr>
          <w:p>
            <w:pPr>
              <w:pStyle w:val="14"/>
            </w:pPr>
            <w:r>
              <w:t>参加培训人次</w:t>
            </w:r>
          </w:p>
        </w:tc>
        <w:tc>
          <w:tcPr>
            <w:tcW w:w="2551" w:type="dxa"/>
            <w:vAlign w:val="center"/>
          </w:tcPr>
          <w:p>
            <w:pPr>
              <w:pStyle w:val="14"/>
            </w:pPr>
            <w:r>
              <w:t>≥400人次</w:t>
            </w:r>
          </w:p>
        </w:tc>
        <w:tc>
          <w:tcPr>
            <w:tcW w:w="2268" w:type="dxa"/>
            <w:vAlign w:val="center"/>
          </w:tcPr>
          <w:p>
            <w:pPr>
              <w:pStyle w:val="14"/>
            </w:pPr>
            <w:r>
              <w:t>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培训合格率</w:t>
            </w:r>
          </w:p>
        </w:tc>
        <w:tc>
          <w:tcPr>
            <w:tcW w:w="2835" w:type="dxa"/>
            <w:vAlign w:val="center"/>
          </w:tcPr>
          <w:p>
            <w:pPr>
              <w:pStyle w:val="14"/>
            </w:pPr>
            <w:r>
              <w:t>培训合格学员占参训人员比例</w:t>
            </w:r>
          </w:p>
        </w:tc>
        <w:tc>
          <w:tcPr>
            <w:tcW w:w="2551" w:type="dxa"/>
            <w:vAlign w:val="center"/>
          </w:tcPr>
          <w:p>
            <w:pPr>
              <w:pStyle w:val="14"/>
            </w:pPr>
            <w:r>
              <w:t>≥80百分比</w:t>
            </w:r>
          </w:p>
        </w:tc>
        <w:tc>
          <w:tcPr>
            <w:tcW w:w="2268"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≤10万元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对财政工作的正面影响</w:t>
            </w:r>
          </w:p>
        </w:tc>
        <w:tc>
          <w:tcPr>
            <w:tcW w:w="2835" w:type="dxa"/>
            <w:vAlign w:val="center"/>
          </w:tcPr>
          <w:p>
            <w:pPr>
              <w:pStyle w:val="14"/>
            </w:pPr>
            <w:r>
              <w:t>对财政工作的正面影响</w:t>
            </w:r>
          </w:p>
        </w:tc>
        <w:tc>
          <w:tcPr>
            <w:tcW w:w="2551" w:type="dxa"/>
            <w:vAlign w:val="center"/>
          </w:tcPr>
          <w:p>
            <w:pPr>
              <w:pStyle w:val="14"/>
            </w:pPr>
            <w:r>
              <w:t>提升财政工作效率</w:t>
            </w:r>
          </w:p>
        </w:tc>
        <w:tc>
          <w:tcPr>
            <w:tcW w:w="2268" w:type="dxa"/>
            <w:vAlign w:val="center"/>
          </w:tcPr>
          <w:p>
            <w:pPr>
              <w:pStyle w:val="14"/>
            </w:pPr>
            <w:r>
              <w:t>培训结果测试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参训人员满意度</w:t>
            </w:r>
          </w:p>
        </w:tc>
        <w:tc>
          <w:tcPr>
            <w:tcW w:w="2551" w:type="dxa"/>
            <w:vAlign w:val="center"/>
          </w:tcPr>
          <w:p>
            <w:pPr>
              <w:pStyle w:val="14"/>
            </w:pPr>
            <w:r>
              <w:t>≥80百分比</w:t>
            </w:r>
          </w:p>
        </w:tc>
        <w:tc>
          <w:tcPr>
            <w:tcW w:w="2268"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16、英才入冀人员房租补贴绩效目标表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1.保证定向选调生房租补助及时足额发放，提高生活质量。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租房补贴发放人次</w:t>
            </w:r>
          </w:p>
        </w:tc>
        <w:tc>
          <w:tcPr>
            <w:tcW w:w="2835" w:type="dxa"/>
            <w:vAlign w:val="center"/>
          </w:tcPr>
          <w:p>
            <w:pPr>
              <w:pStyle w:val="14"/>
            </w:pPr>
            <w:r>
              <w:t>应享受租房补贴的人数</w:t>
            </w:r>
          </w:p>
        </w:tc>
        <w:tc>
          <w:tcPr>
            <w:tcW w:w="2551" w:type="dxa"/>
            <w:vAlign w:val="center"/>
          </w:tcPr>
          <w:p>
            <w:pPr>
              <w:pStyle w:val="14"/>
            </w:pPr>
            <w:r>
              <w:t>1人</w:t>
            </w:r>
          </w:p>
        </w:tc>
        <w:tc>
          <w:tcPr>
            <w:tcW w:w="2268" w:type="dxa"/>
            <w:vAlign w:val="center"/>
          </w:tcPr>
          <w:p>
            <w:pPr>
              <w:pStyle w:val="14"/>
            </w:pPr>
            <w:r>
              <w:t>组织部提供名单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租房补贴发放率</w:t>
            </w:r>
          </w:p>
        </w:tc>
        <w:tc>
          <w:tcPr>
            <w:tcW w:w="2835" w:type="dxa"/>
            <w:vAlign w:val="center"/>
          </w:tcPr>
          <w:p>
            <w:pPr>
              <w:pStyle w:val="14"/>
            </w:pPr>
            <w:r>
              <w:t>符合发放补贴人员是否全部发放到位</w:t>
            </w:r>
          </w:p>
        </w:tc>
        <w:tc>
          <w:tcPr>
            <w:tcW w:w="2551" w:type="dxa"/>
            <w:vAlign w:val="center"/>
          </w:tcPr>
          <w:p>
            <w:pPr>
              <w:pStyle w:val="14"/>
            </w:pPr>
            <w:r>
              <w:t>100百分比</w:t>
            </w:r>
          </w:p>
        </w:tc>
        <w:tc>
          <w:tcPr>
            <w:tcW w:w="2268" w:type="dxa"/>
            <w:vAlign w:val="center"/>
          </w:tcPr>
          <w:p>
            <w:pPr>
              <w:pStyle w:val="14"/>
            </w:pPr>
            <w:r>
              <w:t>组织部提供名单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租房补贴及时发放金额占总应发金额比率</w:t>
            </w:r>
          </w:p>
        </w:tc>
        <w:tc>
          <w:tcPr>
            <w:tcW w:w="2551" w:type="dxa"/>
            <w:vAlign w:val="center"/>
          </w:tcPr>
          <w:p>
            <w:pPr>
              <w:pStyle w:val="14"/>
            </w:pPr>
            <w:r>
              <w:t>≥95百分比</w:t>
            </w:r>
          </w:p>
        </w:tc>
        <w:tc>
          <w:tcPr>
            <w:tcW w:w="2268" w:type="dxa"/>
            <w:vAlign w:val="center"/>
          </w:tcPr>
          <w:p>
            <w:pPr>
              <w:pStyle w:val="14"/>
            </w:pPr>
            <w:r>
              <w:t>银行转账单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租房补贴发放全额</w:t>
            </w:r>
          </w:p>
        </w:tc>
        <w:tc>
          <w:tcPr>
            <w:tcW w:w="2835" w:type="dxa"/>
            <w:vAlign w:val="center"/>
          </w:tcPr>
          <w:p>
            <w:pPr>
              <w:pStyle w:val="14"/>
            </w:pPr>
            <w:r>
              <w:t>一人一年共计发放金额</w:t>
            </w:r>
          </w:p>
        </w:tc>
        <w:tc>
          <w:tcPr>
            <w:tcW w:w="2551" w:type="dxa"/>
            <w:vAlign w:val="center"/>
          </w:tcPr>
          <w:p>
            <w:pPr>
              <w:pStyle w:val="14"/>
            </w:pPr>
            <w:r>
              <w:t>1.2万元</w:t>
            </w:r>
          </w:p>
        </w:tc>
        <w:tc>
          <w:tcPr>
            <w:tcW w:w="2268"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租房补贴及时领取率</w:t>
            </w:r>
          </w:p>
        </w:tc>
        <w:tc>
          <w:tcPr>
            <w:tcW w:w="2835" w:type="dxa"/>
            <w:vAlign w:val="center"/>
          </w:tcPr>
          <w:p>
            <w:pPr>
              <w:pStyle w:val="14"/>
            </w:pPr>
            <w:r>
              <w:t>已领取租房补贴人数占总应领人数比率</w:t>
            </w:r>
          </w:p>
        </w:tc>
        <w:tc>
          <w:tcPr>
            <w:tcW w:w="2551" w:type="dxa"/>
            <w:vAlign w:val="center"/>
          </w:tcPr>
          <w:p>
            <w:pPr>
              <w:pStyle w:val="14"/>
            </w:pPr>
            <w:r>
              <w:t>100百分比</w:t>
            </w:r>
          </w:p>
        </w:tc>
        <w:tc>
          <w:tcPr>
            <w:tcW w:w="2268" w:type="dxa"/>
            <w:vAlign w:val="center"/>
          </w:tcPr>
          <w:p>
            <w:pPr>
              <w:pStyle w:val="14"/>
            </w:pPr>
            <w:r>
              <w:t>县政府文件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发放对象满意度</w:t>
            </w:r>
          </w:p>
        </w:tc>
        <w:tc>
          <w:tcPr>
            <w:tcW w:w="2835" w:type="dxa"/>
            <w:vAlign w:val="center"/>
          </w:tcPr>
          <w:p>
            <w:pPr>
              <w:pStyle w:val="14"/>
            </w:pPr>
            <w:r>
              <w:t>已发放人数满意的人数占总发放人数比率</w:t>
            </w:r>
          </w:p>
        </w:tc>
        <w:tc>
          <w:tcPr>
            <w:tcW w:w="2551" w:type="dxa"/>
            <w:vAlign w:val="center"/>
          </w:tcPr>
          <w:p>
            <w:pPr>
              <w:pStyle w:val="14"/>
            </w:pPr>
            <w:r>
              <w:t>100百分比</w:t>
            </w:r>
          </w:p>
        </w:tc>
        <w:tc>
          <w:tcPr>
            <w:tcW w:w="2268" w:type="dxa"/>
            <w:vAlign w:val="center"/>
          </w:tcPr>
          <w:p>
            <w:pPr>
              <w:pStyle w:val="14"/>
            </w:pPr>
            <w:r>
              <w:t>县政府文件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17、预算项目绩效评价绩效目标表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1.重点绩效评价项目总规模达到5000万元，及时支付相关费用。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重点项目绩效评价规模</w:t>
            </w:r>
          </w:p>
        </w:tc>
        <w:tc>
          <w:tcPr>
            <w:tcW w:w="2835" w:type="dxa"/>
            <w:vAlign w:val="center"/>
          </w:tcPr>
          <w:p>
            <w:pPr>
              <w:pStyle w:val="14"/>
            </w:pPr>
            <w:r>
              <w:t>重点项目绩效评价规模</w:t>
            </w:r>
          </w:p>
        </w:tc>
        <w:tc>
          <w:tcPr>
            <w:tcW w:w="2551" w:type="dxa"/>
            <w:vAlign w:val="center"/>
          </w:tcPr>
          <w:p>
            <w:pPr>
              <w:pStyle w:val="14"/>
            </w:pPr>
            <w:r>
              <w:t>≥5000万元</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债务管理水平位次提升</w:t>
            </w:r>
          </w:p>
        </w:tc>
        <w:tc>
          <w:tcPr>
            <w:tcW w:w="2835" w:type="dxa"/>
            <w:vAlign w:val="center"/>
          </w:tcPr>
          <w:p>
            <w:pPr>
              <w:pStyle w:val="14"/>
            </w:pPr>
            <w:r>
              <w:t>债务管理水平位次提升</w:t>
            </w:r>
          </w:p>
        </w:tc>
        <w:tc>
          <w:tcPr>
            <w:tcW w:w="2551" w:type="dxa"/>
            <w:vAlign w:val="center"/>
          </w:tcPr>
          <w:p>
            <w:pPr>
              <w:pStyle w:val="14"/>
            </w:pPr>
            <w:r>
              <w:t>≥2位次</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资金拨付到位率</w:t>
            </w:r>
          </w:p>
        </w:tc>
        <w:tc>
          <w:tcPr>
            <w:tcW w:w="2835" w:type="dxa"/>
            <w:vAlign w:val="center"/>
          </w:tcPr>
          <w:p>
            <w:pPr>
              <w:pStyle w:val="14"/>
            </w:pPr>
            <w:r>
              <w:t>资金拨付到位率</w:t>
            </w:r>
          </w:p>
        </w:tc>
        <w:tc>
          <w:tcPr>
            <w:tcW w:w="2551" w:type="dxa"/>
            <w:vAlign w:val="center"/>
          </w:tcPr>
          <w:p>
            <w:pPr>
              <w:pStyle w:val="14"/>
            </w:pPr>
            <w:r>
              <w:t>≥80百分比</w:t>
            </w:r>
          </w:p>
        </w:tc>
        <w:tc>
          <w:tcPr>
            <w:tcW w:w="2268" w:type="dxa"/>
            <w:vAlign w:val="center"/>
          </w:tcPr>
          <w:p>
            <w:pPr>
              <w:pStyle w:val="14"/>
            </w:pPr>
            <w:r>
              <w:t>拨付情况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≤30万元</w:t>
            </w:r>
          </w:p>
        </w:tc>
        <w:tc>
          <w:tcPr>
            <w:tcW w:w="2268" w:type="dxa"/>
            <w:vAlign w:val="center"/>
          </w:tcPr>
          <w:p>
            <w:pPr>
              <w:pStyle w:val="14"/>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债券规模增长</w:t>
            </w:r>
          </w:p>
        </w:tc>
        <w:tc>
          <w:tcPr>
            <w:tcW w:w="2835" w:type="dxa"/>
            <w:vAlign w:val="center"/>
          </w:tcPr>
          <w:p>
            <w:pPr>
              <w:pStyle w:val="14"/>
            </w:pPr>
            <w:r>
              <w:t>债券规模增长</w:t>
            </w:r>
          </w:p>
        </w:tc>
        <w:tc>
          <w:tcPr>
            <w:tcW w:w="2551" w:type="dxa"/>
            <w:vAlign w:val="center"/>
          </w:tcPr>
          <w:p>
            <w:pPr>
              <w:pStyle w:val="14"/>
            </w:pPr>
            <w:r>
              <w:t>≥50百分比</w:t>
            </w:r>
          </w:p>
        </w:tc>
        <w:tc>
          <w:tcPr>
            <w:tcW w:w="2268" w:type="dxa"/>
            <w:vAlign w:val="center"/>
          </w:tcPr>
          <w:p>
            <w:pPr>
              <w:pStyle w:val="14"/>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18、资产评估费绩效目标表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1.增强国有资产管理，做好资产评估工作。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评估项目数量</w:t>
            </w:r>
          </w:p>
        </w:tc>
        <w:tc>
          <w:tcPr>
            <w:tcW w:w="2835" w:type="dxa"/>
            <w:vAlign w:val="center"/>
          </w:tcPr>
          <w:p>
            <w:pPr>
              <w:pStyle w:val="14"/>
            </w:pPr>
            <w:r>
              <w:t>评估项目数量</w:t>
            </w:r>
          </w:p>
        </w:tc>
        <w:tc>
          <w:tcPr>
            <w:tcW w:w="2551" w:type="dxa"/>
            <w:vAlign w:val="center"/>
          </w:tcPr>
          <w:p>
            <w:pPr>
              <w:pStyle w:val="14"/>
            </w:pPr>
            <w:r>
              <w:t>≥16个</w:t>
            </w:r>
          </w:p>
        </w:tc>
        <w:tc>
          <w:tcPr>
            <w:tcW w:w="2268" w:type="dxa"/>
            <w:vAlign w:val="center"/>
          </w:tcPr>
          <w:p>
            <w:pPr>
              <w:pStyle w:val="14"/>
            </w:pPr>
            <w:r>
              <w:t>年初预测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评估报告合格率</w:t>
            </w:r>
          </w:p>
        </w:tc>
        <w:tc>
          <w:tcPr>
            <w:tcW w:w="2835" w:type="dxa"/>
            <w:vAlign w:val="center"/>
          </w:tcPr>
          <w:p>
            <w:pPr>
              <w:pStyle w:val="14"/>
            </w:pPr>
            <w:r>
              <w:t>评估报告合格率</w:t>
            </w:r>
          </w:p>
        </w:tc>
        <w:tc>
          <w:tcPr>
            <w:tcW w:w="2551" w:type="dxa"/>
            <w:vAlign w:val="center"/>
          </w:tcPr>
          <w:p>
            <w:pPr>
              <w:pStyle w:val="14"/>
            </w:pPr>
            <w:r>
              <w:t>≥95百分比</w:t>
            </w:r>
          </w:p>
        </w:tc>
        <w:tc>
          <w:tcPr>
            <w:tcW w:w="2268" w:type="dxa"/>
            <w:vAlign w:val="center"/>
          </w:tcPr>
          <w:p>
            <w:pPr>
              <w:pStyle w:val="14"/>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费用支付率</w:t>
            </w:r>
          </w:p>
        </w:tc>
        <w:tc>
          <w:tcPr>
            <w:tcW w:w="2835" w:type="dxa"/>
            <w:vAlign w:val="center"/>
          </w:tcPr>
          <w:p>
            <w:pPr>
              <w:pStyle w:val="14"/>
            </w:pPr>
            <w:r>
              <w:t>费用支付及时性</w:t>
            </w:r>
          </w:p>
        </w:tc>
        <w:tc>
          <w:tcPr>
            <w:tcW w:w="2551" w:type="dxa"/>
            <w:vAlign w:val="center"/>
          </w:tcPr>
          <w:p>
            <w:pPr>
              <w:pStyle w:val="14"/>
            </w:pPr>
            <w:r>
              <w:t>≥80百分比</w:t>
            </w:r>
          </w:p>
        </w:tc>
        <w:tc>
          <w:tcPr>
            <w:tcW w:w="2268" w:type="dxa"/>
            <w:vAlign w:val="center"/>
          </w:tcPr>
          <w:p>
            <w:pPr>
              <w:pStyle w:val="14"/>
            </w:pPr>
            <w:r>
              <w:t>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经费支出</w:t>
            </w:r>
          </w:p>
        </w:tc>
        <w:tc>
          <w:tcPr>
            <w:tcW w:w="2835" w:type="dxa"/>
            <w:vAlign w:val="center"/>
          </w:tcPr>
          <w:p>
            <w:pPr>
              <w:pStyle w:val="14"/>
            </w:pPr>
            <w:r>
              <w:t>全年经费支出</w:t>
            </w:r>
          </w:p>
        </w:tc>
        <w:tc>
          <w:tcPr>
            <w:tcW w:w="2551" w:type="dxa"/>
            <w:vAlign w:val="center"/>
          </w:tcPr>
          <w:p>
            <w:pPr>
              <w:pStyle w:val="14"/>
            </w:pPr>
            <w:r>
              <w:t>≤130万元</w:t>
            </w:r>
          </w:p>
        </w:tc>
        <w:tc>
          <w:tcPr>
            <w:tcW w:w="2268" w:type="dxa"/>
            <w:vAlign w:val="center"/>
          </w:tcPr>
          <w:p>
            <w:pPr>
              <w:pStyle w:val="14"/>
            </w:pPr>
            <w:r>
              <w:t>支出情况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降低国有资产流失风险</w:t>
            </w:r>
          </w:p>
        </w:tc>
        <w:tc>
          <w:tcPr>
            <w:tcW w:w="2835" w:type="dxa"/>
            <w:vAlign w:val="center"/>
          </w:tcPr>
          <w:p>
            <w:pPr>
              <w:pStyle w:val="14"/>
            </w:pPr>
            <w:r>
              <w:t>降低国有资产流失风险</w:t>
            </w:r>
          </w:p>
        </w:tc>
        <w:tc>
          <w:tcPr>
            <w:tcW w:w="2551" w:type="dxa"/>
            <w:vAlign w:val="center"/>
          </w:tcPr>
          <w:p>
            <w:pPr>
              <w:pStyle w:val="14"/>
            </w:pPr>
            <w:r>
              <w:t>降低国有资产流失风险</w:t>
            </w:r>
          </w:p>
        </w:tc>
        <w:tc>
          <w:tcPr>
            <w:tcW w:w="2268" w:type="dxa"/>
            <w:vAlign w:val="center"/>
          </w:tcPr>
          <w:p>
            <w:pPr>
              <w:pStyle w:val="14"/>
            </w:pPr>
            <w:r>
              <w:t>评估结果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≥80百分比</w:t>
            </w:r>
          </w:p>
        </w:tc>
        <w:tc>
          <w:tcPr>
            <w:tcW w:w="2268" w:type="dxa"/>
            <w:vAlign w:val="center"/>
          </w:tcPr>
          <w:p>
            <w:pPr>
              <w:pStyle w:val="14"/>
            </w:pPr>
            <w:r>
              <w:t>对象反馈</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2022年，隆尧县财政局安排政府采购预算26.44万元。具体内容见下表。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318隆尧县财政局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26.44</w:t>
            </w:r>
          </w:p>
        </w:tc>
        <w:tc>
          <w:tcPr>
            <w:tcW w:w="964" w:type="dxa"/>
            <w:vAlign w:val="center"/>
          </w:tcPr>
          <w:p>
            <w:pPr>
              <w:pStyle w:val="17"/>
            </w:pPr>
            <w:r>
              <w:t>26.44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隆尧县财政局本级小计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26.44</w:t>
            </w:r>
          </w:p>
        </w:tc>
        <w:tc>
          <w:tcPr>
            <w:tcW w:w="964" w:type="dxa"/>
            <w:vAlign w:val="center"/>
          </w:tcPr>
          <w:p>
            <w:pPr>
              <w:pStyle w:val="17"/>
            </w:pPr>
            <w:r>
              <w:t>26.44</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金财工程建设</w:t>
            </w:r>
          </w:p>
        </w:tc>
        <w:tc>
          <w:tcPr>
            <w:tcW w:w="964" w:type="dxa"/>
            <w:vAlign w:val="center"/>
          </w:tcPr>
          <w:p>
            <w:pPr>
              <w:pStyle w:val="13"/>
            </w:pPr>
            <w:r>
              <w:t>37.00</w:t>
            </w:r>
          </w:p>
        </w:tc>
        <w:tc>
          <w:tcPr>
            <w:tcW w:w="1134" w:type="dxa"/>
            <w:vAlign w:val="center"/>
          </w:tcPr>
          <w:p>
            <w:pPr>
              <w:pStyle w:val="14"/>
            </w:pPr>
            <w:r>
              <w:t>软件运维服务</w:t>
            </w:r>
          </w:p>
        </w:tc>
        <w:tc>
          <w:tcPr>
            <w:tcW w:w="1134" w:type="dxa"/>
            <w:vAlign w:val="center"/>
          </w:tcPr>
          <w:p>
            <w:pPr>
              <w:pStyle w:val="14"/>
            </w:pPr>
            <w:r>
              <w:t>C020603</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7.12</w:t>
            </w:r>
          </w:p>
        </w:tc>
        <w:tc>
          <w:tcPr>
            <w:tcW w:w="964" w:type="dxa"/>
            <w:vAlign w:val="center"/>
          </w:tcPr>
          <w:p>
            <w:pPr>
              <w:pStyle w:val="13"/>
            </w:pPr>
            <w:r>
              <w:t>7.12</w:t>
            </w:r>
          </w:p>
        </w:tc>
        <w:tc>
          <w:tcPr>
            <w:tcW w:w="964" w:type="dxa"/>
            <w:vAlign w:val="center"/>
          </w:tcPr>
          <w:p>
            <w:pPr>
              <w:pStyle w:val="13"/>
            </w:pPr>
            <w:r>
              <w:t>7.12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台式计算机</w:t>
            </w:r>
          </w:p>
        </w:tc>
        <w:tc>
          <w:tcPr>
            <w:tcW w:w="1134" w:type="dxa"/>
            <w:vAlign w:val="center"/>
          </w:tcPr>
          <w:p>
            <w:pPr>
              <w:pStyle w:val="14"/>
            </w:pPr>
            <w:r>
              <w:t>A02010104</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0.50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多功能一体机</w:t>
            </w:r>
          </w:p>
        </w:tc>
        <w:tc>
          <w:tcPr>
            <w:tcW w:w="1134" w:type="dxa"/>
            <w:vAlign w:val="center"/>
          </w:tcPr>
          <w:p>
            <w:pPr>
              <w:pStyle w:val="14"/>
            </w:pPr>
            <w:r>
              <w:t>A020204</w:t>
            </w:r>
          </w:p>
        </w:tc>
        <w:tc>
          <w:tcPr>
            <w:tcW w:w="709" w:type="dxa"/>
            <w:vAlign w:val="center"/>
          </w:tcPr>
          <w:p>
            <w:pPr>
              <w:pStyle w:val="15"/>
            </w:pPr>
            <w:r>
              <w:t>台</w:t>
            </w:r>
          </w:p>
        </w:tc>
        <w:tc>
          <w:tcPr>
            <w:tcW w:w="850" w:type="dxa"/>
            <w:vAlign w:val="center"/>
          </w:tcPr>
          <w:p>
            <w:pPr>
              <w:pStyle w:val="13"/>
            </w:pPr>
            <w:r>
              <w:t>8</w:t>
            </w:r>
          </w:p>
        </w:tc>
        <w:tc>
          <w:tcPr>
            <w:tcW w:w="850" w:type="dxa"/>
            <w:vAlign w:val="center"/>
          </w:tcPr>
          <w:p>
            <w:pPr>
              <w:pStyle w:val="13"/>
            </w:pPr>
            <w:r>
              <w:t>0.20</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碎纸机</w:t>
            </w:r>
          </w:p>
        </w:tc>
        <w:tc>
          <w:tcPr>
            <w:tcW w:w="1134" w:type="dxa"/>
            <w:vAlign w:val="center"/>
          </w:tcPr>
          <w:p>
            <w:pPr>
              <w:pStyle w:val="14"/>
            </w:pPr>
            <w:r>
              <w:t>A02021101</w:t>
            </w:r>
          </w:p>
        </w:tc>
        <w:tc>
          <w:tcPr>
            <w:tcW w:w="709" w:type="dxa"/>
            <w:vAlign w:val="center"/>
          </w:tcPr>
          <w:p>
            <w:pPr>
              <w:pStyle w:val="15"/>
            </w:pPr>
            <w:r>
              <w:t>台</w:t>
            </w:r>
          </w:p>
        </w:tc>
        <w:tc>
          <w:tcPr>
            <w:tcW w:w="850" w:type="dxa"/>
            <w:vAlign w:val="center"/>
          </w:tcPr>
          <w:p>
            <w:pPr>
              <w:pStyle w:val="13"/>
            </w:pPr>
            <w:r>
              <w:t>4</w:t>
            </w:r>
          </w:p>
        </w:tc>
        <w:tc>
          <w:tcPr>
            <w:tcW w:w="850" w:type="dxa"/>
            <w:vAlign w:val="center"/>
          </w:tcPr>
          <w:p>
            <w:pPr>
              <w:pStyle w:val="13"/>
            </w:pPr>
            <w:r>
              <w:t>0.10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空调机</w:t>
            </w:r>
          </w:p>
        </w:tc>
        <w:tc>
          <w:tcPr>
            <w:tcW w:w="1134" w:type="dxa"/>
            <w:vAlign w:val="center"/>
          </w:tcPr>
          <w:p>
            <w:pPr>
              <w:pStyle w:val="14"/>
            </w:pPr>
            <w:r>
              <w:t>A0206180203</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0.30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木制台、桌类</w:t>
            </w:r>
          </w:p>
        </w:tc>
        <w:tc>
          <w:tcPr>
            <w:tcW w:w="1134" w:type="dxa"/>
            <w:vAlign w:val="center"/>
          </w:tcPr>
          <w:p>
            <w:pPr>
              <w:pStyle w:val="14"/>
            </w:pPr>
            <w:r>
              <w:t>A060205</w:t>
            </w:r>
          </w:p>
        </w:tc>
        <w:tc>
          <w:tcPr>
            <w:tcW w:w="709" w:type="dxa"/>
            <w:vAlign w:val="center"/>
          </w:tcPr>
          <w:p>
            <w:pPr>
              <w:pStyle w:val="15"/>
            </w:pPr>
            <w:r>
              <w:t>张</w:t>
            </w:r>
          </w:p>
        </w:tc>
        <w:tc>
          <w:tcPr>
            <w:tcW w:w="850" w:type="dxa"/>
            <w:vAlign w:val="center"/>
          </w:tcPr>
          <w:p>
            <w:pPr>
              <w:pStyle w:val="13"/>
            </w:pPr>
            <w:r>
              <w:t>10</w:t>
            </w:r>
          </w:p>
        </w:tc>
        <w:tc>
          <w:tcPr>
            <w:tcW w:w="850" w:type="dxa"/>
            <w:vAlign w:val="center"/>
          </w:tcPr>
          <w:p>
            <w:pPr>
              <w:pStyle w:val="13"/>
            </w:pPr>
            <w:r>
              <w:t>0.10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设备购置</w:t>
            </w:r>
          </w:p>
        </w:tc>
        <w:tc>
          <w:tcPr>
            <w:tcW w:w="964" w:type="dxa"/>
            <w:vAlign w:val="center"/>
          </w:tcPr>
          <w:p>
            <w:pPr>
              <w:pStyle w:val="13"/>
            </w:pPr>
            <w:r>
              <w:t>10.00</w:t>
            </w:r>
          </w:p>
        </w:tc>
        <w:tc>
          <w:tcPr>
            <w:tcW w:w="1134" w:type="dxa"/>
            <w:vAlign w:val="center"/>
          </w:tcPr>
          <w:p>
            <w:pPr>
              <w:pStyle w:val="14"/>
            </w:pPr>
            <w:r>
              <w:t>金属骨架为主的椅凳类</w:t>
            </w:r>
          </w:p>
        </w:tc>
        <w:tc>
          <w:tcPr>
            <w:tcW w:w="1134" w:type="dxa"/>
            <w:vAlign w:val="center"/>
          </w:tcPr>
          <w:p>
            <w:pPr>
              <w:pStyle w:val="14"/>
            </w:pPr>
            <w:r>
              <w:t>A060301</w:t>
            </w:r>
          </w:p>
        </w:tc>
        <w:tc>
          <w:tcPr>
            <w:tcW w:w="709" w:type="dxa"/>
            <w:vAlign w:val="center"/>
          </w:tcPr>
          <w:p>
            <w:pPr>
              <w:pStyle w:val="15"/>
            </w:pPr>
            <w:r>
              <w:t>把</w:t>
            </w:r>
          </w:p>
        </w:tc>
        <w:tc>
          <w:tcPr>
            <w:tcW w:w="850" w:type="dxa"/>
            <w:vAlign w:val="center"/>
          </w:tcPr>
          <w:p>
            <w:pPr>
              <w:pStyle w:val="13"/>
            </w:pPr>
            <w:r>
              <w:t>10</w:t>
            </w:r>
          </w:p>
        </w:tc>
        <w:tc>
          <w:tcPr>
            <w:tcW w:w="850" w:type="dxa"/>
            <w:vAlign w:val="center"/>
          </w:tcPr>
          <w:p>
            <w:pPr>
              <w:pStyle w:val="13"/>
            </w:pPr>
            <w:r>
              <w:t>0.05</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信息一体化建设</w:t>
            </w:r>
          </w:p>
        </w:tc>
        <w:tc>
          <w:tcPr>
            <w:tcW w:w="964" w:type="dxa"/>
            <w:vAlign w:val="center"/>
          </w:tcPr>
          <w:p>
            <w:pPr>
              <w:pStyle w:val="13"/>
            </w:pPr>
            <w:r>
              <w:t>16.00</w:t>
            </w:r>
          </w:p>
        </w:tc>
        <w:tc>
          <w:tcPr>
            <w:tcW w:w="1134" w:type="dxa"/>
            <w:vAlign w:val="center"/>
          </w:tcPr>
          <w:p>
            <w:pPr>
              <w:pStyle w:val="14"/>
            </w:pPr>
            <w:r>
              <w:t>服务器</w:t>
            </w:r>
          </w:p>
        </w:tc>
        <w:tc>
          <w:tcPr>
            <w:tcW w:w="1134" w:type="dxa"/>
            <w:vAlign w:val="center"/>
          </w:tcPr>
          <w:p>
            <w:pPr>
              <w:pStyle w:val="14"/>
            </w:pPr>
            <w:r>
              <w:t>A02010103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行政服务办公楼运转费</w:t>
            </w:r>
          </w:p>
        </w:tc>
        <w:tc>
          <w:tcPr>
            <w:tcW w:w="964" w:type="dxa"/>
            <w:vAlign w:val="center"/>
          </w:tcPr>
          <w:p>
            <w:pPr>
              <w:pStyle w:val="13"/>
            </w:pPr>
            <w:r>
              <w:t>47.88</w:t>
            </w:r>
          </w:p>
        </w:tc>
        <w:tc>
          <w:tcPr>
            <w:tcW w:w="1134" w:type="dxa"/>
            <w:vAlign w:val="center"/>
          </w:tcPr>
          <w:p>
            <w:pPr>
              <w:pStyle w:val="14"/>
            </w:pPr>
            <w:r>
              <w:t>物业管理服务</w:t>
            </w:r>
          </w:p>
        </w:tc>
        <w:tc>
          <w:tcPr>
            <w:tcW w:w="1134" w:type="dxa"/>
            <w:vAlign w:val="center"/>
          </w:tcPr>
          <w:p>
            <w:pPr>
              <w:pStyle w:val="14"/>
            </w:pPr>
            <w:r>
              <w:t>C1204</w:t>
            </w:r>
          </w:p>
        </w:tc>
        <w:tc>
          <w:tcPr>
            <w:tcW w:w="709" w:type="dxa"/>
            <w:vAlign w:val="center"/>
          </w:tcPr>
          <w:p>
            <w:pPr>
              <w:pStyle w:val="15"/>
            </w:pPr>
            <w:r>
              <w:t>月</w:t>
            </w:r>
          </w:p>
        </w:tc>
        <w:tc>
          <w:tcPr>
            <w:tcW w:w="850" w:type="dxa"/>
            <w:vAlign w:val="center"/>
          </w:tcPr>
          <w:p>
            <w:pPr>
              <w:pStyle w:val="13"/>
            </w:pPr>
            <w:r>
              <w:t>12</w:t>
            </w:r>
          </w:p>
        </w:tc>
        <w:tc>
          <w:tcPr>
            <w:tcW w:w="850" w:type="dxa"/>
            <w:vAlign w:val="center"/>
          </w:tcPr>
          <w:p>
            <w:pPr>
              <w:pStyle w:val="13"/>
            </w:pPr>
            <w:r>
              <w:t>0.61</w:t>
            </w:r>
          </w:p>
        </w:tc>
        <w:tc>
          <w:tcPr>
            <w:tcW w:w="964" w:type="dxa"/>
            <w:vAlign w:val="center"/>
          </w:tcPr>
          <w:p>
            <w:pPr>
              <w:pStyle w:val="13"/>
            </w:pPr>
            <w:r>
              <w:t>7.32</w:t>
            </w:r>
          </w:p>
        </w:tc>
        <w:tc>
          <w:tcPr>
            <w:tcW w:w="964" w:type="dxa"/>
            <w:vAlign w:val="center"/>
          </w:tcPr>
          <w:p>
            <w:pPr>
              <w:pStyle w:val="13"/>
            </w:pPr>
            <w:r>
              <w:t>7.32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7.32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隆尧县财政局（含所属单位）上年末固定资产金额为1956.34万元（详见下表）。本年度拟购置固定资产总额为16.00万元，已按要求列入政府采购预算，详见政府采购预算表。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318隆尧县财政局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1956.34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6099.90</w:t>
            </w:r>
          </w:p>
        </w:tc>
        <w:tc>
          <w:tcPr>
            <w:tcW w:w="2835" w:type="dxa"/>
            <w:vAlign w:val="center"/>
          </w:tcPr>
          <w:p>
            <w:pPr>
              <w:pStyle w:val="13"/>
            </w:pPr>
            <w:r>
              <w:t>1651.48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w:t>
            </w:r>
          </w:p>
        </w:tc>
        <w:tc>
          <w:tcPr>
            <w:tcW w:w="2835" w:type="dxa"/>
            <w:vAlign w:val="center"/>
          </w:tcPr>
          <w:p>
            <w:pPr>
              <w:pStyle w:val="13"/>
            </w:pPr>
            <w:r>
              <w:t>30.28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458</w:t>
            </w:r>
          </w:p>
        </w:tc>
        <w:tc>
          <w:tcPr>
            <w:tcW w:w="2835" w:type="dxa"/>
            <w:vAlign w:val="center"/>
          </w:tcPr>
          <w:p>
            <w:pPr>
              <w:pStyle w:val="13"/>
            </w:pPr>
            <w:r>
              <w:t>290.58</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我部门无其他需要说明的事项。</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script"/>
    <w:pitch w:val="default"/>
    <w:sig w:usb0="00000000" w:usb1="00000000" w:usb2="00000000" w:usb3="00000000" w:csb0="00000000" w:csb1="00000000"/>
  </w:font>
  <w:font w:name="方正书宋_GBK">
    <w:altName w:val="宋体"/>
    <w:panose1 w:val="00000000000000000000"/>
    <w:charset w:val="86"/>
    <w:family w:val="script"/>
    <w:pitch w:val="default"/>
    <w:sig w:usb0="00000000" w:usb1="00000000" w:usb2="00000010" w:usb3="00000000" w:csb0="0004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GE0Yjc3NjVlOWNlODZjZDM1MGY0OTA2YzRlMzM2YmQifQ=="/>
  </w:docVars>
  <w:rsids>
    <w:rsidRoot w:val="00E55BC4"/>
    <w:rsid w:val="0026611C"/>
    <w:rsid w:val="0067199D"/>
    <w:rsid w:val="00E31BB3"/>
    <w:rsid w:val="00E55BC4"/>
    <w:rsid w:val="6BCA52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fontTable.xml" Type="http://schemas.openxmlformats.org/officeDocument/2006/relationships/fontTable"/><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2022-02-18T18:47:38Z</dcterms:created>
  <dcterms:modified xsi:type="dcterms:W3CDTF">2022-02-18T10:47:38Z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2022-02-18T18:47:30Z</dcterms:created>
  <dcterms:modified xsi:type="dcterms:W3CDTF">2022-02-18T10:47:29Z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2022-02-18T18:47:33Z</dcterms:created>
  <dcterms:modified xsi:type="dcterms:W3CDTF">2022-02-18T10:47:33Z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2022-02-18T18:47:36Z</dcterms:created>
  <dcterms:modified xsi:type="dcterms:W3CDTF">2022-02-18T10:47:36Z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2022-02-18T18:47:37Z</dcterms:created>
  <dcterms:modified xsi:type="dcterms:W3CDTF">2022-02-18T10:47:37Z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2022-02-18T18:47:35Z</dcterms:created>
  <dcterms:modified xsi:type="dcterms:W3CDTF">2022-02-18T10:47:35Z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2022-02-18T18:47:32Z</dcterms:created>
  <dcterms:modified xsi:type="dcterms:W3CDTF">2022-02-18T10:47:32Z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2022-02-18T18:47:31Z</dcterms:created>
  <dcterms:modified xsi:type="dcterms:W3CDTF">2022-02-18T10:47:31Z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9E65A86-D25A-4BA1-9779-CCC24C475945}">
  <ds:schemaRefs/>
</ds:datastoreItem>
</file>

<file path=customXml/itemProps10.xml><?xml version="1.0" encoding="utf-8"?>
<ds:datastoreItem xmlns:ds="http://schemas.openxmlformats.org/officeDocument/2006/customXml" ds:itemID="{2AD4F012-8D6E-40C5-91CE-3C9DFD3721AB}">
  <ds:schemaRefs/>
</ds:datastoreItem>
</file>

<file path=customXml/itemProps11.xml><?xml version="1.0" encoding="utf-8"?>
<ds:datastoreItem xmlns:ds="http://schemas.openxmlformats.org/officeDocument/2006/customXml" ds:itemID="{EF995C04-9173-4470-AE9D-1671EB227BAD}">
  <ds:schemaRefs/>
</ds:datastoreItem>
</file>

<file path=customXml/itemProps12.xml><?xml version="1.0" encoding="utf-8"?>
<ds:datastoreItem xmlns:ds="http://schemas.openxmlformats.org/officeDocument/2006/customXml" ds:itemID="{5A1C00AB-39D1-4B7F-84D2-458847B57A0F}">
  <ds:schemaRefs/>
</ds:datastoreItem>
</file>

<file path=customXml/itemProps13.xml><?xml version="1.0" encoding="utf-8"?>
<ds:datastoreItem xmlns:ds="http://schemas.openxmlformats.org/officeDocument/2006/customXml" ds:itemID="{1990151F-D86F-4A7B-8BEC-ECB61F81E954}">
  <ds:schemaRefs/>
</ds:datastoreItem>
</file>

<file path=customXml/itemProps14.xml><?xml version="1.0" encoding="utf-8"?>
<ds:datastoreItem xmlns:ds="http://schemas.openxmlformats.org/officeDocument/2006/customXml" ds:itemID="{69A5CA71-D66A-45E4-89A8-989E6B24C3BF}">
  <ds:schemaRefs/>
</ds:datastoreItem>
</file>

<file path=customXml/itemProps15.xml><?xml version="1.0" encoding="utf-8"?>
<ds:datastoreItem xmlns:ds="http://schemas.openxmlformats.org/officeDocument/2006/customXml" ds:itemID="{A227663D-794F-4612-9F73-AE97AA4FC07D}">
  <ds:schemaRefs/>
</ds:datastoreItem>
</file>

<file path=customXml/itemProps16.xml><?xml version="1.0" encoding="utf-8"?>
<ds:datastoreItem xmlns:ds="http://schemas.openxmlformats.org/officeDocument/2006/customXml" ds:itemID="{1D5590C9-3919-4916-A7F5-319A39504FAB}">
  <ds:schemaRefs/>
</ds:datastoreItem>
</file>

<file path=customXml/itemProps17.xml><?xml version="1.0" encoding="utf-8"?>
<ds:datastoreItem xmlns:ds="http://schemas.openxmlformats.org/officeDocument/2006/customXml" ds:itemID="{82632DBD-CB0F-469B-BC89-ACF6DD3281DD}">
  <ds:schemaRefs/>
</ds:datastoreItem>
</file>

<file path=customXml/itemProps18.xml><?xml version="1.0" encoding="utf-8"?>
<ds:datastoreItem xmlns:ds="http://schemas.openxmlformats.org/officeDocument/2006/customXml" ds:itemID="{DF855030-ADDC-412F-8A71-333FCA20ABB4}">
  <ds:schemaRefs/>
</ds:datastoreItem>
</file>

<file path=customXml/itemProps19.xml><?xml version="1.0" encoding="utf-8"?>
<ds:datastoreItem xmlns:ds="http://schemas.openxmlformats.org/officeDocument/2006/customXml" ds:itemID="{9435F263-4225-42BD-930B-38F5FA0F761A}">
  <ds:schemaRefs/>
</ds:datastoreItem>
</file>

<file path=customXml/itemProps2.xml><?xml version="1.0" encoding="utf-8"?>
<ds:datastoreItem xmlns:ds="http://schemas.openxmlformats.org/officeDocument/2006/customXml" ds:itemID="{7C5D268E-24CD-47CA-9D4C-0FA9F692C09E}">
  <ds:schemaRefs/>
</ds:datastoreItem>
</file>

<file path=customXml/itemProps20.xml><?xml version="1.0" encoding="utf-8"?>
<ds:datastoreItem xmlns:ds="http://schemas.openxmlformats.org/officeDocument/2006/customXml" ds:itemID="{3BF4F1E1-9B24-4619-9981-5DB5C198EE08}">
  <ds:schemaRefs/>
</ds:datastoreItem>
</file>

<file path=customXml/itemProps21.xml><?xml version="1.0" encoding="utf-8"?>
<ds:datastoreItem xmlns:ds="http://schemas.openxmlformats.org/officeDocument/2006/customXml" ds:itemID="{B9441CFC-5D3B-4DFA-9F1D-1A7E0E3EDE0D}">
  <ds:schemaRefs/>
</ds:datastoreItem>
</file>

<file path=customXml/itemProps22.xml><?xml version="1.0" encoding="utf-8"?>
<ds:datastoreItem xmlns:ds="http://schemas.openxmlformats.org/officeDocument/2006/customXml" ds:itemID="{596E1C04-EEFC-4F72-9E88-8425834B85F5}">
  <ds:schemaRefs/>
</ds:datastoreItem>
</file>

<file path=customXml/itemProps23.xml><?xml version="1.0" encoding="utf-8"?>
<ds:datastoreItem xmlns:ds="http://schemas.openxmlformats.org/officeDocument/2006/customXml" ds:itemID="{1D121691-4924-4C9C-A4BE-4260251D4DF2}">
  <ds:schemaRefs/>
</ds:datastoreItem>
</file>

<file path=customXml/itemProps24.xml><?xml version="1.0" encoding="utf-8"?>
<ds:datastoreItem xmlns:ds="http://schemas.openxmlformats.org/officeDocument/2006/customXml" ds:itemID="{0B6FBDAF-C720-4214-BC84-9BFB97BD493F}">
  <ds:schemaRefs/>
</ds:datastoreItem>
</file>

<file path=customXml/itemProps25.xml><?xml version="1.0" encoding="utf-8"?>
<ds:datastoreItem xmlns:ds="http://schemas.openxmlformats.org/officeDocument/2006/customXml" ds:itemID="{0A8BAB12-E204-4807-8542-6C80F1600413}">
  <ds:schemaRefs/>
</ds:datastoreItem>
</file>

<file path=customXml/itemProps26.xml><?xml version="1.0" encoding="utf-8"?>
<ds:datastoreItem xmlns:ds="http://schemas.openxmlformats.org/officeDocument/2006/customXml" ds:itemID="{CCBB81ED-DD24-453D-BA6C-7C03B7BA882C}">
  <ds:schemaRefs/>
</ds:datastoreItem>
</file>

<file path=customXml/itemProps27.xml><?xml version="1.0" encoding="utf-8"?>
<ds:datastoreItem xmlns:ds="http://schemas.openxmlformats.org/officeDocument/2006/customXml" ds:itemID="{767F2C7C-32F8-44D0-AEDE-8EACE5F8C917}">
  <ds:schemaRefs/>
</ds:datastoreItem>
</file>

<file path=customXml/itemProps28.xml><?xml version="1.0" encoding="utf-8"?>
<ds:datastoreItem xmlns:ds="http://schemas.openxmlformats.org/officeDocument/2006/customXml" ds:itemID="{E49F9903-8873-4F06-AF1E-8EEB1E3970FE}">
  <ds:schemaRefs/>
</ds:datastoreItem>
</file>

<file path=customXml/itemProps29.xml><?xml version="1.0" encoding="utf-8"?>
<ds:datastoreItem xmlns:ds="http://schemas.openxmlformats.org/officeDocument/2006/customXml" ds:itemID="{7F095044-6694-4B1B-A445-0BD1A308FBFD}">
  <ds:schemaRefs/>
</ds:datastoreItem>
</file>

<file path=customXml/itemProps3.xml><?xml version="1.0" encoding="utf-8"?>
<ds:datastoreItem xmlns:ds="http://schemas.openxmlformats.org/officeDocument/2006/customXml" ds:itemID="{5FE77609-8E96-4E08-9CB2-2B948B56812C}">
  <ds:schemaRefs/>
</ds:datastoreItem>
</file>

<file path=customXml/itemProps30.xml><?xml version="1.0" encoding="utf-8"?>
<ds:datastoreItem xmlns:ds="http://schemas.openxmlformats.org/officeDocument/2006/customXml" ds:itemID="{81E98335-0410-45B8-8D5F-D073E2277E13}">
  <ds:schemaRefs/>
</ds:datastoreItem>
</file>

<file path=customXml/itemProps31.xml><?xml version="1.0" encoding="utf-8"?>
<ds:datastoreItem xmlns:ds="http://schemas.openxmlformats.org/officeDocument/2006/customXml" ds:itemID="{C3575B3E-06BC-40AD-BCA7-DAD3754B7D82}">
  <ds:schemaRefs/>
</ds:datastoreItem>
</file>

<file path=customXml/itemProps32.xml><?xml version="1.0" encoding="utf-8"?>
<ds:datastoreItem xmlns:ds="http://schemas.openxmlformats.org/officeDocument/2006/customXml" ds:itemID="{72E1A73D-1CB4-4CE4-8A2B-31F6164AF638}">
  <ds:schemaRefs/>
</ds:datastoreItem>
</file>

<file path=customXml/itemProps33.xml><?xml version="1.0" encoding="utf-8"?>
<ds:datastoreItem xmlns:ds="http://schemas.openxmlformats.org/officeDocument/2006/customXml" ds:itemID="{084C02B0-4720-4AC1-87F7-9F3976EB29A9}">
  <ds:schemaRefs/>
</ds:datastoreItem>
</file>

<file path=customXml/itemProps34.xml><?xml version="1.0" encoding="utf-8"?>
<ds:datastoreItem xmlns:ds="http://schemas.openxmlformats.org/officeDocument/2006/customXml" ds:itemID="{4D4733BF-0F20-4EC6-8419-1E4306AD9F85}">
  <ds:schemaRefs/>
</ds:datastoreItem>
</file>

<file path=customXml/itemProps35.xml><?xml version="1.0" encoding="utf-8"?>
<ds:datastoreItem xmlns:ds="http://schemas.openxmlformats.org/officeDocument/2006/customXml" ds:itemID="{B488518F-3EF2-49D7-9EA7-30DB8C8D0857}">
  <ds:schemaRefs/>
</ds:datastoreItem>
</file>

<file path=customXml/itemProps36.xml><?xml version="1.0" encoding="utf-8"?>
<ds:datastoreItem xmlns:ds="http://schemas.openxmlformats.org/officeDocument/2006/customXml" ds:itemID="{EC429162-DD2E-4095-8D9C-E049801CEAA6}">
  <ds:schemaRefs/>
</ds:datastoreItem>
</file>

<file path=customXml/itemProps37.xml><?xml version="1.0" encoding="utf-8"?>
<ds:datastoreItem xmlns:ds="http://schemas.openxmlformats.org/officeDocument/2006/customXml" ds:itemID="{CC8A4BB8-65FC-4ADE-8F96-D52573286922}">
  <ds:schemaRefs/>
</ds:datastoreItem>
</file>

<file path=customXml/itemProps38.xml><?xml version="1.0" encoding="utf-8"?>
<ds:datastoreItem xmlns:ds="http://schemas.openxmlformats.org/officeDocument/2006/customXml" ds:itemID="{C460B49A-8286-45EE-A788-4FD7DC11664A}">
  <ds:schemaRefs/>
</ds:datastoreItem>
</file>

<file path=customXml/itemProps39.xml><?xml version="1.0" encoding="utf-8"?>
<ds:datastoreItem xmlns:ds="http://schemas.openxmlformats.org/officeDocument/2006/customXml" ds:itemID="{C4D15B76-BAB4-44E9-A8AB-750D0A109C2F}">
  <ds:schemaRefs/>
</ds:datastoreItem>
</file>

<file path=customXml/itemProps4.xml><?xml version="1.0" encoding="utf-8"?>
<ds:datastoreItem xmlns:ds="http://schemas.openxmlformats.org/officeDocument/2006/customXml" ds:itemID="{FF0F5F16-D02E-44C6-A11F-709586888E54}">
  <ds:schemaRefs/>
</ds:datastoreItem>
</file>

<file path=customXml/itemProps40.xml><?xml version="1.0" encoding="utf-8"?>
<ds:datastoreItem xmlns:ds="http://schemas.openxmlformats.org/officeDocument/2006/customXml" ds:itemID="{9F5BEB8A-E0C0-4042-A108-429101F9B151}">
  <ds:schemaRefs/>
</ds:datastoreItem>
</file>

<file path=customXml/itemProps41.xml><?xml version="1.0" encoding="utf-8"?>
<ds:datastoreItem xmlns:ds="http://schemas.openxmlformats.org/officeDocument/2006/customXml" ds:itemID="{06FF11A2-C44D-42DF-88A6-B744BC4399F7}">
  <ds:schemaRefs/>
</ds:datastoreItem>
</file>

<file path=customXml/itemProps42.xml><?xml version="1.0" encoding="utf-8"?>
<ds:datastoreItem xmlns:ds="http://schemas.openxmlformats.org/officeDocument/2006/customXml" ds:itemID="{75FB4857-5806-4C06-A717-955604E438CE}">
  <ds:schemaRefs/>
</ds:datastoreItem>
</file>

<file path=customXml/itemProps43.xml><?xml version="1.0" encoding="utf-8"?>
<ds:datastoreItem xmlns:ds="http://schemas.openxmlformats.org/officeDocument/2006/customXml" ds:itemID="{F51EED4E-BFD5-48EB-B45E-2035BF809CBD}">
  <ds:schemaRefs/>
</ds:datastoreItem>
</file>

<file path=customXml/itemProps44.xml><?xml version="1.0" encoding="utf-8"?>
<ds:datastoreItem xmlns:ds="http://schemas.openxmlformats.org/officeDocument/2006/customXml" ds:itemID="{20ECD189-F58E-478D-B063-6A45B4AA6E30}">
  <ds:schemaRefs/>
</ds:datastoreItem>
</file>

<file path=customXml/itemProps45.xml><?xml version="1.0" encoding="utf-8"?>
<ds:datastoreItem xmlns:ds="http://schemas.openxmlformats.org/officeDocument/2006/customXml" ds:itemID="{5790E98D-745E-4135-95E2-5A0DE88E4E60}">
  <ds:schemaRefs/>
</ds:datastoreItem>
</file>

<file path=customXml/itemProps46.xml><?xml version="1.0" encoding="utf-8"?>
<ds:datastoreItem xmlns:ds="http://schemas.openxmlformats.org/officeDocument/2006/customXml" ds:itemID="{BF943E16-E7EF-4409-A699-E21F9F4189DB}">
  <ds:schemaRefs/>
</ds:datastoreItem>
</file>

<file path=customXml/itemProps47.xml><?xml version="1.0" encoding="utf-8"?>
<ds:datastoreItem xmlns:ds="http://schemas.openxmlformats.org/officeDocument/2006/customXml" ds:itemID="{35C72F4D-C385-4C93-8A55-9597A121E156}">
  <ds:schemaRefs/>
</ds:datastoreItem>
</file>

<file path=customXml/itemProps48.xml><?xml version="1.0" encoding="utf-8"?>
<ds:datastoreItem xmlns:ds="http://schemas.openxmlformats.org/officeDocument/2006/customXml" ds:itemID="{BA116566-5965-4A40-AE41-6C22FB2BAA86}">
  <ds:schemaRefs/>
</ds:datastoreItem>
</file>

<file path=customXml/itemProps49.xml><?xml version="1.0" encoding="utf-8"?>
<ds:datastoreItem xmlns:ds="http://schemas.openxmlformats.org/officeDocument/2006/customXml" ds:itemID="{0EB7BC8F-877D-4EED-9437-7E21F7E8277C}">
  <ds:schemaRefs/>
</ds:datastoreItem>
</file>

<file path=customXml/itemProps5.xml><?xml version="1.0" encoding="utf-8"?>
<ds:datastoreItem xmlns:ds="http://schemas.openxmlformats.org/officeDocument/2006/customXml" ds:itemID="{10B67F96-4A9B-4DE0-8F3B-567672F09BE1}">
  <ds:schemaRefs/>
</ds:datastoreItem>
</file>

<file path=customXml/itemProps50.xml><?xml version="1.0" encoding="utf-8"?>
<ds:datastoreItem xmlns:ds="http://schemas.openxmlformats.org/officeDocument/2006/customXml" ds:itemID="{C72C2693-C35C-4364-A2EF-5A56FFAB4F7F}">
  <ds:schemaRefs/>
</ds:datastoreItem>
</file>

<file path=customXml/itemProps51.xml><?xml version="1.0" encoding="utf-8"?>
<ds:datastoreItem xmlns:ds="http://schemas.openxmlformats.org/officeDocument/2006/customXml" ds:itemID="{CBAB019E-9FE5-47E7-8908-AD492597FB81}">
  <ds:schemaRefs/>
</ds:datastoreItem>
</file>

<file path=customXml/itemProps52.xml><?xml version="1.0" encoding="utf-8"?>
<ds:datastoreItem xmlns:ds="http://schemas.openxmlformats.org/officeDocument/2006/customXml" ds:itemID="{E802761F-A021-4603-BCD5-7A578F46E26C}">
  <ds:schemaRefs/>
</ds:datastoreItem>
</file>

<file path=customXml/itemProps53.xml><?xml version="1.0" encoding="utf-8"?>
<ds:datastoreItem xmlns:ds="http://schemas.openxmlformats.org/officeDocument/2006/customXml" ds:itemID="{9BDA3443-5422-43FB-843E-B22A608112DF}">
  <ds:schemaRefs/>
</ds:datastoreItem>
</file>

<file path=customXml/itemProps54.xml><?xml version="1.0" encoding="utf-8"?>
<ds:datastoreItem xmlns:ds="http://schemas.openxmlformats.org/officeDocument/2006/customXml" ds:itemID="{8A5A8CB7-0A0F-4A3D-B4EA-508B78CB2409}">
  <ds:schemaRefs/>
</ds:datastoreItem>
</file>

<file path=customXml/itemProps55.xml><?xml version="1.0" encoding="utf-8"?>
<ds:datastoreItem xmlns:ds="http://schemas.openxmlformats.org/officeDocument/2006/customXml" ds:itemID="{0BC5B2B2-F5A4-43DA-ADC5-DFA72CFA9C68}">
  <ds:schemaRefs/>
</ds:datastoreItem>
</file>

<file path=customXml/itemProps56.xml><?xml version="1.0" encoding="utf-8"?>
<ds:datastoreItem xmlns:ds="http://schemas.openxmlformats.org/officeDocument/2006/customXml" ds:itemID="{81723FD9-B97A-4F0C-9DA5-12E93AF54263}">
  <ds:schemaRefs/>
</ds:datastoreItem>
</file>

<file path=customXml/itemProps57.xml><?xml version="1.0" encoding="utf-8"?>
<ds:datastoreItem xmlns:ds="http://schemas.openxmlformats.org/officeDocument/2006/customXml" ds:itemID="{26A4A071-FF0B-4EE3-9986-EB71B1F00672}">
  <ds:schemaRefs/>
</ds:datastoreItem>
</file>

<file path=customXml/itemProps58.xml><?xml version="1.0" encoding="utf-8"?>
<ds:datastoreItem xmlns:ds="http://schemas.openxmlformats.org/officeDocument/2006/customXml" ds:itemID="{1535DD24-444B-4509-9F16-2D3414DD7DBB}">
  <ds:schemaRefs/>
</ds:datastoreItem>
</file>

<file path=customXml/itemProps59.xml><?xml version="1.0" encoding="utf-8"?>
<ds:datastoreItem xmlns:ds="http://schemas.openxmlformats.org/officeDocument/2006/customXml" ds:itemID="{113B4800-4931-414A-94B2-23210C1CC21B}">
  <ds:schemaRefs/>
</ds:datastoreItem>
</file>

<file path=customXml/itemProps6.xml><?xml version="1.0" encoding="utf-8"?>
<ds:datastoreItem xmlns:ds="http://schemas.openxmlformats.org/officeDocument/2006/customXml" ds:itemID="{32770A59-CCC7-460C-814D-7CA368DCAF1F}">
  <ds:schemaRefs/>
</ds:datastoreItem>
</file>

<file path=customXml/itemProps60.xml><?xml version="1.0" encoding="utf-8"?>
<ds:datastoreItem xmlns:ds="http://schemas.openxmlformats.org/officeDocument/2006/customXml" ds:itemID="{DDC377C8-5D21-4AB2-B5A0-FD7EA8C52F81}">
  <ds:schemaRefs/>
</ds:datastoreItem>
</file>

<file path=customXml/itemProps61.xml><?xml version="1.0" encoding="utf-8"?>
<ds:datastoreItem xmlns:ds="http://schemas.openxmlformats.org/officeDocument/2006/customXml" ds:itemID="{9599A49D-B296-4CC2-A9BA-E20382ADB873}">
  <ds:schemaRefs/>
</ds:datastoreItem>
</file>

<file path=customXml/itemProps62.xml><?xml version="1.0" encoding="utf-8"?>
<ds:datastoreItem xmlns:ds="http://schemas.openxmlformats.org/officeDocument/2006/customXml" ds:itemID="{86C48465-C09E-48E1-B6CE-73A8E6483D1C}">
  <ds:schemaRefs/>
</ds:datastoreItem>
</file>

<file path=customXml/itemProps63.xml><?xml version="1.0" encoding="utf-8"?>
<ds:datastoreItem xmlns:ds="http://schemas.openxmlformats.org/officeDocument/2006/customXml" ds:itemID="{681E064D-989F-4586-8B11-4B996F2DF6E1}">
  <ds:schemaRefs/>
</ds:datastoreItem>
</file>

<file path=customXml/itemProps64.xml><?xml version="1.0" encoding="utf-8"?>
<ds:datastoreItem xmlns:ds="http://schemas.openxmlformats.org/officeDocument/2006/customXml" ds:itemID="{2B628295-0806-4A0A-B4DA-603200CD0F66}">
  <ds:schemaRefs/>
</ds:datastoreItem>
</file>

<file path=customXml/itemProps65.xml><?xml version="1.0" encoding="utf-8"?>
<ds:datastoreItem xmlns:ds="http://schemas.openxmlformats.org/officeDocument/2006/customXml" ds:itemID="{5E045688-7980-4CEF-B8B6-EBC4462E2797}">
  <ds:schemaRefs/>
</ds:datastoreItem>
</file>

<file path=customXml/itemProps66.xml><?xml version="1.0" encoding="utf-8"?>
<ds:datastoreItem xmlns:ds="http://schemas.openxmlformats.org/officeDocument/2006/customXml" ds:itemID="{7599D725-57DB-4A22-B9BC-313D4DEB2349}">
  <ds:schemaRefs/>
</ds:datastoreItem>
</file>

<file path=customXml/itemProps67.xml><?xml version="1.0" encoding="utf-8"?>
<ds:datastoreItem xmlns:ds="http://schemas.openxmlformats.org/officeDocument/2006/customXml" ds:itemID="{5A0B8417-2909-414C-9A61-A2D7C3D5E4CE}">
  <ds:schemaRefs/>
</ds:datastoreItem>
</file>

<file path=customXml/itemProps68.xml><?xml version="1.0" encoding="utf-8"?>
<ds:datastoreItem xmlns:ds="http://schemas.openxmlformats.org/officeDocument/2006/customXml" ds:itemID="{9FDF7493-FA01-4748-8B9C-90D416256BC5}">
  <ds:schemaRefs/>
</ds:datastoreItem>
</file>

<file path=customXml/itemProps69.xml><?xml version="1.0" encoding="utf-8"?>
<ds:datastoreItem xmlns:ds="http://schemas.openxmlformats.org/officeDocument/2006/customXml" ds:itemID="{05BBB3F4-8036-439D-A7F0-1598049A56C5}">
  <ds:schemaRefs/>
</ds:datastoreItem>
</file>

<file path=customXml/itemProps7.xml><?xml version="1.0" encoding="utf-8"?>
<ds:datastoreItem xmlns:ds="http://schemas.openxmlformats.org/officeDocument/2006/customXml" ds:itemID="{5D051847-E87F-4F8E-AD4B-6395AAA2C3DD}">
  <ds:schemaRefs/>
</ds:datastoreItem>
</file>

<file path=customXml/itemProps70.xml><?xml version="1.0" encoding="utf-8"?>
<ds:datastoreItem xmlns:ds="http://schemas.openxmlformats.org/officeDocument/2006/customXml" ds:itemID="{15A55B43-17EE-4064-B3FE-517EDFFBFE46}">
  <ds:schemaRefs/>
</ds:datastoreItem>
</file>

<file path=customXml/itemProps71.xml><?xml version="1.0" encoding="utf-8"?>
<ds:datastoreItem xmlns:ds="http://schemas.openxmlformats.org/officeDocument/2006/customXml" ds:itemID="{D871BCCA-3F9B-4F41-B762-4B78BAFC5C13}">
  <ds:schemaRefs/>
</ds:datastoreItem>
</file>

<file path=customXml/itemProps72.xml><?xml version="1.0" encoding="utf-8"?>
<ds:datastoreItem xmlns:ds="http://schemas.openxmlformats.org/officeDocument/2006/customXml" ds:itemID="{1B91A51F-73C9-4A7A-8032-F14ADA78F2DD}">
  <ds:schemaRefs/>
</ds:datastoreItem>
</file>

<file path=customXml/itemProps73.xml><?xml version="1.0" encoding="utf-8"?>
<ds:datastoreItem xmlns:ds="http://schemas.openxmlformats.org/officeDocument/2006/customXml" ds:itemID="{7768241A-F99C-4967-8795-F0058B68B6B1}">
  <ds:schemaRefs/>
</ds:datastoreItem>
</file>

<file path=customXml/itemProps74.xml><?xml version="1.0" encoding="utf-8"?>
<ds:datastoreItem xmlns:ds="http://schemas.openxmlformats.org/officeDocument/2006/customXml" ds:itemID="{BA0428D6-DC9D-427A-98E6-5DE8F724F14A}">
  <ds:schemaRefs/>
</ds:datastoreItem>
</file>

<file path=customXml/itemProps75.xml><?xml version="1.0" encoding="utf-8"?>
<ds:datastoreItem xmlns:ds="http://schemas.openxmlformats.org/officeDocument/2006/customXml" ds:itemID="{CA4DFF69-3E00-42DC-9E6E-D6E23F3F9A5F}">
  <ds:schemaRefs/>
</ds:datastoreItem>
</file>

<file path=customXml/itemProps76.xml><?xml version="1.0" encoding="utf-8"?>
<ds:datastoreItem xmlns:ds="http://schemas.openxmlformats.org/officeDocument/2006/customXml" ds:itemID="{1074F14C-0944-42B0-B689-0363DBD7885A}">
  <ds:schemaRefs/>
</ds:datastoreItem>
</file>

<file path=customXml/itemProps77.xml><?xml version="1.0" encoding="utf-8"?>
<ds:datastoreItem xmlns:ds="http://schemas.openxmlformats.org/officeDocument/2006/customXml" ds:itemID="{E7BBC8B0-E3FD-4C5D-9A56-9786F6A53824}">
  <ds:schemaRefs/>
</ds:datastoreItem>
</file>

<file path=customXml/itemProps78.xml><?xml version="1.0" encoding="utf-8"?>
<ds:datastoreItem xmlns:ds="http://schemas.openxmlformats.org/officeDocument/2006/customXml" ds:itemID="{F6799727-F3B6-4171-928D-D21BD7DA287D}">
  <ds:schemaRefs/>
</ds:datastoreItem>
</file>

<file path=customXml/itemProps79.xml><?xml version="1.0" encoding="utf-8"?>
<ds:datastoreItem xmlns:ds="http://schemas.openxmlformats.org/officeDocument/2006/customXml" ds:itemID="{740378A0-103F-44FE-9BB8-830DA1C1AF56}">
  <ds:schemaRefs/>
</ds:datastoreItem>
</file>

<file path=customXml/itemProps8.xml><?xml version="1.0" encoding="utf-8"?>
<ds:datastoreItem xmlns:ds="http://schemas.openxmlformats.org/officeDocument/2006/customXml" ds:itemID="{1B6F3287-D355-4A4B-829F-E7592966860D}">
  <ds:schemaRefs/>
</ds:datastoreItem>
</file>

<file path=customXml/itemProps80.xml><?xml version="1.0" encoding="utf-8"?>
<ds:datastoreItem xmlns:ds="http://schemas.openxmlformats.org/officeDocument/2006/customXml" ds:itemID="{E0E853C9-134C-4AC5-B29E-5D525EBFF1F8}">
  <ds:schemaRefs/>
</ds:datastoreItem>
</file>

<file path=customXml/itemProps81.xml><?xml version="1.0" encoding="utf-8"?>
<ds:datastoreItem xmlns:ds="http://schemas.openxmlformats.org/officeDocument/2006/customXml" ds:itemID="{B00965DF-2477-4452-B0F0-5A0266183C8A}">
  <ds:schemaRefs/>
</ds:datastoreItem>
</file>

<file path=customXml/itemProps82.xml><?xml version="1.0" encoding="utf-8"?>
<ds:datastoreItem xmlns:ds="http://schemas.openxmlformats.org/officeDocument/2006/customXml" ds:itemID="{B60AC6D6-10F4-45D5-AD40-B5CC461726F6}">
  <ds:schemaRefs/>
</ds:datastoreItem>
</file>

<file path=customXml/itemProps9.xml><?xml version="1.0" encoding="utf-8"?>
<ds:datastoreItem xmlns:ds="http://schemas.openxmlformats.org/officeDocument/2006/customXml" ds:itemID="{D60E448A-9574-48C7-97D6-CE798EE6F0F4}">
  <ds:schemaRefs/>
</ds:datastoreItem>
</file>

<file path=docProps/app.xml><?xml version="1.0" encoding="utf-8"?>
<Properties xmlns="http://schemas.openxmlformats.org/officeDocument/2006/extended-properties" xmlns:vt="http://schemas.openxmlformats.org/officeDocument/2006/docPropsVTypes">
  <Template>Normal</Template>
  <Pages>88</Pages>
  <Words>22949</Words>
  <Characters>27221</Characters>
  <Lines>249</Lines>
  <Paragraphs>70</Paragraphs>
  <TotalTime>10</TotalTime>
  <ScaleCrop>false</ScaleCrop>
  <LinksUpToDate>false</LinksUpToDate>
  <CharactersWithSpaces>27590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2022-02-18T18:47:00Z</dcterms:created>
  <dc:creator>lenovo</dc:creator>
  <cp:lastModifiedBy>lenovo</cp:lastModifiedBy>
  <dcterms:modified xsi:type="dcterms:W3CDTF">2023-09-06T03:15:43Z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FF243D379F364915A7FD657F419627CC_12</vt:lpwstr>
  </property>
</Properties>
</file>