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p>
    <w:p>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eastAsiaTheme="minorEastAsia"/>
          <w:lang w:eastAsia="zh-CN"/>
        </w:rPr>
        <w:t>单位</w:t>
      </w:r>
      <w:r>
        <w:t>预算收支总表</w:t>
      </w:r>
      <w:r>
        <w:tab/>
      </w:r>
      <w:r>
        <w:rPr>
          <w:rFonts w:hint="eastAsia"/>
          <w:lang w:val="en-US" w:eastAsia="zh-CN"/>
        </w:rPr>
        <w:t>3</w:t>
      </w:r>
      <w:r>
        <w:fldChar w:fldCharType="end"/>
      </w:r>
    </w:p>
    <w:p>
      <w:pPr>
        <w:pStyle w:val="30"/>
        <w:tabs>
          <w:tab w:val="right" w:leader="dot" w:pos="14562"/>
        </w:tabs>
      </w:pPr>
      <w:r>
        <w:fldChar w:fldCharType="begin"/>
      </w:r>
      <w:r>
        <w:instrText xml:space="preserve"> HYPERLINK \l "_Toc_2_2_0000000002" </w:instrText>
      </w:r>
      <w:r>
        <w:fldChar w:fldCharType="separate"/>
      </w:r>
      <w:r>
        <w:rPr>
          <w:rFonts w:hint="eastAsia" w:eastAsiaTheme="minorEastAsia"/>
          <w:lang w:eastAsia="zh-CN"/>
        </w:rPr>
        <w:t>单位</w:t>
      </w:r>
      <w:r>
        <w:t>预算收入总表</w:t>
      </w:r>
      <w:r>
        <w:tab/>
      </w:r>
      <w:r>
        <w:rPr>
          <w:rFonts w:hint="eastAsia"/>
          <w:lang w:val="en-US" w:eastAsia="zh-CN"/>
        </w:rPr>
        <w:t>5</w:t>
      </w:r>
      <w:r>
        <w:fldChar w:fldCharType="end"/>
      </w:r>
    </w:p>
    <w:p>
      <w:pPr>
        <w:pStyle w:val="30"/>
        <w:tabs>
          <w:tab w:val="right" w:leader="dot" w:pos="14562"/>
        </w:tabs>
      </w:pPr>
      <w:r>
        <w:fldChar w:fldCharType="begin"/>
      </w:r>
      <w:r>
        <w:instrText xml:space="preserve"> HYPERLINK \l "_Toc_2_2_0000000003" </w:instrText>
      </w:r>
      <w:r>
        <w:fldChar w:fldCharType="separate"/>
      </w:r>
      <w:r>
        <w:rPr>
          <w:rFonts w:hint="eastAsia" w:eastAsiaTheme="minorEastAsia"/>
          <w:lang w:eastAsia="zh-CN"/>
        </w:rPr>
        <w:t>单位</w:t>
      </w:r>
      <w:r>
        <w:t>预算支出总表</w:t>
      </w:r>
      <w:r>
        <w:tab/>
      </w:r>
      <w:r>
        <w:rPr>
          <w:rFonts w:hint="eastAsia"/>
          <w:lang w:val="en-US" w:eastAsia="zh-CN"/>
        </w:rPr>
        <w:t>6</w:t>
      </w:r>
      <w:r>
        <w:fldChar w:fldCharType="end"/>
      </w:r>
    </w:p>
    <w:p>
      <w:pPr>
        <w:pStyle w:val="30"/>
        <w:tabs>
          <w:tab w:val="right" w:leader="dot" w:pos="14562"/>
        </w:tabs>
      </w:pPr>
      <w:r>
        <w:fldChar w:fldCharType="begin"/>
      </w:r>
      <w:r>
        <w:instrText xml:space="preserve"> HYPERLINK \l "_Toc_2_2_0000000004" </w:instrText>
      </w:r>
      <w:r>
        <w:fldChar w:fldCharType="separate"/>
      </w:r>
      <w:r>
        <w:rPr>
          <w:rFonts w:hint="eastAsia" w:eastAsiaTheme="minorEastAsia"/>
          <w:lang w:eastAsia="zh-CN"/>
        </w:rPr>
        <w:t>单位</w:t>
      </w:r>
      <w:r>
        <w:t>预算财政拨款收支总表</w:t>
      </w:r>
      <w:r>
        <w:tab/>
      </w:r>
      <w:r>
        <w:rPr>
          <w:rFonts w:hint="eastAsia"/>
          <w:lang w:val="en-US" w:eastAsia="zh-CN"/>
        </w:rPr>
        <w:t>7</w:t>
      </w:r>
      <w:r>
        <w:fldChar w:fldCharType="end"/>
      </w:r>
    </w:p>
    <w:p>
      <w:pPr>
        <w:pStyle w:val="30"/>
        <w:tabs>
          <w:tab w:val="right" w:leader="dot" w:pos="14562"/>
        </w:tabs>
      </w:pPr>
      <w:r>
        <w:fldChar w:fldCharType="begin"/>
      </w:r>
      <w:r>
        <w:instrText xml:space="preserve"> HYPERLINK \l "_Toc_2_2_0000000005" </w:instrText>
      </w:r>
      <w:r>
        <w:fldChar w:fldCharType="separate"/>
      </w:r>
      <w:r>
        <w:rPr>
          <w:rFonts w:hint="eastAsia" w:eastAsiaTheme="minorEastAsia"/>
          <w:lang w:eastAsia="zh-CN"/>
        </w:rPr>
        <w:t>单位</w:t>
      </w:r>
      <w:r>
        <w:t>预算一般公共预算财政拨款支出表</w:t>
      </w:r>
      <w:r>
        <w:tab/>
      </w:r>
      <w:r>
        <w:rPr>
          <w:rFonts w:hint="eastAsia"/>
          <w:lang w:val="en-US" w:eastAsia="zh-CN"/>
        </w:rPr>
        <w:t>9</w:t>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eastAsiaTheme="minor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pPr>
        <w:pStyle w:val="30"/>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eastAsiaTheme="minor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2</w:t>
      </w:r>
    </w:p>
    <w:p>
      <w:pPr>
        <w:pStyle w:val="30"/>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eastAsiaTheme="minor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3</w:t>
      </w:r>
    </w:p>
    <w:p>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eastAsiaTheme="minorEastAsia"/>
          <w:lang w:eastAsia="zh-CN"/>
        </w:rPr>
        <w:t>单位</w:t>
      </w:r>
      <w:r>
        <w:t>预算财政拨款“三公”经费支出表</w:t>
      </w:r>
      <w:r>
        <w:tab/>
      </w:r>
      <w:r>
        <w:rPr>
          <w:rFonts w:hint="eastAsia"/>
          <w:lang w:val="en-US" w:eastAsia="zh-CN"/>
        </w:rPr>
        <w:t>1</w:t>
      </w:r>
      <w:r>
        <w:fldChar w:fldCharType="end"/>
      </w:r>
      <w:r>
        <w:rPr>
          <w:rFonts w:hint="eastAsia"/>
          <w:lang w:val="en-US" w:eastAsia="zh-CN"/>
        </w:rPr>
        <w:t>4</w:t>
      </w:r>
    </w:p>
    <w:p>
      <w:r>
        <w:fldChar w:fldCharType="end"/>
      </w:r>
    </w:p>
    <w:p>
      <w:r>
        <w:rPr>
          <w:rFonts w:hint="eastAsia" w:cs="方正楷体_GBK" w:asciiTheme="minorEastAsia" w:hAnsiTheme="minorEastAsia"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pPr>
        <w:pStyle w:val="30"/>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eastAsiaTheme="minorEastAsia"/>
          <w:lang w:eastAsia="zh-CN"/>
        </w:rPr>
        <w:t>单位</w:t>
      </w:r>
      <w:r>
        <w:t>职责及机构设置情况</w:t>
      </w:r>
      <w:r>
        <w:tab/>
      </w:r>
      <w:r>
        <w:rPr>
          <w:rFonts w:hint="eastAsia"/>
          <w:lang w:val="en-US" w:eastAsia="zh-CN"/>
        </w:rPr>
        <w:t>1</w:t>
      </w:r>
      <w:r>
        <w:fldChar w:fldCharType="end"/>
      </w:r>
      <w:r>
        <w:rPr>
          <w:rFonts w:hint="eastAsia"/>
          <w:lang w:val="en-US" w:eastAsia="zh-CN"/>
        </w:rPr>
        <w:t>5</w:t>
      </w:r>
    </w:p>
    <w:p>
      <w:pPr>
        <w:pStyle w:val="30"/>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eastAsiaTheme="minorEastAsia"/>
          <w:lang w:eastAsia="zh-CN"/>
        </w:rPr>
        <w:t>单位</w:t>
      </w:r>
      <w:r>
        <w:t>预算安排的总体情况</w:t>
      </w:r>
      <w:r>
        <w:tab/>
      </w:r>
      <w:r>
        <w:rPr>
          <w:rFonts w:hint="eastAsia"/>
          <w:lang w:val="en-US" w:eastAsia="zh-CN"/>
        </w:rPr>
        <w:t>1</w:t>
      </w:r>
      <w:r>
        <w:fldChar w:fldCharType="end"/>
      </w:r>
      <w:r>
        <w:rPr>
          <w:rFonts w:hint="eastAsia"/>
          <w:lang w:val="en-US" w:eastAsia="zh-CN"/>
        </w:rPr>
        <w:t>6</w:t>
      </w:r>
    </w:p>
    <w:p>
      <w:pPr>
        <w:pStyle w:val="30"/>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30"/>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2</w:t>
      </w:r>
    </w:p>
    <w:p>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2</w:t>
      </w:r>
    </w:p>
    <w:p>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3</w:t>
      </w:r>
    </w:p>
    <w:p>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3</w:t>
      </w:r>
    </w:p>
    <w:p>
      <w:r>
        <w:fldChar w:fldCharType="end"/>
      </w:r>
    </w:p>
    <w:p>
      <w:pPr>
        <w:jc w:val="center"/>
      </w:pPr>
    </w:p>
    <w:p>
      <w:pPr>
        <w:jc w:val="center"/>
      </w:pPr>
    </w:p>
    <w:p>
      <w:pPr>
        <w:jc w:val="center"/>
      </w:pPr>
      <w:bookmarkStart w:id="0" w:name="_GoBack"/>
      <w:bookmarkEnd w:id="0"/>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pPr>
    </w:p>
    <w:p>
      <w:pPr>
        <w:jc w:val="center"/>
        <w:outlineLvl w:val="4"/>
        <w:rPr>
          <w:rFonts w:ascii="方正小标宋_GBK" w:hAnsi="方正小标宋_GBK" w:eastAsia="方正小标宋_GBK" w:cs="方正小标宋_GBK"/>
          <w:color w:val="000000"/>
          <w:sz w:val="36"/>
        </w:rPr>
      </w:pPr>
    </w:p>
    <w:p>
      <w:pPr>
        <w:jc w:val="center"/>
        <w:outlineLvl w:val="4"/>
        <w:rPr>
          <w:rFonts w:ascii="方正小标宋_GBK" w:hAnsi="方正小标宋_GBK" w:eastAsia="方正小标宋_GBK" w:cs="方正小标宋_GBK"/>
          <w:color w:val="000000"/>
          <w:sz w:val="36"/>
        </w:rPr>
      </w:pPr>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713.61</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r>
              <w:t>680.67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713.61</w:t>
            </w:r>
          </w:p>
        </w:tc>
        <w:tc>
          <w:tcPr>
            <w:tcW w:w="4535" w:type="dxa"/>
            <w:vAlign w:val="center"/>
          </w:tcPr>
          <w:p>
            <w:pPr>
              <w:pStyle w:val="12"/>
            </w:pPr>
            <w:r>
              <w:t>本年支出合计</w:t>
            </w:r>
          </w:p>
        </w:tc>
        <w:tc>
          <w:tcPr>
            <w:tcW w:w="2126" w:type="dxa"/>
            <w:vAlign w:val="center"/>
          </w:tcPr>
          <w:p>
            <w:pPr>
              <w:pStyle w:val="13"/>
            </w:pPr>
            <w:r>
              <w:t>713.61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713.61</w:t>
            </w:r>
          </w:p>
        </w:tc>
        <w:tc>
          <w:tcPr>
            <w:tcW w:w="4535" w:type="dxa"/>
            <w:vAlign w:val="center"/>
          </w:tcPr>
          <w:p>
            <w:pPr>
              <w:pStyle w:val="12"/>
            </w:pPr>
            <w:r>
              <w:t>支出总计</w:t>
            </w:r>
          </w:p>
        </w:tc>
        <w:tc>
          <w:tcPr>
            <w:tcW w:w="2126" w:type="dxa"/>
            <w:vAlign w:val="center"/>
          </w:tcPr>
          <w:p>
            <w:pPr>
              <w:pStyle w:val="13"/>
            </w:pPr>
            <w:r>
              <w:t>713.61</w:t>
            </w:r>
          </w:p>
        </w:tc>
      </w:tr>
    </w:tbl>
    <w:p>
      <w:pPr>
        <w:sectPr>
          <w:footerReference r:id="rId3" w:type="default"/>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713.61</w:t>
            </w:r>
          </w:p>
        </w:tc>
        <w:tc>
          <w:tcPr>
            <w:tcW w:w="1134" w:type="dxa"/>
            <w:vAlign w:val="center"/>
          </w:tcPr>
          <w:p>
            <w:pPr>
              <w:pStyle w:val="13"/>
            </w:pPr>
            <w:r>
              <w:t>713.61</w:t>
            </w:r>
          </w:p>
        </w:tc>
        <w:tc>
          <w:tcPr>
            <w:tcW w:w="1134" w:type="dxa"/>
            <w:vAlign w:val="center"/>
          </w:tcPr>
          <w:p>
            <w:pPr>
              <w:pStyle w:val="13"/>
            </w:pPr>
            <w:r>
              <w:t>713.61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9"/>
            </w:pPr>
            <w:r>
              <w:t>680.67</w:t>
            </w:r>
          </w:p>
        </w:tc>
        <w:tc>
          <w:tcPr>
            <w:tcW w:w="1134" w:type="dxa"/>
            <w:vAlign w:val="center"/>
          </w:tcPr>
          <w:p>
            <w:pPr>
              <w:pStyle w:val="9"/>
            </w:pPr>
            <w:r>
              <w:t>680.67</w:t>
            </w:r>
          </w:p>
        </w:tc>
        <w:tc>
          <w:tcPr>
            <w:tcW w:w="1134" w:type="dxa"/>
            <w:vAlign w:val="center"/>
          </w:tcPr>
          <w:p>
            <w:pPr>
              <w:pStyle w:val="9"/>
            </w:pPr>
            <w:r>
              <w:t>680.67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20402</w:t>
            </w:r>
          </w:p>
        </w:tc>
        <w:tc>
          <w:tcPr>
            <w:tcW w:w="1559" w:type="dxa"/>
            <w:vAlign w:val="center"/>
          </w:tcPr>
          <w:p>
            <w:pPr>
              <w:pStyle w:val="10"/>
            </w:pPr>
            <w:r>
              <w:t>公安</w:t>
            </w:r>
          </w:p>
        </w:tc>
        <w:tc>
          <w:tcPr>
            <w:tcW w:w="1134" w:type="dxa"/>
            <w:vAlign w:val="center"/>
          </w:tcPr>
          <w:p>
            <w:pPr>
              <w:pStyle w:val="9"/>
            </w:pPr>
            <w:r>
              <w:t>151.58</w:t>
            </w:r>
          </w:p>
        </w:tc>
        <w:tc>
          <w:tcPr>
            <w:tcW w:w="1134" w:type="dxa"/>
            <w:vAlign w:val="center"/>
          </w:tcPr>
          <w:p>
            <w:pPr>
              <w:pStyle w:val="9"/>
            </w:pPr>
            <w:r>
              <w:t>151.58</w:t>
            </w:r>
          </w:p>
        </w:tc>
        <w:tc>
          <w:tcPr>
            <w:tcW w:w="1134" w:type="dxa"/>
            <w:vAlign w:val="center"/>
          </w:tcPr>
          <w:p>
            <w:pPr>
              <w:pStyle w:val="9"/>
            </w:pPr>
            <w:r>
              <w:t>151.58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2040299</w:t>
            </w:r>
          </w:p>
        </w:tc>
        <w:tc>
          <w:tcPr>
            <w:tcW w:w="1559" w:type="dxa"/>
            <w:vAlign w:val="center"/>
          </w:tcPr>
          <w:p>
            <w:pPr>
              <w:pStyle w:val="10"/>
            </w:pPr>
            <w:r>
              <w:t>其他公安支出</w:t>
            </w:r>
          </w:p>
        </w:tc>
        <w:tc>
          <w:tcPr>
            <w:tcW w:w="1134" w:type="dxa"/>
            <w:vAlign w:val="center"/>
          </w:tcPr>
          <w:p>
            <w:pPr>
              <w:pStyle w:val="9"/>
            </w:pPr>
            <w:r>
              <w:t>151.58</w:t>
            </w:r>
          </w:p>
        </w:tc>
        <w:tc>
          <w:tcPr>
            <w:tcW w:w="1134" w:type="dxa"/>
            <w:vAlign w:val="center"/>
          </w:tcPr>
          <w:p>
            <w:pPr>
              <w:pStyle w:val="9"/>
            </w:pPr>
            <w:r>
              <w:t>151.58</w:t>
            </w:r>
          </w:p>
        </w:tc>
        <w:tc>
          <w:tcPr>
            <w:tcW w:w="1134" w:type="dxa"/>
            <w:vAlign w:val="center"/>
          </w:tcPr>
          <w:p>
            <w:pPr>
              <w:pStyle w:val="9"/>
            </w:pPr>
            <w:r>
              <w:t>151.58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20499</w:t>
            </w:r>
          </w:p>
        </w:tc>
        <w:tc>
          <w:tcPr>
            <w:tcW w:w="1559" w:type="dxa"/>
            <w:vAlign w:val="center"/>
          </w:tcPr>
          <w:p>
            <w:pPr>
              <w:pStyle w:val="10"/>
            </w:pPr>
            <w:r>
              <w:t>其他公共安全支出</w:t>
            </w:r>
          </w:p>
        </w:tc>
        <w:tc>
          <w:tcPr>
            <w:tcW w:w="1134" w:type="dxa"/>
            <w:vAlign w:val="center"/>
          </w:tcPr>
          <w:p>
            <w:pPr>
              <w:pStyle w:val="9"/>
            </w:pPr>
            <w:r>
              <w:t>529.09</w:t>
            </w:r>
          </w:p>
        </w:tc>
        <w:tc>
          <w:tcPr>
            <w:tcW w:w="1134" w:type="dxa"/>
            <w:vAlign w:val="center"/>
          </w:tcPr>
          <w:p>
            <w:pPr>
              <w:pStyle w:val="9"/>
            </w:pPr>
            <w:r>
              <w:t>529.09</w:t>
            </w:r>
          </w:p>
        </w:tc>
        <w:tc>
          <w:tcPr>
            <w:tcW w:w="1134" w:type="dxa"/>
            <w:vAlign w:val="center"/>
          </w:tcPr>
          <w:p>
            <w:pPr>
              <w:pStyle w:val="9"/>
            </w:pPr>
            <w:r>
              <w:t>529.09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2049999</w:t>
            </w:r>
          </w:p>
        </w:tc>
        <w:tc>
          <w:tcPr>
            <w:tcW w:w="1559" w:type="dxa"/>
            <w:vAlign w:val="center"/>
          </w:tcPr>
          <w:p>
            <w:pPr>
              <w:pStyle w:val="10"/>
            </w:pPr>
            <w:r>
              <w:t>其他公共安全支出</w:t>
            </w:r>
          </w:p>
        </w:tc>
        <w:tc>
          <w:tcPr>
            <w:tcW w:w="1134" w:type="dxa"/>
            <w:vAlign w:val="center"/>
          </w:tcPr>
          <w:p>
            <w:pPr>
              <w:pStyle w:val="9"/>
            </w:pPr>
            <w:r>
              <w:t>529.09</w:t>
            </w:r>
          </w:p>
        </w:tc>
        <w:tc>
          <w:tcPr>
            <w:tcW w:w="1134" w:type="dxa"/>
            <w:vAlign w:val="center"/>
          </w:tcPr>
          <w:p>
            <w:pPr>
              <w:pStyle w:val="9"/>
            </w:pPr>
            <w:r>
              <w:t>529.09</w:t>
            </w:r>
          </w:p>
        </w:tc>
        <w:tc>
          <w:tcPr>
            <w:tcW w:w="1134" w:type="dxa"/>
            <w:vAlign w:val="center"/>
          </w:tcPr>
          <w:p>
            <w:pPr>
              <w:pStyle w:val="9"/>
            </w:pPr>
            <w:r>
              <w:t>529.09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713.61</w:t>
            </w:r>
          </w:p>
        </w:tc>
        <w:tc>
          <w:tcPr>
            <w:tcW w:w="1361" w:type="dxa"/>
            <w:vAlign w:val="center"/>
          </w:tcPr>
          <w:p>
            <w:pPr>
              <w:pStyle w:val="13"/>
            </w:pPr>
            <w:r>
              <w:t>184.52</w:t>
            </w:r>
          </w:p>
        </w:tc>
        <w:tc>
          <w:tcPr>
            <w:tcW w:w="1361" w:type="dxa"/>
            <w:vAlign w:val="center"/>
          </w:tcPr>
          <w:p>
            <w:pPr>
              <w:pStyle w:val="13"/>
            </w:pPr>
            <w:r>
              <w:t>529.09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9"/>
            </w:pPr>
            <w:r>
              <w:t>680.67</w:t>
            </w:r>
          </w:p>
        </w:tc>
        <w:tc>
          <w:tcPr>
            <w:tcW w:w="1361" w:type="dxa"/>
            <w:vAlign w:val="center"/>
          </w:tcPr>
          <w:p>
            <w:pPr>
              <w:pStyle w:val="9"/>
            </w:pPr>
            <w:r>
              <w:t>151.58</w:t>
            </w: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20402</w:t>
            </w:r>
          </w:p>
        </w:tc>
        <w:tc>
          <w:tcPr>
            <w:tcW w:w="4535" w:type="dxa"/>
            <w:vAlign w:val="center"/>
          </w:tcPr>
          <w:p>
            <w:pPr>
              <w:pStyle w:val="10"/>
            </w:pPr>
            <w:r>
              <w:t>公安</w:t>
            </w:r>
          </w:p>
        </w:tc>
        <w:tc>
          <w:tcPr>
            <w:tcW w:w="1361" w:type="dxa"/>
            <w:vAlign w:val="center"/>
          </w:tcPr>
          <w:p>
            <w:pPr>
              <w:pStyle w:val="9"/>
            </w:pPr>
            <w:r>
              <w:t>151.58</w:t>
            </w:r>
          </w:p>
        </w:tc>
        <w:tc>
          <w:tcPr>
            <w:tcW w:w="1361" w:type="dxa"/>
            <w:vAlign w:val="center"/>
          </w:tcPr>
          <w:p>
            <w:pPr>
              <w:pStyle w:val="9"/>
            </w:pPr>
            <w:r>
              <w:t>151.58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2040299</w:t>
            </w:r>
          </w:p>
        </w:tc>
        <w:tc>
          <w:tcPr>
            <w:tcW w:w="4535" w:type="dxa"/>
            <w:vAlign w:val="center"/>
          </w:tcPr>
          <w:p>
            <w:pPr>
              <w:pStyle w:val="10"/>
            </w:pPr>
            <w:r>
              <w:t>其他公安支出</w:t>
            </w:r>
          </w:p>
        </w:tc>
        <w:tc>
          <w:tcPr>
            <w:tcW w:w="1361" w:type="dxa"/>
            <w:vAlign w:val="center"/>
          </w:tcPr>
          <w:p>
            <w:pPr>
              <w:pStyle w:val="9"/>
            </w:pPr>
            <w:r>
              <w:t>151.58</w:t>
            </w:r>
          </w:p>
        </w:tc>
        <w:tc>
          <w:tcPr>
            <w:tcW w:w="1361" w:type="dxa"/>
            <w:vAlign w:val="center"/>
          </w:tcPr>
          <w:p>
            <w:pPr>
              <w:pStyle w:val="9"/>
            </w:pPr>
            <w:r>
              <w:t>151.58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20499</w:t>
            </w:r>
          </w:p>
        </w:tc>
        <w:tc>
          <w:tcPr>
            <w:tcW w:w="4535" w:type="dxa"/>
            <w:vAlign w:val="center"/>
          </w:tcPr>
          <w:p>
            <w:pPr>
              <w:pStyle w:val="10"/>
            </w:pPr>
            <w:r>
              <w:t>其他公共安全支出</w:t>
            </w: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2049999</w:t>
            </w:r>
          </w:p>
        </w:tc>
        <w:tc>
          <w:tcPr>
            <w:tcW w:w="4535" w:type="dxa"/>
            <w:vAlign w:val="center"/>
          </w:tcPr>
          <w:p>
            <w:pPr>
              <w:pStyle w:val="10"/>
            </w:pPr>
            <w:r>
              <w:t>其他公共安全支出</w:t>
            </w: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14.16</w:t>
            </w:r>
          </w:p>
        </w:tc>
        <w:tc>
          <w:tcPr>
            <w:tcW w:w="1361" w:type="dxa"/>
            <w:vAlign w:val="center"/>
          </w:tcPr>
          <w:p>
            <w:pPr>
              <w:pStyle w:val="9"/>
            </w:pPr>
            <w:r>
              <w:t>14.16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14.16</w:t>
            </w:r>
          </w:p>
        </w:tc>
        <w:tc>
          <w:tcPr>
            <w:tcW w:w="1361" w:type="dxa"/>
            <w:vAlign w:val="center"/>
          </w:tcPr>
          <w:p>
            <w:pPr>
              <w:pStyle w:val="9"/>
            </w:pPr>
            <w:r>
              <w:t>14.16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14.16</w:t>
            </w:r>
          </w:p>
        </w:tc>
        <w:tc>
          <w:tcPr>
            <w:tcW w:w="1361" w:type="dxa"/>
            <w:vAlign w:val="center"/>
          </w:tcPr>
          <w:p>
            <w:pPr>
              <w:pStyle w:val="9"/>
            </w:pPr>
            <w:r>
              <w:t>14.16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6.51</w:t>
            </w:r>
          </w:p>
        </w:tc>
        <w:tc>
          <w:tcPr>
            <w:tcW w:w="1361" w:type="dxa"/>
            <w:vAlign w:val="center"/>
          </w:tcPr>
          <w:p>
            <w:pPr>
              <w:pStyle w:val="9"/>
            </w:pPr>
            <w:r>
              <w:t>6.51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6.51</w:t>
            </w:r>
          </w:p>
        </w:tc>
        <w:tc>
          <w:tcPr>
            <w:tcW w:w="1361" w:type="dxa"/>
            <w:vAlign w:val="center"/>
          </w:tcPr>
          <w:p>
            <w:pPr>
              <w:pStyle w:val="9"/>
            </w:pPr>
            <w:r>
              <w:t>6.51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6.51</w:t>
            </w:r>
          </w:p>
        </w:tc>
        <w:tc>
          <w:tcPr>
            <w:tcW w:w="1361" w:type="dxa"/>
            <w:vAlign w:val="center"/>
          </w:tcPr>
          <w:p>
            <w:pPr>
              <w:pStyle w:val="9"/>
            </w:pPr>
            <w:r>
              <w:t>6.51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12.28</w:t>
            </w:r>
          </w:p>
        </w:tc>
        <w:tc>
          <w:tcPr>
            <w:tcW w:w="1361" w:type="dxa"/>
            <w:vAlign w:val="center"/>
          </w:tcPr>
          <w:p>
            <w:pPr>
              <w:pStyle w:val="9"/>
            </w:pPr>
            <w:r>
              <w:t>12.28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12.28</w:t>
            </w:r>
          </w:p>
        </w:tc>
        <w:tc>
          <w:tcPr>
            <w:tcW w:w="1361" w:type="dxa"/>
            <w:vAlign w:val="center"/>
          </w:tcPr>
          <w:p>
            <w:pPr>
              <w:pStyle w:val="9"/>
            </w:pPr>
            <w:r>
              <w:t>12.28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12.28</w:t>
            </w:r>
          </w:p>
        </w:tc>
        <w:tc>
          <w:tcPr>
            <w:tcW w:w="1361" w:type="dxa"/>
            <w:vAlign w:val="center"/>
          </w:tcPr>
          <w:p>
            <w:pPr>
              <w:pStyle w:val="9"/>
            </w:pPr>
            <w:r>
              <w:t>12.28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713.61</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r>
              <w:t>680.67</w:t>
            </w:r>
          </w:p>
        </w:tc>
        <w:tc>
          <w:tcPr>
            <w:tcW w:w="1474" w:type="dxa"/>
            <w:vAlign w:val="center"/>
          </w:tcPr>
          <w:p>
            <w:pPr>
              <w:pStyle w:val="9"/>
            </w:pPr>
            <w:r>
              <w:t>680.67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14.16</w:t>
            </w:r>
          </w:p>
        </w:tc>
        <w:tc>
          <w:tcPr>
            <w:tcW w:w="1474" w:type="dxa"/>
            <w:vAlign w:val="center"/>
          </w:tcPr>
          <w:p>
            <w:pPr>
              <w:pStyle w:val="9"/>
            </w:pPr>
            <w:r>
              <w:t>14.16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6.51</w:t>
            </w:r>
          </w:p>
        </w:tc>
        <w:tc>
          <w:tcPr>
            <w:tcW w:w="1474" w:type="dxa"/>
            <w:vAlign w:val="center"/>
          </w:tcPr>
          <w:p>
            <w:pPr>
              <w:pStyle w:val="9"/>
            </w:pPr>
            <w:r>
              <w:t>6.51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12.28</w:t>
            </w:r>
          </w:p>
        </w:tc>
        <w:tc>
          <w:tcPr>
            <w:tcW w:w="1474" w:type="dxa"/>
            <w:vAlign w:val="center"/>
          </w:tcPr>
          <w:p>
            <w:pPr>
              <w:pStyle w:val="9"/>
            </w:pPr>
            <w:r>
              <w:t>12.28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713.61</w:t>
            </w:r>
          </w:p>
        </w:tc>
        <w:tc>
          <w:tcPr>
            <w:tcW w:w="3402" w:type="dxa"/>
            <w:vAlign w:val="center"/>
          </w:tcPr>
          <w:p>
            <w:pPr>
              <w:pStyle w:val="12"/>
            </w:pPr>
            <w:r>
              <w:t>本年支出合计</w:t>
            </w:r>
          </w:p>
        </w:tc>
        <w:tc>
          <w:tcPr>
            <w:tcW w:w="1474" w:type="dxa"/>
            <w:vAlign w:val="center"/>
          </w:tcPr>
          <w:p>
            <w:pPr>
              <w:pStyle w:val="13"/>
            </w:pPr>
            <w:r>
              <w:t>713.61</w:t>
            </w:r>
          </w:p>
        </w:tc>
        <w:tc>
          <w:tcPr>
            <w:tcW w:w="1474" w:type="dxa"/>
            <w:vAlign w:val="center"/>
          </w:tcPr>
          <w:p>
            <w:pPr>
              <w:pStyle w:val="13"/>
            </w:pPr>
            <w:r>
              <w:t>713.61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713.61</w:t>
            </w:r>
          </w:p>
        </w:tc>
        <w:tc>
          <w:tcPr>
            <w:tcW w:w="3402" w:type="dxa"/>
            <w:vAlign w:val="center"/>
          </w:tcPr>
          <w:p>
            <w:pPr>
              <w:pStyle w:val="12"/>
            </w:pPr>
            <w:r>
              <w:t>支出总计</w:t>
            </w:r>
          </w:p>
        </w:tc>
        <w:tc>
          <w:tcPr>
            <w:tcW w:w="1474" w:type="dxa"/>
            <w:vAlign w:val="center"/>
          </w:tcPr>
          <w:p>
            <w:pPr>
              <w:pStyle w:val="13"/>
            </w:pPr>
            <w:r>
              <w:t>713.61</w:t>
            </w:r>
          </w:p>
        </w:tc>
        <w:tc>
          <w:tcPr>
            <w:tcW w:w="1474" w:type="dxa"/>
            <w:vAlign w:val="center"/>
          </w:tcPr>
          <w:p>
            <w:pPr>
              <w:pStyle w:val="13"/>
            </w:pPr>
            <w:r>
              <w:t>713.61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713.61</w:t>
            </w:r>
          </w:p>
        </w:tc>
        <w:tc>
          <w:tcPr>
            <w:tcW w:w="2551" w:type="dxa"/>
            <w:vAlign w:val="center"/>
          </w:tcPr>
          <w:p>
            <w:pPr>
              <w:pStyle w:val="13"/>
            </w:pPr>
            <w:r>
              <w:t>184.52</w:t>
            </w:r>
          </w:p>
        </w:tc>
        <w:tc>
          <w:tcPr>
            <w:tcW w:w="2551" w:type="dxa"/>
            <w:vAlign w:val="center"/>
          </w:tcPr>
          <w:p>
            <w:pPr>
              <w:pStyle w:val="13"/>
            </w:pPr>
            <w:r>
              <w:t>529.09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204</w:t>
            </w:r>
          </w:p>
        </w:tc>
        <w:tc>
          <w:tcPr>
            <w:tcW w:w="4535" w:type="dxa"/>
            <w:vAlign w:val="center"/>
          </w:tcPr>
          <w:p>
            <w:pPr>
              <w:pStyle w:val="10"/>
            </w:pPr>
            <w:r>
              <w:t>公共安全支出</w:t>
            </w:r>
          </w:p>
        </w:tc>
        <w:tc>
          <w:tcPr>
            <w:tcW w:w="2551" w:type="dxa"/>
            <w:vAlign w:val="center"/>
          </w:tcPr>
          <w:p>
            <w:pPr>
              <w:pStyle w:val="9"/>
            </w:pPr>
            <w:r>
              <w:t>680.67</w:t>
            </w:r>
          </w:p>
        </w:tc>
        <w:tc>
          <w:tcPr>
            <w:tcW w:w="2551" w:type="dxa"/>
            <w:vAlign w:val="center"/>
          </w:tcPr>
          <w:p>
            <w:pPr>
              <w:pStyle w:val="9"/>
            </w:pPr>
            <w:r>
              <w:t>151.58</w:t>
            </w:r>
          </w:p>
        </w:tc>
        <w:tc>
          <w:tcPr>
            <w:tcW w:w="2551" w:type="dxa"/>
            <w:vAlign w:val="center"/>
          </w:tcPr>
          <w:p>
            <w:pPr>
              <w:pStyle w:val="9"/>
            </w:pPr>
            <w:r>
              <w:t>529.09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20402</w:t>
            </w:r>
          </w:p>
        </w:tc>
        <w:tc>
          <w:tcPr>
            <w:tcW w:w="4535" w:type="dxa"/>
            <w:vAlign w:val="center"/>
          </w:tcPr>
          <w:p>
            <w:pPr>
              <w:pStyle w:val="10"/>
            </w:pPr>
            <w:r>
              <w:t>公安</w:t>
            </w:r>
          </w:p>
        </w:tc>
        <w:tc>
          <w:tcPr>
            <w:tcW w:w="2551" w:type="dxa"/>
            <w:vAlign w:val="center"/>
          </w:tcPr>
          <w:p>
            <w:pPr>
              <w:pStyle w:val="9"/>
            </w:pPr>
            <w:r>
              <w:t>151.58</w:t>
            </w:r>
          </w:p>
        </w:tc>
        <w:tc>
          <w:tcPr>
            <w:tcW w:w="2551" w:type="dxa"/>
            <w:vAlign w:val="center"/>
          </w:tcPr>
          <w:p>
            <w:pPr>
              <w:pStyle w:val="9"/>
            </w:pPr>
            <w:r>
              <w:t>151.58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2040299</w:t>
            </w:r>
          </w:p>
        </w:tc>
        <w:tc>
          <w:tcPr>
            <w:tcW w:w="4535" w:type="dxa"/>
            <w:vAlign w:val="center"/>
          </w:tcPr>
          <w:p>
            <w:pPr>
              <w:pStyle w:val="10"/>
            </w:pPr>
            <w:r>
              <w:t>其他公安支出</w:t>
            </w:r>
          </w:p>
        </w:tc>
        <w:tc>
          <w:tcPr>
            <w:tcW w:w="2551" w:type="dxa"/>
            <w:vAlign w:val="center"/>
          </w:tcPr>
          <w:p>
            <w:pPr>
              <w:pStyle w:val="9"/>
            </w:pPr>
            <w:r>
              <w:t>151.58</w:t>
            </w:r>
          </w:p>
        </w:tc>
        <w:tc>
          <w:tcPr>
            <w:tcW w:w="2551" w:type="dxa"/>
            <w:vAlign w:val="center"/>
          </w:tcPr>
          <w:p>
            <w:pPr>
              <w:pStyle w:val="9"/>
            </w:pPr>
            <w:r>
              <w:t>151.58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20499</w:t>
            </w:r>
          </w:p>
        </w:tc>
        <w:tc>
          <w:tcPr>
            <w:tcW w:w="4535" w:type="dxa"/>
            <w:vAlign w:val="center"/>
          </w:tcPr>
          <w:p>
            <w:pPr>
              <w:pStyle w:val="10"/>
            </w:pPr>
            <w:r>
              <w:t>其他公共安全支出</w:t>
            </w:r>
          </w:p>
        </w:tc>
        <w:tc>
          <w:tcPr>
            <w:tcW w:w="2551" w:type="dxa"/>
            <w:vAlign w:val="center"/>
          </w:tcPr>
          <w:p>
            <w:pPr>
              <w:pStyle w:val="9"/>
            </w:pPr>
            <w:r>
              <w:t>529.09</w:t>
            </w:r>
          </w:p>
        </w:tc>
        <w:tc>
          <w:tcPr>
            <w:tcW w:w="2551" w:type="dxa"/>
            <w:vAlign w:val="center"/>
          </w:tcPr>
          <w:p>
            <w:pPr>
              <w:pStyle w:val="9"/>
            </w:pPr>
          </w:p>
        </w:tc>
        <w:tc>
          <w:tcPr>
            <w:tcW w:w="2551" w:type="dxa"/>
            <w:vAlign w:val="center"/>
          </w:tcPr>
          <w:p>
            <w:pPr>
              <w:pStyle w:val="9"/>
            </w:pPr>
            <w:r>
              <w:t>529.09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2049999</w:t>
            </w:r>
          </w:p>
        </w:tc>
        <w:tc>
          <w:tcPr>
            <w:tcW w:w="4535" w:type="dxa"/>
            <w:vAlign w:val="center"/>
          </w:tcPr>
          <w:p>
            <w:pPr>
              <w:pStyle w:val="10"/>
            </w:pPr>
            <w:r>
              <w:t>其他公共安全支出</w:t>
            </w:r>
          </w:p>
        </w:tc>
        <w:tc>
          <w:tcPr>
            <w:tcW w:w="2551" w:type="dxa"/>
            <w:vAlign w:val="center"/>
          </w:tcPr>
          <w:p>
            <w:pPr>
              <w:pStyle w:val="9"/>
            </w:pPr>
            <w:r>
              <w:t>529.09</w:t>
            </w:r>
          </w:p>
        </w:tc>
        <w:tc>
          <w:tcPr>
            <w:tcW w:w="2551" w:type="dxa"/>
            <w:vAlign w:val="center"/>
          </w:tcPr>
          <w:p>
            <w:pPr>
              <w:pStyle w:val="9"/>
            </w:pPr>
          </w:p>
        </w:tc>
        <w:tc>
          <w:tcPr>
            <w:tcW w:w="2551" w:type="dxa"/>
            <w:vAlign w:val="center"/>
          </w:tcPr>
          <w:p>
            <w:pPr>
              <w:pStyle w:val="9"/>
            </w:pPr>
            <w:r>
              <w:t>529.09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14.16</w:t>
            </w:r>
          </w:p>
        </w:tc>
        <w:tc>
          <w:tcPr>
            <w:tcW w:w="2551" w:type="dxa"/>
            <w:vAlign w:val="center"/>
          </w:tcPr>
          <w:p>
            <w:pPr>
              <w:pStyle w:val="9"/>
            </w:pPr>
            <w:r>
              <w:t>14.16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14.16</w:t>
            </w:r>
          </w:p>
        </w:tc>
        <w:tc>
          <w:tcPr>
            <w:tcW w:w="2551" w:type="dxa"/>
            <w:vAlign w:val="center"/>
          </w:tcPr>
          <w:p>
            <w:pPr>
              <w:pStyle w:val="9"/>
            </w:pPr>
            <w:r>
              <w:t>14.16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14.16</w:t>
            </w:r>
          </w:p>
        </w:tc>
        <w:tc>
          <w:tcPr>
            <w:tcW w:w="2551" w:type="dxa"/>
            <w:vAlign w:val="center"/>
          </w:tcPr>
          <w:p>
            <w:pPr>
              <w:pStyle w:val="9"/>
            </w:pPr>
            <w:r>
              <w:t>14.16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6.51</w:t>
            </w:r>
          </w:p>
        </w:tc>
        <w:tc>
          <w:tcPr>
            <w:tcW w:w="2551" w:type="dxa"/>
            <w:vAlign w:val="center"/>
          </w:tcPr>
          <w:p>
            <w:pPr>
              <w:pStyle w:val="9"/>
            </w:pPr>
            <w:r>
              <w:t>6.51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6.51</w:t>
            </w:r>
          </w:p>
        </w:tc>
        <w:tc>
          <w:tcPr>
            <w:tcW w:w="2551" w:type="dxa"/>
            <w:vAlign w:val="center"/>
          </w:tcPr>
          <w:p>
            <w:pPr>
              <w:pStyle w:val="9"/>
            </w:pPr>
            <w:r>
              <w:t>6.51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6.51</w:t>
            </w:r>
          </w:p>
        </w:tc>
        <w:tc>
          <w:tcPr>
            <w:tcW w:w="2551" w:type="dxa"/>
            <w:vAlign w:val="center"/>
          </w:tcPr>
          <w:p>
            <w:pPr>
              <w:pStyle w:val="9"/>
            </w:pPr>
            <w:r>
              <w:t>6.51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12.28</w:t>
            </w:r>
          </w:p>
        </w:tc>
        <w:tc>
          <w:tcPr>
            <w:tcW w:w="2551" w:type="dxa"/>
            <w:vAlign w:val="center"/>
          </w:tcPr>
          <w:p>
            <w:pPr>
              <w:pStyle w:val="9"/>
            </w:pPr>
            <w:r>
              <w:t>12.28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12.28</w:t>
            </w:r>
          </w:p>
        </w:tc>
        <w:tc>
          <w:tcPr>
            <w:tcW w:w="2551" w:type="dxa"/>
            <w:vAlign w:val="center"/>
          </w:tcPr>
          <w:p>
            <w:pPr>
              <w:pStyle w:val="9"/>
            </w:pPr>
            <w:r>
              <w:t>12.28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12.28</w:t>
            </w:r>
          </w:p>
        </w:tc>
        <w:tc>
          <w:tcPr>
            <w:tcW w:w="2551" w:type="dxa"/>
            <w:vAlign w:val="center"/>
          </w:tcPr>
          <w:p>
            <w:pPr>
              <w:pStyle w:val="9"/>
            </w:pPr>
            <w:r>
              <w:t>12.28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184.52</w:t>
            </w:r>
          </w:p>
        </w:tc>
        <w:tc>
          <w:tcPr>
            <w:tcW w:w="2551" w:type="dxa"/>
            <w:vAlign w:val="center"/>
          </w:tcPr>
          <w:p>
            <w:pPr>
              <w:pStyle w:val="13"/>
            </w:pPr>
            <w:r>
              <w:t>169.14</w:t>
            </w:r>
          </w:p>
        </w:tc>
        <w:tc>
          <w:tcPr>
            <w:tcW w:w="2551" w:type="dxa"/>
            <w:vAlign w:val="center"/>
          </w:tcPr>
          <w:p>
            <w:pPr>
              <w:pStyle w:val="13"/>
            </w:pPr>
            <w:r>
              <w:t>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160.64</w:t>
            </w:r>
          </w:p>
        </w:tc>
        <w:tc>
          <w:tcPr>
            <w:tcW w:w="2551" w:type="dxa"/>
            <w:vAlign w:val="center"/>
          </w:tcPr>
          <w:p>
            <w:pPr>
              <w:pStyle w:val="9"/>
            </w:pPr>
            <w:r>
              <w:t>160.64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61.44</w:t>
            </w:r>
          </w:p>
        </w:tc>
        <w:tc>
          <w:tcPr>
            <w:tcW w:w="2551" w:type="dxa"/>
            <w:vAlign w:val="center"/>
          </w:tcPr>
          <w:p>
            <w:pPr>
              <w:pStyle w:val="9"/>
            </w:pPr>
            <w:r>
              <w:t>61.44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40.10</w:t>
            </w:r>
          </w:p>
        </w:tc>
        <w:tc>
          <w:tcPr>
            <w:tcW w:w="2551" w:type="dxa"/>
            <w:vAlign w:val="center"/>
          </w:tcPr>
          <w:p>
            <w:pPr>
              <w:pStyle w:val="9"/>
            </w:pPr>
            <w:r>
              <w:t>40.10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25.77</w:t>
            </w:r>
          </w:p>
        </w:tc>
        <w:tc>
          <w:tcPr>
            <w:tcW w:w="2551" w:type="dxa"/>
            <w:vAlign w:val="center"/>
          </w:tcPr>
          <w:p>
            <w:pPr>
              <w:pStyle w:val="9"/>
            </w:pPr>
            <w:r>
              <w:t>25.77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14.16</w:t>
            </w:r>
          </w:p>
        </w:tc>
        <w:tc>
          <w:tcPr>
            <w:tcW w:w="2551" w:type="dxa"/>
            <w:vAlign w:val="center"/>
          </w:tcPr>
          <w:p>
            <w:pPr>
              <w:pStyle w:val="9"/>
            </w:pPr>
            <w:r>
              <w:t>14.16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6.51</w:t>
            </w:r>
          </w:p>
        </w:tc>
        <w:tc>
          <w:tcPr>
            <w:tcW w:w="2551" w:type="dxa"/>
            <w:vAlign w:val="center"/>
          </w:tcPr>
          <w:p>
            <w:pPr>
              <w:pStyle w:val="9"/>
            </w:pPr>
            <w:r>
              <w:t>6.51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0.39</w:t>
            </w:r>
          </w:p>
        </w:tc>
        <w:tc>
          <w:tcPr>
            <w:tcW w:w="2551" w:type="dxa"/>
            <w:vAlign w:val="center"/>
          </w:tcPr>
          <w:p>
            <w:pPr>
              <w:pStyle w:val="9"/>
            </w:pPr>
            <w:r>
              <w:t>0.39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12.28</w:t>
            </w:r>
          </w:p>
        </w:tc>
        <w:tc>
          <w:tcPr>
            <w:tcW w:w="2551" w:type="dxa"/>
            <w:vAlign w:val="center"/>
          </w:tcPr>
          <w:p>
            <w:pPr>
              <w:pStyle w:val="9"/>
            </w:pPr>
            <w:r>
              <w:t>12.28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15.38</w:t>
            </w:r>
          </w:p>
        </w:tc>
        <w:tc>
          <w:tcPr>
            <w:tcW w:w="2551" w:type="dxa"/>
            <w:vAlign w:val="center"/>
          </w:tcPr>
          <w:p>
            <w:pPr>
              <w:pStyle w:val="9"/>
            </w:pPr>
          </w:p>
        </w:tc>
        <w:tc>
          <w:tcPr>
            <w:tcW w:w="2551" w:type="dxa"/>
            <w:vAlign w:val="center"/>
          </w:tcPr>
          <w:p>
            <w:pPr>
              <w:pStyle w:val="9"/>
            </w:pPr>
            <w:r>
              <w:t>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2.79</w:t>
            </w:r>
          </w:p>
        </w:tc>
        <w:tc>
          <w:tcPr>
            <w:tcW w:w="2551" w:type="dxa"/>
            <w:vAlign w:val="center"/>
          </w:tcPr>
          <w:p>
            <w:pPr>
              <w:pStyle w:val="9"/>
            </w:pPr>
          </w:p>
        </w:tc>
        <w:tc>
          <w:tcPr>
            <w:tcW w:w="2551" w:type="dxa"/>
            <w:vAlign w:val="center"/>
          </w:tcPr>
          <w:p>
            <w:pPr>
              <w:pStyle w:val="9"/>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0.50</w:t>
            </w:r>
          </w:p>
        </w:tc>
        <w:tc>
          <w:tcPr>
            <w:tcW w:w="2551" w:type="dxa"/>
            <w:vAlign w:val="center"/>
          </w:tcPr>
          <w:p>
            <w:pPr>
              <w:pStyle w:val="9"/>
            </w:pPr>
          </w:p>
        </w:tc>
        <w:tc>
          <w:tcPr>
            <w:tcW w:w="2551"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0.52</w:t>
            </w:r>
          </w:p>
        </w:tc>
        <w:tc>
          <w:tcPr>
            <w:tcW w:w="2551" w:type="dxa"/>
            <w:vAlign w:val="center"/>
          </w:tcPr>
          <w:p>
            <w:pPr>
              <w:pStyle w:val="9"/>
            </w:pPr>
          </w:p>
        </w:tc>
        <w:tc>
          <w:tcPr>
            <w:tcW w:w="2551" w:type="dxa"/>
            <w:vAlign w:val="center"/>
          </w:tcPr>
          <w:p>
            <w:pPr>
              <w:pStyle w:val="9"/>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0.39</w:t>
            </w:r>
          </w:p>
        </w:tc>
        <w:tc>
          <w:tcPr>
            <w:tcW w:w="2551" w:type="dxa"/>
            <w:vAlign w:val="center"/>
          </w:tcPr>
          <w:p>
            <w:pPr>
              <w:pStyle w:val="9"/>
            </w:pPr>
          </w:p>
        </w:tc>
        <w:tc>
          <w:tcPr>
            <w:tcW w:w="2551" w:type="dxa"/>
            <w:vAlign w:val="center"/>
          </w:tcPr>
          <w:p>
            <w:pPr>
              <w:pStyle w:val="9"/>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1.04</w:t>
            </w:r>
          </w:p>
        </w:tc>
        <w:tc>
          <w:tcPr>
            <w:tcW w:w="2551" w:type="dxa"/>
            <w:vAlign w:val="center"/>
          </w:tcPr>
          <w:p>
            <w:pPr>
              <w:pStyle w:val="9"/>
            </w:pPr>
          </w:p>
        </w:tc>
        <w:tc>
          <w:tcPr>
            <w:tcW w:w="2551" w:type="dxa"/>
            <w:vAlign w:val="center"/>
          </w:tcPr>
          <w:p>
            <w:pPr>
              <w:pStyle w:val="9"/>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8.88</w:t>
            </w:r>
          </w:p>
        </w:tc>
        <w:tc>
          <w:tcPr>
            <w:tcW w:w="2551" w:type="dxa"/>
            <w:vAlign w:val="center"/>
          </w:tcPr>
          <w:p>
            <w:pPr>
              <w:pStyle w:val="9"/>
            </w:pPr>
          </w:p>
        </w:tc>
        <w:tc>
          <w:tcPr>
            <w:tcW w:w="2551" w:type="dxa"/>
            <w:vAlign w:val="center"/>
          </w:tcPr>
          <w:p>
            <w:pPr>
              <w:pStyle w:val="9"/>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0.26</w:t>
            </w:r>
          </w:p>
        </w:tc>
        <w:tc>
          <w:tcPr>
            <w:tcW w:w="2551" w:type="dxa"/>
            <w:vAlign w:val="center"/>
          </w:tcPr>
          <w:p>
            <w:pPr>
              <w:pStyle w:val="9"/>
            </w:pPr>
          </w:p>
        </w:tc>
        <w:tc>
          <w:tcPr>
            <w:tcW w:w="2551" w:type="dxa"/>
            <w:vAlign w:val="center"/>
          </w:tcPr>
          <w:p>
            <w:pPr>
              <w:pStyle w:val="9"/>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8.50</w:t>
            </w:r>
          </w:p>
        </w:tc>
        <w:tc>
          <w:tcPr>
            <w:tcW w:w="2551" w:type="dxa"/>
            <w:vAlign w:val="center"/>
          </w:tcPr>
          <w:p>
            <w:pPr>
              <w:pStyle w:val="9"/>
            </w:pPr>
            <w:r>
              <w:t>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8.50</w:t>
            </w:r>
          </w:p>
        </w:tc>
        <w:tc>
          <w:tcPr>
            <w:tcW w:w="2551" w:type="dxa"/>
            <w:vAlign w:val="center"/>
          </w:tcPr>
          <w:p>
            <w:pPr>
              <w:pStyle w:val="9"/>
            </w:pPr>
            <w:r>
              <w:t>8.50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rPr>
                <w:rFonts w:hint="eastAsia" w:eastAsia="方正书宋_GBK"/>
                <w:lang w:eastAsia="zh-CN"/>
              </w:rPr>
            </w:pPr>
            <w:r>
              <w:rPr>
                <w:rFonts w:hint="eastAsia"/>
                <w:lang w:val="en-US" w:eastAsia="zh-CN"/>
              </w:rPr>
              <w:t>0</w:t>
            </w:r>
          </w:p>
        </w:tc>
        <w:tc>
          <w:tcPr>
            <w:tcW w:w="2381" w:type="dxa"/>
            <w:vAlign w:val="center"/>
          </w:tcPr>
          <w:p>
            <w:pPr>
              <w:pStyle w:val="13"/>
              <w:rPr>
                <w:rFonts w:hint="eastAsia" w:eastAsia="方正书宋_GBK"/>
                <w:lang w:eastAsia="zh-CN"/>
              </w:rPr>
            </w:pPr>
            <w:r>
              <w:rPr>
                <w:rFonts w:hint="eastAsia"/>
                <w:lang w:val="en-US" w:eastAsia="zh-CN"/>
              </w:rPr>
              <w:t>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default" w:eastAsia="方正书宋_GBK"/>
                <w:lang w:val="en-US" w:eastAsia="zh-CN"/>
              </w:rPr>
            </w:pPr>
            <w:r>
              <w:rPr>
                <w:rFonts w:hint="eastAsia"/>
                <w:lang w:val="en-US" w:eastAsia="zh-CN"/>
              </w:rPr>
              <w:t>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中国共产党隆尧县委员会政法委员会本级2023年单位预算信息公开情况说明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按照《预算法》、《地方预决算公开操作规程》和《关于进一步推进预算公开工作的实施意见》规定，现将中国共产党隆尧县委员会政法委员会本级2023年单位预算公开如下：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贯彻落实中央和省、市委有关政法工作、政法干部队伍建设和社会治安综合治理工作的方针、政策、指示，根据上级政法委员会、社会治安综合治理委员会和县委、县政府的部署，指导政法各部门和综合治理成员单位的工作。 围绕县委、县政府改革和发展的中心工作，对一定时期内的政法工作和社会治安综合治理工作作出部署，并督促贯彻落实；参与依法治县方针的实施。 组织、协调、指导维护社会稳定工作，督促有关部门抓好落实。 组织开展政法工作和社会治安综合治理工作调查研究，提出政法工作改革和加强社会治安综合治理工作的意见。 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子横册和措施。研究制定加强政法干部队伍建设的措施；协助县委组织部考察、管理政法部门的领导班子和领导干部，协助管理镇、街道综治副职，组织指导政法部门干部队伍的教育管理和培训工作。 组织、指导有关部门开展政法、综治宣传工作，推广政法、综合治理工作的先进经验，表彰政法、综合治理工作的先进单位和先进个人。</w:t>
      </w:r>
    </w:p>
    <w:p>
      <w:pPr>
        <w:pStyle w:val="23"/>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中国共产党隆尧县委员会政法委员会本级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w:t>
      </w:r>
      <w:r>
        <w:rPr>
          <w:rFonts w:hint="eastAsia"/>
          <w:lang w:eastAsia="zh-CN"/>
        </w:rPr>
        <w:t>县单位</w:t>
      </w:r>
      <w:r>
        <w:t>预算的编制实行综合预算管理，即全部收入和支出都反映的预算中。中共隆尧县委政法委的收支包含在</w:t>
      </w:r>
      <w:r>
        <w:rPr>
          <w:rFonts w:hint="eastAsia"/>
          <w:lang w:eastAsia="zh-CN"/>
        </w:rPr>
        <w:t>单位</w:t>
      </w:r>
      <w:r>
        <w:t>预算中。</w:t>
      </w:r>
    </w:p>
    <w:p>
      <w:pPr>
        <w:pStyle w:val="24"/>
      </w:pPr>
      <w:r>
        <w:t>1、收入说明</w:t>
      </w:r>
    </w:p>
    <w:p>
      <w:pPr>
        <w:pStyle w:val="24"/>
      </w:pPr>
      <w:r>
        <w:t>反映本</w:t>
      </w:r>
      <w:r>
        <w:rPr>
          <w:rFonts w:hint="eastAsia"/>
          <w:lang w:eastAsia="zh-CN"/>
        </w:rPr>
        <w:t>单位</w:t>
      </w:r>
      <w:r>
        <w:t>当年全部收入。2023年预算收入713.61万元，其中：一般公共预算收入713.61万元。</w:t>
      </w:r>
    </w:p>
    <w:p>
      <w:pPr>
        <w:pStyle w:val="24"/>
      </w:pPr>
      <w:r>
        <w:t>2、支出说明</w:t>
      </w:r>
    </w:p>
    <w:p>
      <w:pPr>
        <w:pStyle w:val="24"/>
      </w:pPr>
      <w:r>
        <w:t>收支预算总表支出栏、基本支出表、项目支出表按经济分类和支出功能分类科目编制，反映中共隆尧县委政法委年度</w:t>
      </w:r>
      <w:r>
        <w:rPr>
          <w:rFonts w:hint="eastAsia"/>
          <w:lang w:eastAsia="zh-CN"/>
        </w:rPr>
        <w:t>单位</w:t>
      </w:r>
      <w:r>
        <w:t>预算中支出预算的总体情况。2023年</w:t>
      </w:r>
      <w:r>
        <w:rPr>
          <w:rFonts w:hint="eastAsia"/>
          <w:lang w:eastAsia="zh-CN"/>
        </w:rPr>
        <w:t>单位</w:t>
      </w:r>
      <w:r>
        <w:t>支出预算为713.61万元，其中基本支出184.52万元，包括人员经费169.14万元和日常公用经费15.38万元；项目支出529.09万元，主要为精神障碍监护人责任险和以奖代补经费46.4万元，铁路护路经费16.38万元，综治视联网经费305万元，综治经费52万元，平安建设经费5万元，综治网格员经费12万元，政法网经费65万元，综治中心劳务派遣人员经费22.31万元，见义勇为基金5万元。</w:t>
      </w:r>
    </w:p>
    <w:p>
      <w:pPr>
        <w:pStyle w:val="24"/>
      </w:pPr>
      <w:r>
        <w:t>3、比上年增减情况</w:t>
      </w:r>
    </w:p>
    <w:p>
      <w:pPr>
        <w:pStyle w:val="24"/>
      </w:pPr>
      <w:r>
        <w:t>2023年</w:t>
      </w:r>
      <w:r>
        <w:rPr>
          <w:rFonts w:hint="eastAsia"/>
          <w:lang w:eastAsia="zh-CN"/>
        </w:rPr>
        <w:t>单位</w:t>
      </w:r>
      <w:r>
        <w:t>预算收支安排713.61万元，较2022年增加217.9万元，其中：基本支出增加24.77万元，主要是人员增加所至；项目支出增加193.13万元，主要为本年度综治视联网经费增加所至。</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三、机关运行经费安排情况</w:t>
      </w:r>
    </w:p>
    <w:p>
      <w:pPr>
        <w:pStyle w:val="25"/>
      </w:pPr>
      <w:r>
        <w:t>2023年，我</w:t>
      </w:r>
      <w:r>
        <w:rPr>
          <w:rFonts w:hint="eastAsia"/>
          <w:lang w:eastAsia="zh-CN"/>
        </w:rPr>
        <w:t>单位</w:t>
      </w:r>
      <w:r>
        <w:t>机关运行经费共计安排15.38万元，主要用于保证机关正常运转的办公支出。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w:t>
      </w:r>
      <w:r>
        <w:rPr>
          <w:rFonts w:hint="eastAsia"/>
          <w:lang w:eastAsia="zh-CN"/>
        </w:rPr>
        <w:t>单位</w:t>
      </w:r>
      <w:r>
        <w:t>财政拨款“三公”经费预算安排0万元。“三公”经费与去年相同，主要是压缩开支，厉行节约所至。</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ind w:firstLine="281" w:firstLineChars="100"/>
        <w:outlineLvl w:val="5"/>
      </w:pPr>
      <w:r>
        <w:rPr>
          <w:rFonts w:ascii="方正仿宋_GBK" w:hAnsi="方正仿宋_GBK" w:eastAsia="方正仿宋_GBK" w:cs="方正仿宋_GBK"/>
          <w:b/>
          <w:color w:val="000000"/>
          <w:sz w:val="28"/>
        </w:rPr>
        <w:t>1、见义勇为奖励基金项目绩效目标表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asciiTheme="minorEastAsia" w:hAnsiTheme="minorEastAsia" w:eastAsiaTheme="minorEastAsia"/>
                <w:lang w:eastAsia="zh-CN"/>
              </w:rPr>
              <w:t>及时奖励见义勇为先进人员,弘扬正气,促进社会和谐稳定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帮扶见义勇为人次</w:t>
            </w:r>
          </w:p>
        </w:tc>
        <w:tc>
          <w:tcPr>
            <w:tcW w:w="2835" w:type="dxa"/>
            <w:vAlign w:val="center"/>
          </w:tcPr>
          <w:p>
            <w:pPr>
              <w:pStyle w:val="10"/>
            </w:pPr>
            <w:r>
              <w:t>帮扶见义勇为人次</w:t>
            </w:r>
          </w:p>
        </w:tc>
        <w:tc>
          <w:tcPr>
            <w:tcW w:w="2551" w:type="dxa"/>
            <w:vAlign w:val="center"/>
          </w:tcPr>
          <w:p>
            <w:pPr>
              <w:pStyle w:val="10"/>
            </w:pPr>
            <w:r>
              <w:t>全部奖励</w:t>
            </w:r>
          </w:p>
        </w:tc>
        <w:tc>
          <w:tcPr>
            <w:tcW w:w="2268" w:type="dxa"/>
            <w:vAlign w:val="center"/>
          </w:tcPr>
          <w:p>
            <w:pPr>
              <w:pStyle w:val="10"/>
              <w:rPr>
                <w:rFonts w:hint="eastAsia" w:eastAsiaTheme="minorEastAsia"/>
                <w:lang w:eastAsia="zh-CN"/>
              </w:rPr>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群众活动参与率</w:t>
            </w:r>
          </w:p>
        </w:tc>
        <w:tc>
          <w:tcPr>
            <w:tcW w:w="2835" w:type="dxa"/>
            <w:vAlign w:val="center"/>
          </w:tcPr>
          <w:p>
            <w:pPr>
              <w:pStyle w:val="10"/>
            </w:pPr>
            <w:r>
              <w:t>群众活动参与率</w:t>
            </w:r>
          </w:p>
        </w:tc>
        <w:tc>
          <w:tcPr>
            <w:tcW w:w="2551" w:type="dxa"/>
            <w:vAlign w:val="center"/>
          </w:tcPr>
          <w:p>
            <w:pPr>
              <w:pStyle w:val="10"/>
            </w:pPr>
            <w:r>
              <w:t>≥95%</w:t>
            </w:r>
          </w:p>
        </w:tc>
        <w:tc>
          <w:tcPr>
            <w:tcW w:w="2268" w:type="dxa"/>
            <w:vAlign w:val="center"/>
          </w:tcPr>
          <w:p>
            <w:pPr>
              <w:pStyle w:val="10"/>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551" w:type="dxa"/>
            <w:vAlign w:val="center"/>
          </w:tcPr>
          <w:p>
            <w:pPr>
              <w:pStyle w:val="10"/>
            </w:pPr>
            <w:r>
              <w:t>≥100%</w:t>
            </w:r>
          </w:p>
        </w:tc>
        <w:tc>
          <w:tcPr>
            <w:tcW w:w="2268" w:type="dxa"/>
            <w:vAlign w:val="center"/>
          </w:tcPr>
          <w:p>
            <w:pPr>
              <w:pStyle w:val="10"/>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合理安排</w:t>
            </w:r>
          </w:p>
        </w:tc>
        <w:tc>
          <w:tcPr>
            <w:tcW w:w="2268" w:type="dxa"/>
            <w:vAlign w:val="center"/>
          </w:tcPr>
          <w:p>
            <w:pPr>
              <w:pStyle w:val="10"/>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见义勇为人员奖励、帮扶覆盖率(</w:t>
            </w:r>
          </w:p>
        </w:tc>
        <w:tc>
          <w:tcPr>
            <w:tcW w:w="2835" w:type="dxa"/>
            <w:vAlign w:val="center"/>
          </w:tcPr>
          <w:p>
            <w:pPr>
              <w:pStyle w:val="10"/>
            </w:pPr>
            <w:r>
              <w:t>见义勇为人员奖励、帮扶覆盖率(%)</w:t>
            </w:r>
          </w:p>
        </w:tc>
        <w:tc>
          <w:tcPr>
            <w:tcW w:w="2551" w:type="dxa"/>
            <w:vAlign w:val="center"/>
          </w:tcPr>
          <w:p>
            <w:pPr>
              <w:pStyle w:val="10"/>
            </w:pPr>
            <w:r>
              <w:t>≥100%</w:t>
            </w:r>
          </w:p>
        </w:tc>
        <w:tc>
          <w:tcPr>
            <w:tcW w:w="2268" w:type="dxa"/>
            <w:vAlign w:val="center"/>
          </w:tcPr>
          <w:p>
            <w:pPr>
              <w:pStyle w:val="10"/>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≥95%</w:t>
            </w:r>
          </w:p>
        </w:tc>
        <w:tc>
          <w:tcPr>
            <w:tcW w:w="2268" w:type="dxa"/>
            <w:vAlign w:val="center"/>
          </w:tcPr>
          <w:p>
            <w:pPr>
              <w:pStyle w:val="10"/>
            </w:pPr>
            <w:r>
              <w:rPr>
                <w:rFonts w:hint="eastAsia" w:eastAsiaTheme="minorEastAsia"/>
                <w:lang w:eastAsia="zh-CN"/>
              </w:rPr>
              <w:t>冀财行（2015）88号</w:t>
            </w:r>
          </w:p>
        </w:tc>
      </w:tr>
    </w:tbl>
    <w:p>
      <w:pPr>
        <w:ind w:firstLine="560"/>
      </w:pPr>
      <w:r>
        <w:rPr>
          <w:rFonts w:ascii="方正仿宋_GBK" w:hAnsi="方正仿宋_GBK" w:eastAsia="方正仿宋_GBK" w:cs="方正仿宋_GBK"/>
          <w:b/>
          <w:color w:val="000000"/>
          <w:sz w:val="28"/>
        </w:rPr>
        <w:t>2、精神障碍监护人责任险和以奖代补经费项目绩效目标表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asciiTheme="minorEastAsia" w:hAnsiTheme="minorEastAsia" w:eastAsiaTheme="minorEastAsia"/>
                <w:lang w:eastAsia="zh-CN"/>
              </w:rPr>
              <w:t>按时投保精神障碍患者监护人责任险发放以奖代补经费，促进社会和谐稳定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补助金发放率(%)</w:t>
            </w:r>
          </w:p>
        </w:tc>
        <w:tc>
          <w:tcPr>
            <w:tcW w:w="2835" w:type="dxa"/>
            <w:vAlign w:val="center"/>
          </w:tcPr>
          <w:p>
            <w:pPr>
              <w:pStyle w:val="10"/>
            </w:pPr>
            <w:r>
              <w:t>实际发放的补助金金额占计划发放金额的比率</w:t>
            </w:r>
          </w:p>
        </w:tc>
        <w:tc>
          <w:tcPr>
            <w:tcW w:w="2551" w:type="dxa"/>
            <w:vAlign w:val="center"/>
          </w:tcPr>
          <w:p>
            <w:pPr>
              <w:pStyle w:val="10"/>
            </w:pPr>
            <w:r>
              <w:t>≥100%</w:t>
            </w:r>
          </w:p>
        </w:tc>
        <w:tc>
          <w:tcPr>
            <w:tcW w:w="226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补贴人员数量（人）</w:t>
            </w:r>
          </w:p>
        </w:tc>
        <w:tc>
          <w:tcPr>
            <w:tcW w:w="2835" w:type="dxa"/>
            <w:vAlign w:val="center"/>
          </w:tcPr>
          <w:p>
            <w:pPr>
              <w:pStyle w:val="10"/>
            </w:pPr>
            <w:r>
              <w:t>享受补贴政策的人数</w:t>
            </w:r>
          </w:p>
        </w:tc>
        <w:tc>
          <w:tcPr>
            <w:tcW w:w="2551" w:type="dxa"/>
            <w:vAlign w:val="center"/>
          </w:tcPr>
          <w:p>
            <w:pPr>
              <w:pStyle w:val="10"/>
            </w:pPr>
            <w:r>
              <w:t>2300人</w:t>
            </w:r>
          </w:p>
        </w:tc>
        <w:tc>
          <w:tcPr>
            <w:tcW w:w="226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按期完成率</w:t>
            </w:r>
          </w:p>
        </w:tc>
        <w:tc>
          <w:tcPr>
            <w:tcW w:w="2835" w:type="dxa"/>
            <w:vAlign w:val="center"/>
          </w:tcPr>
          <w:p>
            <w:pPr>
              <w:pStyle w:val="10"/>
            </w:pPr>
            <w:r>
              <w:t>按期完成率</w:t>
            </w:r>
          </w:p>
        </w:tc>
        <w:tc>
          <w:tcPr>
            <w:tcW w:w="2551" w:type="dxa"/>
            <w:vAlign w:val="center"/>
          </w:tcPr>
          <w:p>
            <w:pPr>
              <w:pStyle w:val="10"/>
            </w:pPr>
            <w:r>
              <w:t>按时完成</w:t>
            </w:r>
          </w:p>
        </w:tc>
        <w:tc>
          <w:tcPr>
            <w:tcW w:w="226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经费使用率(%)</w:t>
            </w:r>
          </w:p>
        </w:tc>
        <w:tc>
          <w:tcPr>
            <w:tcW w:w="2835" w:type="dxa"/>
            <w:vAlign w:val="center"/>
          </w:tcPr>
          <w:p>
            <w:pPr>
              <w:pStyle w:val="10"/>
            </w:pPr>
            <w:r>
              <w:t>经费使用率(%)</w:t>
            </w:r>
          </w:p>
        </w:tc>
        <w:tc>
          <w:tcPr>
            <w:tcW w:w="2551" w:type="dxa"/>
            <w:vAlign w:val="center"/>
          </w:tcPr>
          <w:p>
            <w:pPr>
              <w:pStyle w:val="10"/>
            </w:pPr>
            <w:r>
              <w:t>≥100%</w:t>
            </w:r>
          </w:p>
        </w:tc>
        <w:tc>
          <w:tcPr>
            <w:tcW w:w="226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困难群众生活水平提升情况</w:t>
            </w:r>
          </w:p>
        </w:tc>
        <w:tc>
          <w:tcPr>
            <w:tcW w:w="2835" w:type="dxa"/>
            <w:vAlign w:val="center"/>
          </w:tcPr>
          <w:p>
            <w:pPr>
              <w:pStyle w:val="10"/>
            </w:pPr>
            <w:r>
              <w:t>困难群众生活水平提升情况</w:t>
            </w:r>
          </w:p>
        </w:tc>
        <w:tc>
          <w:tcPr>
            <w:tcW w:w="2551" w:type="dxa"/>
            <w:vAlign w:val="center"/>
          </w:tcPr>
          <w:p>
            <w:pPr>
              <w:pStyle w:val="10"/>
            </w:pPr>
            <w:r>
              <w:t>有所提高</w:t>
            </w:r>
          </w:p>
        </w:tc>
        <w:tc>
          <w:tcPr>
            <w:tcW w:w="226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受益对象满意度(%)</w:t>
            </w:r>
          </w:p>
        </w:tc>
        <w:tc>
          <w:tcPr>
            <w:tcW w:w="2835" w:type="dxa"/>
            <w:vAlign w:val="center"/>
          </w:tcPr>
          <w:p>
            <w:pPr>
              <w:pStyle w:val="10"/>
            </w:pPr>
            <w:r>
              <w:t>通过问卷调查，满意和较满意的受益对象占全部调研对象的比例</w:t>
            </w:r>
          </w:p>
        </w:tc>
        <w:tc>
          <w:tcPr>
            <w:tcW w:w="2551" w:type="dxa"/>
            <w:vAlign w:val="center"/>
          </w:tcPr>
          <w:p>
            <w:pPr>
              <w:pStyle w:val="10"/>
            </w:pPr>
            <w:r>
              <w:t>≥90%</w:t>
            </w:r>
          </w:p>
        </w:tc>
        <w:tc>
          <w:tcPr>
            <w:tcW w:w="2268" w:type="dxa"/>
            <w:vAlign w:val="center"/>
          </w:tcPr>
          <w:p>
            <w:pPr>
              <w:pStyle w:val="10"/>
            </w:pPr>
            <w:r>
              <w:rPr>
                <w:rFonts w:hint="eastAsia" w:asciiTheme="minorEastAsia" w:hAnsiTheme="minorEastAsia" w:eastAsiaTheme="minorEastAsia"/>
                <w:lang w:eastAsia="zh-CN"/>
              </w:rPr>
              <w:t>邢综治办（2016）2号</w:t>
            </w:r>
          </w:p>
        </w:tc>
      </w:tr>
    </w:tbl>
    <w:p>
      <w:pPr>
        <w:ind w:firstLine="560"/>
      </w:pPr>
      <w:r>
        <w:rPr>
          <w:rFonts w:ascii="方正仿宋_GBK" w:hAnsi="方正仿宋_GBK" w:eastAsia="方正仿宋_GBK" w:cs="方正仿宋_GBK"/>
          <w:b/>
          <w:color w:val="000000"/>
          <w:sz w:val="28"/>
        </w:rPr>
        <w:t>3、平安建设经费项目绩效目标表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eastAsiaTheme="minorEastAsia"/>
                <w:lang w:eastAsia="zh-CN"/>
              </w:rPr>
              <w:t>开展平安隆尧创建活动，促进社会和谐稳定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239"/>
        <w:gridCol w:w="25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239" w:type="dxa"/>
            <w:vAlign w:val="center"/>
          </w:tcPr>
          <w:p>
            <w:pPr>
              <w:pStyle w:val="8"/>
            </w:pPr>
            <w:r>
              <w:t>指标值</w:t>
            </w:r>
          </w:p>
        </w:tc>
        <w:tc>
          <w:tcPr>
            <w:tcW w:w="258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开展法制宣传次数</w:t>
            </w:r>
          </w:p>
        </w:tc>
        <w:tc>
          <w:tcPr>
            <w:tcW w:w="2835" w:type="dxa"/>
            <w:vAlign w:val="center"/>
          </w:tcPr>
          <w:p>
            <w:pPr>
              <w:pStyle w:val="10"/>
            </w:pPr>
            <w:r>
              <w:t>开展法制宣传次数</w:t>
            </w:r>
          </w:p>
        </w:tc>
        <w:tc>
          <w:tcPr>
            <w:tcW w:w="2239" w:type="dxa"/>
            <w:vAlign w:val="center"/>
          </w:tcPr>
          <w:p>
            <w:pPr>
              <w:pStyle w:val="10"/>
            </w:pPr>
            <w:r>
              <w:t>≥12次</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重点人口管控率（%）</w:t>
            </w:r>
          </w:p>
        </w:tc>
        <w:tc>
          <w:tcPr>
            <w:tcW w:w="2835" w:type="dxa"/>
            <w:vAlign w:val="center"/>
          </w:tcPr>
          <w:p>
            <w:pPr>
              <w:pStyle w:val="10"/>
            </w:pPr>
            <w:r>
              <w:t>重点人口管控率（%）</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2835" w:type="dxa"/>
            <w:vAlign w:val="center"/>
          </w:tcPr>
          <w:p>
            <w:pPr>
              <w:pStyle w:val="10"/>
            </w:pPr>
            <w:r>
              <w:t>任务完成及时率</w:t>
            </w:r>
          </w:p>
        </w:tc>
        <w:tc>
          <w:tcPr>
            <w:tcW w:w="2239" w:type="dxa"/>
            <w:vAlign w:val="center"/>
          </w:tcPr>
          <w:p>
            <w:pPr>
              <w:pStyle w:val="10"/>
            </w:pPr>
            <w:r>
              <w:t>≥100%</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239" w:type="dxa"/>
            <w:vAlign w:val="center"/>
          </w:tcPr>
          <w:p>
            <w:pPr>
              <w:pStyle w:val="10"/>
            </w:pPr>
            <w:r>
              <w:t>合理安排</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立体化社会治安防控体系覆盖率(</w:t>
            </w:r>
          </w:p>
        </w:tc>
        <w:tc>
          <w:tcPr>
            <w:tcW w:w="2835" w:type="dxa"/>
            <w:vAlign w:val="center"/>
          </w:tcPr>
          <w:p>
            <w:pPr>
              <w:pStyle w:val="10"/>
            </w:pPr>
            <w:r>
              <w:t>立体化社会治安防控体系覆盖率(%)</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239" w:type="dxa"/>
            <w:vAlign w:val="center"/>
          </w:tcPr>
          <w:p>
            <w:pPr>
              <w:pStyle w:val="10"/>
            </w:pPr>
            <w:r>
              <w:t>≥90%</w:t>
            </w:r>
          </w:p>
        </w:tc>
        <w:tc>
          <w:tcPr>
            <w:tcW w:w="2580" w:type="dxa"/>
            <w:vAlign w:val="center"/>
          </w:tcPr>
          <w:p>
            <w:pPr>
              <w:pStyle w:val="10"/>
            </w:pPr>
            <w:r>
              <w:rPr>
                <w:rFonts w:hint="eastAsia" w:eastAsiaTheme="minorEastAsia"/>
                <w:lang w:eastAsia="zh-CN"/>
              </w:rPr>
              <w:t>冀综治办（2016）12号</w:t>
            </w:r>
          </w:p>
        </w:tc>
      </w:tr>
    </w:tbl>
    <w:p>
      <w:pPr>
        <w:ind w:firstLine="560"/>
      </w:pPr>
      <w:r>
        <w:rPr>
          <w:rFonts w:ascii="方正仿宋_GBK" w:hAnsi="方正仿宋_GBK" w:eastAsia="方正仿宋_GBK" w:cs="方正仿宋_GBK"/>
          <w:b/>
          <w:color w:val="000000"/>
          <w:sz w:val="28"/>
        </w:rPr>
        <w:t>4、铁路高铁护路经费项目绩效目标表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eastAsiaTheme="minorEastAsia"/>
                <w:lang w:eastAsia="zh-CN"/>
              </w:rPr>
              <w:t>组织铁路高铁护路工作，确保辖区铁路安全畅通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239"/>
        <w:gridCol w:w="25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239" w:type="dxa"/>
            <w:vAlign w:val="center"/>
          </w:tcPr>
          <w:p>
            <w:pPr>
              <w:pStyle w:val="8"/>
            </w:pPr>
            <w:r>
              <w:t>指标值</w:t>
            </w:r>
          </w:p>
        </w:tc>
        <w:tc>
          <w:tcPr>
            <w:tcW w:w="258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重要时期专项护路任务次数（次）</w:t>
            </w:r>
          </w:p>
        </w:tc>
        <w:tc>
          <w:tcPr>
            <w:tcW w:w="2835" w:type="dxa"/>
            <w:vAlign w:val="center"/>
          </w:tcPr>
          <w:p>
            <w:pPr>
              <w:pStyle w:val="10"/>
            </w:pPr>
            <w:r>
              <w:t>重要时期完成省委省政府专项护路任务的次数</w:t>
            </w:r>
          </w:p>
        </w:tc>
        <w:tc>
          <w:tcPr>
            <w:tcW w:w="2239" w:type="dxa"/>
            <w:vAlign w:val="center"/>
          </w:tcPr>
          <w:p>
            <w:pPr>
              <w:pStyle w:val="10"/>
            </w:pPr>
            <w:r>
              <w:t>≥100%</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重大安保任务完成率(%)</w:t>
            </w:r>
          </w:p>
        </w:tc>
        <w:tc>
          <w:tcPr>
            <w:tcW w:w="2835" w:type="dxa"/>
            <w:vAlign w:val="center"/>
          </w:tcPr>
          <w:p>
            <w:pPr>
              <w:pStyle w:val="10"/>
            </w:pPr>
            <w:r>
              <w:t>完成的安保任务占任务总数的比率</w:t>
            </w:r>
          </w:p>
        </w:tc>
        <w:tc>
          <w:tcPr>
            <w:tcW w:w="2239" w:type="dxa"/>
            <w:vAlign w:val="center"/>
          </w:tcPr>
          <w:p>
            <w:pPr>
              <w:pStyle w:val="10"/>
            </w:pPr>
            <w:r>
              <w:t>≥100%</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2835" w:type="dxa"/>
            <w:vAlign w:val="center"/>
          </w:tcPr>
          <w:p>
            <w:pPr>
              <w:pStyle w:val="10"/>
            </w:pPr>
            <w:r>
              <w:t>完工及时率</w:t>
            </w:r>
          </w:p>
        </w:tc>
        <w:tc>
          <w:tcPr>
            <w:tcW w:w="2239" w:type="dxa"/>
            <w:vAlign w:val="center"/>
          </w:tcPr>
          <w:p>
            <w:pPr>
              <w:pStyle w:val="10"/>
            </w:pPr>
            <w:r>
              <w:t>及时完成</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完成工作需要资金</w:t>
            </w:r>
          </w:p>
        </w:tc>
        <w:tc>
          <w:tcPr>
            <w:tcW w:w="2835" w:type="dxa"/>
            <w:vAlign w:val="center"/>
          </w:tcPr>
          <w:p>
            <w:pPr>
              <w:pStyle w:val="10"/>
            </w:pPr>
            <w:r>
              <w:t>完成工作需要资金</w:t>
            </w:r>
          </w:p>
        </w:tc>
        <w:tc>
          <w:tcPr>
            <w:tcW w:w="2239" w:type="dxa"/>
            <w:vAlign w:val="center"/>
          </w:tcPr>
          <w:p>
            <w:pPr>
              <w:pStyle w:val="10"/>
            </w:pPr>
            <w:r>
              <w:t>及时到位</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社会影响力</w:t>
            </w:r>
          </w:p>
        </w:tc>
        <w:tc>
          <w:tcPr>
            <w:tcW w:w="2835" w:type="dxa"/>
            <w:vAlign w:val="center"/>
          </w:tcPr>
          <w:p>
            <w:pPr>
              <w:pStyle w:val="10"/>
            </w:pPr>
            <w:r>
              <w:t>通过开展信息宣传工作，创造良好的舆论氛围，使我厅工作得到广大受众的充分认可。</w:t>
            </w:r>
          </w:p>
        </w:tc>
        <w:tc>
          <w:tcPr>
            <w:tcW w:w="2239" w:type="dxa"/>
            <w:vAlign w:val="center"/>
          </w:tcPr>
          <w:p>
            <w:pPr>
              <w:pStyle w:val="10"/>
            </w:pPr>
            <w:r>
              <w:t>有效提高</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239" w:type="dxa"/>
            <w:vAlign w:val="center"/>
          </w:tcPr>
          <w:p>
            <w:pPr>
              <w:pStyle w:val="10"/>
            </w:pPr>
            <w:r>
              <w:t>满意</w:t>
            </w:r>
          </w:p>
        </w:tc>
        <w:tc>
          <w:tcPr>
            <w:tcW w:w="2580" w:type="dxa"/>
            <w:vAlign w:val="center"/>
          </w:tcPr>
          <w:p>
            <w:pPr>
              <w:pStyle w:val="10"/>
            </w:pPr>
            <w:r>
              <w:rPr>
                <w:rFonts w:hint="eastAsia" w:eastAsiaTheme="minorEastAsia"/>
                <w:lang w:eastAsia="zh-CN"/>
              </w:rPr>
              <w:t>冀综治办（2016）12号</w:t>
            </w:r>
          </w:p>
        </w:tc>
      </w:tr>
    </w:tbl>
    <w:p>
      <w:pPr>
        <w:ind w:firstLine="560"/>
      </w:pPr>
      <w:r>
        <w:rPr>
          <w:rFonts w:ascii="方正仿宋_GBK" w:hAnsi="方正仿宋_GBK" w:eastAsia="方正仿宋_GBK" w:cs="方正仿宋_GBK"/>
          <w:b/>
          <w:color w:val="000000"/>
          <w:sz w:val="28"/>
        </w:rPr>
        <w:t>5、政法网项目绩效目标表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eastAsiaTheme="minorEastAsia"/>
                <w:lang w:eastAsia="zh-CN"/>
              </w:rPr>
              <w:t>确保政法网安全运行，促进政法工作上台阶</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239"/>
        <w:gridCol w:w="25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239" w:type="dxa"/>
            <w:vAlign w:val="center"/>
          </w:tcPr>
          <w:p>
            <w:pPr>
              <w:pStyle w:val="8"/>
            </w:pPr>
            <w:r>
              <w:t>指标值</w:t>
            </w:r>
          </w:p>
        </w:tc>
        <w:tc>
          <w:tcPr>
            <w:tcW w:w="258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设备检修维护次数</w:t>
            </w:r>
          </w:p>
        </w:tc>
        <w:tc>
          <w:tcPr>
            <w:tcW w:w="2835" w:type="dxa"/>
            <w:vAlign w:val="center"/>
          </w:tcPr>
          <w:p>
            <w:pPr>
              <w:pStyle w:val="10"/>
            </w:pPr>
            <w:r>
              <w:t>设备检修维护次数</w:t>
            </w:r>
          </w:p>
        </w:tc>
        <w:tc>
          <w:tcPr>
            <w:tcW w:w="2239" w:type="dxa"/>
            <w:vAlign w:val="center"/>
          </w:tcPr>
          <w:p>
            <w:pPr>
              <w:pStyle w:val="10"/>
            </w:pPr>
            <w:r>
              <w:t>≥12次</w:t>
            </w:r>
          </w:p>
        </w:tc>
        <w:tc>
          <w:tcPr>
            <w:tcW w:w="2580" w:type="dxa"/>
            <w:vAlign w:val="center"/>
          </w:tcPr>
          <w:p>
            <w:pPr>
              <w:pStyle w:val="10"/>
              <w:rPr>
                <w:rFonts w:hint="eastAsia" w:eastAsiaTheme="minorEastAsia"/>
                <w:lang w:eastAsia="zh-CN"/>
              </w:rPr>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设施运转完好率</w:t>
            </w:r>
          </w:p>
        </w:tc>
        <w:tc>
          <w:tcPr>
            <w:tcW w:w="2835" w:type="dxa"/>
            <w:vAlign w:val="center"/>
          </w:tcPr>
          <w:p>
            <w:pPr>
              <w:pStyle w:val="10"/>
            </w:pPr>
            <w:r>
              <w:t>设施运转完好率</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工程竣工及时率（%）</w:t>
            </w:r>
          </w:p>
        </w:tc>
        <w:tc>
          <w:tcPr>
            <w:tcW w:w="2835" w:type="dxa"/>
            <w:vAlign w:val="center"/>
          </w:tcPr>
          <w:p>
            <w:pPr>
              <w:pStyle w:val="10"/>
            </w:pPr>
            <w:r>
              <w:t>工程竣工及时率（%）</w:t>
            </w:r>
          </w:p>
        </w:tc>
        <w:tc>
          <w:tcPr>
            <w:tcW w:w="2239" w:type="dxa"/>
            <w:vAlign w:val="center"/>
          </w:tcPr>
          <w:p>
            <w:pPr>
              <w:pStyle w:val="10"/>
            </w:pPr>
            <w:r>
              <w:t>≥100%</w:t>
            </w:r>
          </w:p>
        </w:tc>
        <w:tc>
          <w:tcPr>
            <w:tcW w:w="2580" w:type="dxa"/>
            <w:vAlign w:val="center"/>
          </w:tcPr>
          <w:p>
            <w:pPr>
              <w:pStyle w:val="10"/>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239" w:type="dxa"/>
            <w:vAlign w:val="center"/>
          </w:tcPr>
          <w:p>
            <w:pPr>
              <w:pStyle w:val="10"/>
            </w:pPr>
            <w:r>
              <w:t>合理安排</w:t>
            </w:r>
          </w:p>
        </w:tc>
        <w:tc>
          <w:tcPr>
            <w:tcW w:w="2580" w:type="dxa"/>
            <w:vAlign w:val="center"/>
          </w:tcPr>
          <w:p>
            <w:pPr>
              <w:pStyle w:val="10"/>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保障工作顺利开展</w:t>
            </w:r>
          </w:p>
        </w:tc>
        <w:tc>
          <w:tcPr>
            <w:tcW w:w="2835" w:type="dxa"/>
            <w:vAlign w:val="center"/>
          </w:tcPr>
          <w:p>
            <w:pPr>
              <w:pStyle w:val="10"/>
            </w:pPr>
            <w:r>
              <w:t>保障工作顺利开展</w:t>
            </w:r>
          </w:p>
        </w:tc>
        <w:tc>
          <w:tcPr>
            <w:tcW w:w="2239" w:type="dxa"/>
            <w:vAlign w:val="center"/>
          </w:tcPr>
          <w:p>
            <w:pPr>
              <w:pStyle w:val="10"/>
            </w:pPr>
            <w:r>
              <w:t>顺利开展</w:t>
            </w:r>
          </w:p>
        </w:tc>
        <w:tc>
          <w:tcPr>
            <w:tcW w:w="2580" w:type="dxa"/>
            <w:vAlign w:val="center"/>
          </w:tcPr>
          <w:p>
            <w:pPr>
              <w:pStyle w:val="10"/>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冀政法字（2015）12号</w:t>
            </w:r>
          </w:p>
        </w:tc>
      </w:tr>
    </w:tbl>
    <w:p>
      <w:pPr>
        <w:ind w:firstLine="560"/>
      </w:pPr>
      <w:r>
        <w:rPr>
          <w:rFonts w:ascii="方正仿宋_GBK" w:hAnsi="方正仿宋_GBK" w:eastAsia="方正仿宋_GBK" w:cs="方正仿宋_GBK"/>
          <w:b/>
          <w:color w:val="000000"/>
          <w:sz w:val="28"/>
        </w:rPr>
        <w:t>6、综治经费项目绩效目标表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eastAsiaTheme="minorEastAsia"/>
                <w:lang w:eastAsia="zh-CN"/>
              </w:rPr>
              <w:t>开展社会治安综合治理活动，确保全县社会政治稳定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239"/>
        <w:gridCol w:w="25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239" w:type="dxa"/>
            <w:vAlign w:val="center"/>
          </w:tcPr>
          <w:p>
            <w:pPr>
              <w:pStyle w:val="8"/>
            </w:pPr>
            <w:r>
              <w:t>指标值</w:t>
            </w:r>
          </w:p>
        </w:tc>
        <w:tc>
          <w:tcPr>
            <w:tcW w:w="258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培树治安防控工作先进典型乡镇</w:t>
            </w:r>
          </w:p>
        </w:tc>
        <w:tc>
          <w:tcPr>
            <w:tcW w:w="2835" w:type="dxa"/>
            <w:vAlign w:val="center"/>
          </w:tcPr>
          <w:p>
            <w:pPr>
              <w:pStyle w:val="10"/>
            </w:pPr>
            <w:r>
              <w:t>培树治安防控工作先进典型村数量（个）</w:t>
            </w:r>
          </w:p>
        </w:tc>
        <w:tc>
          <w:tcPr>
            <w:tcW w:w="2239" w:type="dxa"/>
            <w:vAlign w:val="center"/>
          </w:tcPr>
          <w:p>
            <w:pPr>
              <w:pStyle w:val="10"/>
            </w:pPr>
            <w:r>
              <w:t>≥12个</w:t>
            </w:r>
          </w:p>
        </w:tc>
        <w:tc>
          <w:tcPr>
            <w:tcW w:w="2580" w:type="dxa"/>
            <w:vAlign w:val="center"/>
          </w:tcPr>
          <w:p>
            <w:pPr>
              <w:pStyle w:val="10"/>
              <w:rPr>
                <w:rFonts w:hint="eastAsia" w:eastAsiaTheme="minorEastAsia"/>
                <w:lang w:eastAsia="zh-CN"/>
              </w:rPr>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其他各项综合实务工作完成率</w:t>
            </w:r>
          </w:p>
        </w:tc>
        <w:tc>
          <w:tcPr>
            <w:tcW w:w="2835" w:type="dxa"/>
            <w:vAlign w:val="center"/>
          </w:tcPr>
          <w:p>
            <w:pPr>
              <w:pStyle w:val="10"/>
            </w:pPr>
            <w:r>
              <w:t>其他各项综合实务工作完成率</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239" w:type="dxa"/>
            <w:vAlign w:val="center"/>
          </w:tcPr>
          <w:p>
            <w:pPr>
              <w:pStyle w:val="10"/>
            </w:pPr>
            <w:r>
              <w:t>合理安排</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立体化社会治安防控体系覆盖率(</w:t>
            </w:r>
          </w:p>
        </w:tc>
        <w:tc>
          <w:tcPr>
            <w:tcW w:w="2835" w:type="dxa"/>
            <w:vAlign w:val="center"/>
          </w:tcPr>
          <w:p>
            <w:pPr>
              <w:pStyle w:val="10"/>
            </w:pPr>
            <w:r>
              <w:t>立体化社会治安防控体系覆盖率(%)</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冀综治办（2016）12号</w:t>
            </w:r>
          </w:p>
        </w:tc>
      </w:tr>
    </w:tbl>
    <w:p>
      <w:pPr>
        <w:ind w:firstLine="560"/>
      </w:pPr>
      <w:r>
        <w:rPr>
          <w:rFonts w:ascii="方正仿宋_GBK" w:hAnsi="方正仿宋_GBK" w:eastAsia="方正仿宋_GBK" w:cs="方正仿宋_GBK"/>
          <w:b/>
          <w:color w:val="000000"/>
          <w:sz w:val="28"/>
        </w:rPr>
        <w:t>7、综治视联网经费项目绩效目标表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eastAsiaTheme="minorEastAsia"/>
                <w:lang w:eastAsia="zh-CN"/>
              </w:rPr>
              <w:t>确保综治视联网安全运行，促进市域社会治理现代化各项工作</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239"/>
        <w:gridCol w:w="25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239" w:type="dxa"/>
            <w:vAlign w:val="center"/>
          </w:tcPr>
          <w:p>
            <w:pPr>
              <w:pStyle w:val="8"/>
            </w:pPr>
            <w:r>
              <w:t>指标值</w:t>
            </w:r>
          </w:p>
        </w:tc>
        <w:tc>
          <w:tcPr>
            <w:tcW w:w="258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系统故障率(％)</w:t>
            </w:r>
          </w:p>
        </w:tc>
        <w:tc>
          <w:tcPr>
            <w:tcW w:w="2835" w:type="dxa"/>
            <w:vAlign w:val="center"/>
          </w:tcPr>
          <w:p>
            <w:pPr>
              <w:pStyle w:val="10"/>
            </w:pPr>
            <w:r>
              <w:t>系统出故障时间占总运行时间的比率（反向指标）</w:t>
            </w:r>
          </w:p>
        </w:tc>
        <w:tc>
          <w:tcPr>
            <w:tcW w:w="2239" w:type="dxa"/>
            <w:vAlign w:val="center"/>
          </w:tcPr>
          <w:p>
            <w:pPr>
              <w:pStyle w:val="10"/>
            </w:pPr>
            <w:r>
              <w:t>≥1%</w:t>
            </w:r>
          </w:p>
        </w:tc>
        <w:tc>
          <w:tcPr>
            <w:tcW w:w="2580" w:type="dxa"/>
            <w:vAlign w:val="center"/>
          </w:tcPr>
          <w:p>
            <w:pPr>
              <w:pStyle w:val="10"/>
              <w:rPr>
                <w:rFonts w:hint="eastAsia" w:eastAsiaTheme="minorEastAsia"/>
                <w:lang w:eastAsia="zh-CN"/>
              </w:rPr>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系统故障修复响应时间（小时）</w:t>
            </w:r>
          </w:p>
        </w:tc>
        <w:tc>
          <w:tcPr>
            <w:tcW w:w="2835" w:type="dxa"/>
            <w:vAlign w:val="center"/>
          </w:tcPr>
          <w:p>
            <w:pPr>
              <w:pStyle w:val="10"/>
            </w:pPr>
            <w:r>
              <w:t>响应系统故障并修复的时间</w:t>
            </w:r>
          </w:p>
        </w:tc>
        <w:tc>
          <w:tcPr>
            <w:tcW w:w="2239" w:type="dxa"/>
            <w:vAlign w:val="center"/>
          </w:tcPr>
          <w:p>
            <w:pPr>
              <w:pStyle w:val="10"/>
            </w:pPr>
            <w:r>
              <w:t>24小时</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设备检修维护次数</w:t>
            </w:r>
          </w:p>
        </w:tc>
        <w:tc>
          <w:tcPr>
            <w:tcW w:w="2835" w:type="dxa"/>
            <w:vAlign w:val="center"/>
          </w:tcPr>
          <w:p>
            <w:pPr>
              <w:pStyle w:val="10"/>
            </w:pPr>
            <w:r>
              <w:t>设备检修维护次数</w:t>
            </w:r>
          </w:p>
        </w:tc>
        <w:tc>
          <w:tcPr>
            <w:tcW w:w="2239" w:type="dxa"/>
            <w:vAlign w:val="center"/>
          </w:tcPr>
          <w:p>
            <w:pPr>
              <w:pStyle w:val="10"/>
            </w:pPr>
            <w:r>
              <w:t>12次</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239" w:type="dxa"/>
            <w:vAlign w:val="center"/>
          </w:tcPr>
          <w:p>
            <w:pPr>
              <w:pStyle w:val="10"/>
            </w:pPr>
            <w:r>
              <w:t>合理安排</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非正常停机率（%）</w:t>
            </w:r>
          </w:p>
        </w:tc>
        <w:tc>
          <w:tcPr>
            <w:tcW w:w="2835" w:type="dxa"/>
            <w:vAlign w:val="center"/>
          </w:tcPr>
          <w:p>
            <w:pPr>
              <w:pStyle w:val="10"/>
            </w:pPr>
            <w:r>
              <w:t>非正常停机次数占总停机次数的比率（反向指标）</w:t>
            </w:r>
          </w:p>
        </w:tc>
        <w:tc>
          <w:tcPr>
            <w:tcW w:w="2239" w:type="dxa"/>
            <w:vAlign w:val="center"/>
          </w:tcPr>
          <w:p>
            <w:pPr>
              <w:pStyle w:val="10"/>
            </w:pPr>
            <w:r>
              <w:t>≤5%</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用户满意度</w:t>
            </w:r>
          </w:p>
        </w:tc>
        <w:tc>
          <w:tcPr>
            <w:tcW w:w="2835" w:type="dxa"/>
            <w:vAlign w:val="center"/>
          </w:tcPr>
          <w:p>
            <w:pPr>
              <w:pStyle w:val="10"/>
            </w:pPr>
            <w:r>
              <w:t>用户满意度</w:t>
            </w:r>
          </w:p>
        </w:tc>
        <w:tc>
          <w:tcPr>
            <w:tcW w:w="2239" w:type="dxa"/>
            <w:vAlign w:val="center"/>
          </w:tcPr>
          <w:p>
            <w:pPr>
              <w:pStyle w:val="10"/>
            </w:pPr>
            <w:r>
              <w:t>≥95%</w:t>
            </w:r>
          </w:p>
          <w:p>
            <w:pPr>
              <w:pStyle w:val="10"/>
            </w:pPr>
          </w:p>
        </w:tc>
        <w:tc>
          <w:tcPr>
            <w:tcW w:w="2580" w:type="dxa"/>
            <w:vAlign w:val="center"/>
          </w:tcPr>
          <w:p>
            <w:pPr>
              <w:pStyle w:val="10"/>
            </w:pPr>
            <w:r>
              <w:rPr>
                <w:rFonts w:hint="eastAsia" w:eastAsiaTheme="minorEastAsia"/>
                <w:lang w:eastAsia="zh-CN"/>
              </w:rPr>
              <w:t>冀综治办（2018）39号</w:t>
            </w:r>
          </w:p>
        </w:tc>
      </w:tr>
    </w:tbl>
    <w:p>
      <w:pPr>
        <w:ind w:firstLine="560"/>
      </w:pPr>
      <w:r>
        <w:rPr>
          <w:rFonts w:ascii="方正仿宋_GBK" w:hAnsi="方正仿宋_GBK" w:eastAsia="方正仿宋_GBK" w:cs="方正仿宋_GBK"/>
          <w:b/>
          <w:color w:val="000000"/>
          <w:sz w:val="28"/>
        </w:rPr>
        <w:t>8、综治网格员经费项目绩效目标表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eastAsiaTheme="minorEastAsia"/>
                <w:lang w:eastAsia="zh-CN"/>
              </w:rPr>
              <w:t>确保综治信息系统安全运行，促进市域社会治理现代化工作</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239"/>
        <w:gridCol w:w="25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239" w:type="dxa"/>
            <w:vAlign w:val="center"/>
          </w:tcPr>
          <w:p>
            <w:pPr>
              <w:pStyle w:val="8"/>
            </w:pPr>
            <w:r>
              <w:t>指标值</w:t>
            </w:r>
          </w:p>
        </w:tc>
        <w:tc>
          <w:tcPr>
            <w:tcW w:w="258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培训人员人次</w:t>
            </w:r>
          </w:p>
        </w:tc>
        <w:tc>
          <w:tcPr>
            <w:tcW w:w="2835" w:type="dxa"/>
            <w:vAlign w:val="center"/>
          </w:tcPr>
          <w:p>
            <w:pPr>
              <w:pStyle w:val="10"/>
            </w:pPr>
            <w:r>
              <w:t>培训人员人次</w:t>
            </w:r>
          </w:p>
        </w:tc>
        <w:tc>
          <w:tcPr>
            <w:tcW w:w="2239" w:type="dxa"/>
            <w:vAlign w:val="center"/>
          </w:tcPr>
          <w:p>
            <w:pPr>
              <w:pStyle w:val="10"/>
            </w:pPr>
            <w:r>
              <w:t>≥500人次</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群众活动参与率</w:t>
            </w:r>
          </w:p>
        </w:tc>
        <w:tc>
          <w:tcPr>
            <w:tcW w:w="2835" w:type="dxa"/>
            <w:vAlign w:val="center"/>
          </w:tcPr>
          <w:p>
            <w:pPr>
              <w:pStyle w:val="10"/>
            </w:pPr>
            <w:r>
              <w:t>群众活动参与率</w:t>
            </w:r>
          </w:p>
        </w:tc>
        <w:tc>
          <w:tcPr>
            <w:tcW w:w="2239" w:type="dxa"/>
            <w:vAlign w:val="center"/>
          </w:tcPr>
          <w:p>
            <w:pPr>
              <w:pStyle w:val="10"/>
            </w:pPr>
            <w:r>
              <w:t>≥90%</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239" w:type="dxa"/>
            <w:vAlign w:val="center"/>
          </w:tcPr>
          <w:p>
            <w:pPr>
              <w:pStyle w:val="10"/>
            </w:pPr>
            <w:r>
              <w:t>合理安排</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创新工作情况</w:t>
            </w:r>
          </w:p>
        </w:tc>
        <w:tc>
          <w:tcPr>
            <w:tcW w:w="2835" w:type="dxa"/>
            <w:vAlign w:val="center"/>
          </w:tcPr>
          <w:p>
            <w:pPr>
              <w:pStyle w:val="10"/>
            </w:pPr>
            <w:r>
              <w:t>创新工作情况</w:t>
            </w:r>
          </w:p>
        </w:tc>
        <w:tc>
          <w:tcPr>
            <w:tcW w:w="2239" w:type="dxa"/>
            <w:vAlign w:val="center"/>
          </w:tcPr>
          <w:p>
            <w:pPr>
              <w:pStyle w:val="10"/>
            </w:pPr>
            <w:r>
              <w:t>工作开展良好</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239" w:type="dxa"/>
            <w:vAlign w:val="center"/>
          </w:tcPr>
          <w:p>
            <w:pPr>
              <w:pStyle w:val="10"/>
            </w:pPr>
            <w:r>
              <w:t>≥90%</w:t>
            </w:r>
          </w:p>
        </w:tc>
        <w:tc>
          <w:tcPr>
            <w:tcW w:w="2580" w:type="dxa"/>
            <w:vAlign w:val="center"/>
          </w:tcPr>
          <w:p>
            <w:pPr>
              <w:pStyle w:val="10"/>
            </w:pPr>
            <w:r>
              <w:rPr>
                <w:rFonts w:hint="eastAsia" w:eastAsiaTheme="minorEastAsia"/>
                <w:lang w:eastAsia="zh-CN"/>
              </w:rPr>
              <w:t>冀综治办（2018）39号</w:t>
            </w:r>
          </w:p>
        </w:tc>
      </w:tr>
    </w:tbl>
    <w:p>
      <w:pPr>
        <w:ind w:firstLine="560"/>
      </w:pPr>
      <w:r>
        <w:rPr>
          <w:rFonts w:ascii="方正仿宋_GBK" w:hAnsi="方正仿宋_GBK" w:eastAsia="方正仿宋_GBK" w:cs="方正仿宋_GBK"/>
          <w:b/>
          <w:color w:val="000000"/>
          <w:sz w:val="28"/>
        </w:rPr>
        <w:t>9、综治中心劳务派遣人员经费项目绩效目标表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eastAsiaTheme="minorEastAsia"/>
                <w:lang w:eastAsia="zh-CN"/>
              </w:rPr>
              <w:t>及时发放综治中心劳务派遣人员工资，确保综治中心各项工作取的好成绩</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239"/>
        <w:gridCol w:w="25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239" w:type="dxa"/>
            <w:vAlign w:val="center"/>
          </w:tcPr>
          <w:p>
            <w:pPr>
              <w:pStyle w:val="8"/>
            </w:pPr>
            <w:r>
              <w:t>指标值</w:t>
            </w:r>
          </w:p>
        </w:tc>
        <w:tc>
          <w:tcPr>
            <w:tcW w:w="258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培训人员人次</w:t>
            </w:r>
          </w:p>
        </w:tc>
        <w:tc>
          <w:tcPr>
            <w:tcW w:w="2835" w:type="dxa"/>
            <w:vAlign w:val="center"/>
          </w:tcPr>
          <w:p>
            <w:pPr>
              <w:pStyle w:val="10"/>
            </w:pPr>
            <w:r>
              <w:t>培训人员人次</w:t>
            </w:r>
          </w:p>
        </w:tc>
        <w:tc>
          <w:tcPr>
            <w:tcW w:w="2239" w:type="dxa"/>
            <w:vAlign w:val="center"/>
          </w:tcPr>
          <w:p>
            <w:pPr>
              <w:pStyle w:val="10"/>
            </w:pPr>
            <w:r>
              <w:t>≥6次</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其他各项综合实务工作完成率</w:t>
            </w:r>
          </w:p>
        </w:tc>
        <w:tc>
          <w:tcPr>
            <w:tcW w:w="2835" w:type="dxa"/>
            <w:vAlign w:val="center"/>
          </w:tcPr>
          <w:p>
            <w:pPr>
              <w:pStyle w:val="10"/>
            </w:pPr>
            <w:r>
              <w:t>其他各项综合实务工作完成率</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239" w:type="dxa"/>
            <w:vAlign w:val="center"/>
          </w:tcPr>
          <w:p>
            <w:pPr>
              <w:pStyle w:val="10"/>
            </w:pPr>
            <w:r>
              <w:t>合理安排</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立体化社会治安防控体系覆盖率(</w:t>
            </w:r>
          </w:p>
        </w:tc>
        <w:tc>
          <w:tcPr>
            <w:tcW w:w="2835" w:type="dxa"/>
            <w:vAlign w:val="center"/>
          </w:tcPr>
          <w:p>
            <w:pPr>
              <w:pStyle w:val="10"/>
            </w:pPr>
            <w:r>
              <w:t>立体化社会治安防控体系覆盖率(%)</w:t>
            </w:r>
          </w:p>
        </w:tc>
        <w:tc>
          <w:tcPr>
            <w:tcW w:w="2239" w:type="dxa"/>
            <w:vAlign w:val="center"/>
          </w:tcPr>
          <w:p>
            <w:pPr>
              <w:pStyle w:val="10"/>
            </w:pPr>
            <w:r>
              <w:t>≥90%</w:t>
            </w:r>
          </w:p>
        </w:tc>
        <w:tc>
          <w:tcPr>
            <w:tcW w:w="2580"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239" w:type="dxa"/>
            <w:vAlign w:val="center"/>
          </w:tcPr>
          <w:p>
            <w:pPr>
              <w:pStyle w:val="10"/>
            </w:pPr>
            <w:r>
              <w:t>≥95%</w:t>
            </w:r>
          </w:p>
        </w:tc>
        <w:tc>
          <w:tcPr>
            <w:tcW w:w="2580" w:type="dxa"/>
            <w:vAlign w:val="center"/>
          </w:tcPr>
          <w:p>
            <w:pPr>
              <w:pStyle w:val="10"/>
            </w:pPr>
            <w:r>
              <w:rPr>
                <w:rFonts w:hint="eastAsia" w:eastAsiaTheme="minorEastAsia"/>
                <w:lang w:eastAsia="zh-CN"/>
              </w:rPr>
              <w:t>冀综治办（2018）39号</w:t>
            </w:r>
          </w:p>
        </w:tc>
      </w:tr>
    </w:tbl>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2023年，中国共产党隆尧县委员会政法委员会本级安排政府采购预算0.00万元。具体内容见下表。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146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7"/>
        <w:gridCol w:w="700"/>
        <w:gridCol w:w="1013"/>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973" w:type="dxa"/>
            <w:gridSpan w:val="7"/>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17" w:type="dxa"/>
            <w:gridSpan w:val="2"/>
            <w:vAlign w:val="center"/>
          </w:tcPr>
          <w:p>
            <w:pPr>
              <w:pStyle w:val="8"/>
            </w:pPr>
            <w:r>
              <w:t>政府采购项目来源</w:t>
            </w:r>
          </w:p>
        </w:tc>
        <w:tc>
          <w:tcPr>
            <w:tcW w:w="1013"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w:t>
            </w:r>
            <w:r>
              <w:rPr>
                <w:rFonts w:hint="eastAsia"/>
                <w:lang w:eastAsia="zh-CN"/>
              </w:rPr>
              <w:t>单位</w:t>
            </w:r>
            <w:r>
              <w:t>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17" w:type="dxa"/>
            <w:vAlign w:val="center"/>
          </w:tcPr>
          <w:p>
            <w:pPr>
              <w:pStyle w:val="8"/>
            </w:pPr>
            <w:r>
              <w:t>项目名称</w:t>
            </w:r>
          </w:p>
        </w:tc>
        <w:tc>
          <w:tcPr>
            <w:tcW w:w="700" w:type="dxa"/>
            <w:vAlign w:val="center"/>
          </w:tcPr>
          <w:p>
            <w:pPr>
              <w:pStyle w:val="8"/>
            </w:pPr>
            <w:r>
              <w:t>预算    资金</w:t>
            </w:r>
          </w:p>
        </w:tc>
        <w:tc>
          <w:tcPr>
            <w:tcW w:w="1013"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17" w:type="dxa"/>
            <w:vAlign w:val="center"/>
          </w:tcPr>
          <w:p>
            <w:pPr>
              <w:pStyle w:val="10"/>
            </w:pPr>
          </w:p>
        </w:tc>
        <w:tc>
          <w:tcPr>
            <w:tcW w:w="700" w:type="dxa"/>
            <w:vAlign w:val="center"/>
          </w:tcPr>
          <w:p>
            <w:pPr>
              <w:pStyle w:val="9"/>
            </w:pPr>
          </w:p>
        </w:tc>
        <w:tc>
          <w:tcPr>
            <w:tcW w:w="1013"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中国共产党隆尧县委员会政法委员会本级上年末固定资产金额为5.84万元（详见下表）。本年度拟购置固定资产总额为0.00万元，已按要求列入政府采购预算，详见政府采购预算表。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216001中国共产党隆尧县委员会政法委员会本级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31</w:t>
            </w:r>
          </w:p>
        </w:tc>
        <w:tc>
          <w:tcPr>
            <w:tcW w:w="2835" w:type="dxa"/>
            <w:vAlign w:val="center"/>
          </w:tcPr>
          <w:p>
            <w:pPr>
              <w:pStyle w:val="9"/>
            </w:pPr>
            <w:r>
              <w:t>5.84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rPr>
          <w:rFonts w:eastAsiaTheme="minorEastAsia"/>
          <w:lang w:eastAsia="zh-CN"/>
        </w:rPr>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eastAsiaTheme="minorEastAsia"/>
          <w:lang w:eastAsia="zh-CN"/>
        </w:rPr>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23939D"/>
    <w:multiLevelType w:val="singleLevel"/>
    <w:tmpl w:val="AF23939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YwOGZlNjhkNzI1Y2JlODNkMGE5YzU4OGIwZjJjYzAifQ=="/>
  </w:docVars>
  <w:rsids>
    <w:rsidRoot w:val="00082E76"/>
    <w:rsid w:val="00082E76"/>
    <w:rsid w:val="002768C2"/>
    <w:rsid w:val="003D72BC"/>
    <w:rsid w:val="00443C06"/>
    <w:rsid w:val="00473397"/>
    <w:rsid w:val="005A5C5F"/>
    <w:rsid w:val="00705FA4"/>
    <w:rsid w:val="00884E17"/>
    <w:rsid w:val="00A25DDB"/>
    <w:rsid w:val="00AA3C59"/>
    <w:rsid w:val="00C50DF9"/>
    <w:rsid w:val="00D3266A"/>
    <w:rsid w:val="00DC6461"/>
    <w:rsid w:val="05CA44E8"/>
    <w:rsid w:val="088928C2"/>
    <w:rsid w:val="0C2806B4"/>
    <w:rsid w:val="15F1161D"/>
    <w:rsid w:val="1B0C5F1E"/>
    <w:rsid w:val="36301896"/>
    <w:rsid w:val="53202F66"/>
    <w:rsid w:val="549E33CA"/>
    <w:rsid w:val="559035D0"/>
    <w:rsid w:val="5A6C637A"/>
    <w:rsid w:val="7E971A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rPr>
      <w:rFonts w:ascii="Times New Roman" w:hAnsi="Times New Roman"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29</Pages>
  <Words>2011</Words>
  <Characters>11465</Characters>
  <Lines>95</Lines>
  <Paragraphs>26</Paragraphs>
  <TotalTime>32</TotalTime>
  <ScaleCrop>false</ScaleCrop>
  <LinksUpToDate>false</LinksUpToDate>
  <CharactersWithSpaces>13450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2023-01-17T08:53:00Z</dcterms:created>
  <dc:creator>dreamsummit</dc:creator>
  <cp:lastModifiedBy>大头和她的小伙伴儿们</cp:lastModifiedBy>
  <dcterms:modified xsi:type="dcterms:W3CDTF">2023-09-06T00:29:48Z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5379D42F48184B5B8560FBA120449D3E_12</vt:lpwstr>
  </property>
</Properties>
</file>