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2</w:t>
      </w:r>
      <w:bookmarkStart w:id="0" w:name="_GoBack"/>
      <w:bookmarkEnd w:id="0"/>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隆尧县商务局本级收支</w:t>
      </w:r>
      <w:r>
        <w:rPr>
          <w:rFonts w:ascii="黑体" w:hAnsi="黑体" w:eastAsia="黑体" w:cs="黑体"/>
          <w:b/>
          <w:color w:val="000000"/>
          <w:sz w:val="30"/>
        </w:rPr>
        <w:t>预算</w:t>
      </w:r>
    </w:p>
    <w:p>
      <w:r>
        <w:rPr>
          <w:rFonts w:hint="eastAsia" w:cs="方正楷体_GBK" w:asciiTheme="minorEastAsia" w:hAnsiTheme="minorEastAsia" w:eastAsiaTheme="minorEastAsia"/>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2</w:t>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4</w:t>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6</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end"/>
      </w:r>
      <w:r>
        <w:rPr>
          <w:rFonts w:hint="eastAsia"/>
          <w:lang w:val="en-US" w:eastAsia="zh-CN"/>
        </w:rPr>
        <w:t>8</w:t>
      </w:r>
    </w:p>
    <w:p>
      <w:pPr>
        <w:pStyle w:val="3"/>
        <w:tabs>
          <w:tab w:val="right" w:leader="dot" w:pos="14562"/>
        </w:tabs>
        <w:rPr>
          <w:lang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4</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5</w:t>
      </w:r>
    </w:p>
    <w:p>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6</w:t>
      </w:r>
      <w:r>
        <w:fldChar w:fldCharType="end"/>
      </w:r>
      <w:r>
        <w:fldChar w:fldCharType="end"/>
      </w:r>
    </w:p>
    <w:p>
      <w:pPr>
        <w:rPr>
          <w:rFonts w:eastAsiaTheme="minorEastAsia"/>
          <w:lang w:eastAsia="zh-CN"/>
        </w:rPr>
      </w:pPr>
      <w:r>
        <w:fldChar w:fldCharType="end"/>
      </w:r>
    </w:p>
    <w:p>
      <w:r>
        <w:rPr>
          <w:rFonts w:hint="eastAsia" w:cs="方正楷体_GBK" w:asciiTheme="minorEastAsia" w:hAnsiTheme="minorEastAsia" w:eastAsiaTheme="minorEastAsia"/>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7</w:t>
      </w:r>
    </w:p>
    <w:p>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w:t>
      </w:r>
      <w:r>
        <w:rPr>
          <w:rFonts w:hint="eastAsia"/>
          <w:lang w:val="en-US" w:eastAsia="zh-CN"/>
        </w:rPr>
        <w:t>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rPr>
          <w:rFonts w:hint="eastAsia"/>
          <w:lang w:eastAsia="zh-CN"/>
        </w:rPr>
        <w:t>3</w:t>
      </w:r>
      <w:r>
        <w:rPr>
          <w:rFonts w:hint="eastAsia"/>
          <w:lang w:val="en-US" w:eastAsia="zh-CN"/>
        </w:rPr>
        <w:t>0</w:t>
      </w:r>
      <w:r>
        <w:rPr>
          <w:rFonts w:hint="eastAsia"/>
          <w:lang w:eastAsia="zh-CN"/>
        </w:rP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rPr>
          <w:rFonts w:hint="eastAsia"/>
          <w:lang w:eastAsia="zh-CN"/>
        </w:rPr>
        <w:t>3</w:t>
      </w:r>
      <w:r>
        <w:rPr>
          <w:rFonts w:hint="eastAsia"/>
          <w:lang w:val="en-US" w:eastAsia="zh-CN"/>
        </w:rPr>
        <w:t>0</w:t>
      </w:r>
      <w:r>
        <w:rPr>
          <w:rFonts w:hint="eastAsia"/>
          <w:lang w:eastAsia="zh-CN"/>
        </w:rP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rPr>
          <w:rFonts w:hint="eastAsia"/>
          <w:lang w:eastAsia="zh-CN"/>
        </w:rPr>
        <w:t>3</w:t>
      </w:r>
      <w:r>
        <w:rPr>
          <w:rFonts w:hint="eastAsia"/>
          <w:lang w:val="en-US" w:eastAsia="zh-CN"/>
        </w:rPr>
        <w:t>1</w:t>
      </w:r>
      <w:r>
        <w:rPr>
          <w:rFonts w:hint="eastAsia"/>
          <w:lang w:eastAsia="zh-CN"/>
        </w:rPr>
        <w:fldChar w:fldCharType="end"/>
      </w:r>
    </w:p>
    <w:p>
      <w:pPr>
        <w:pStyle w:val="3"/>
        <w:tabs>
          <w:tab w:val="right" w:leader="dot" w:pos="14562"/>
        </w:tabs>
        <w:rPr>
          <w:rFonts w:hint="default"/>
          <w:lang w:val="en-US"/>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rPr>
          <w:rFonts w:hint="eastAsia"/>
          <w:lang w:eastAsia="zh-CN"/>
        </w:rPr>
        <w:fldChar w:fldCharType="end"/>
      </w:r>
      <w:r>
        <w:rPr>
          <w:rFonts w:hint="eastAsia"/>
          <w:lang w:val="en-US" w:eastAsia="zh-CN"/>
        </w:rPr>
        <w:t>2</w:t>
      </w:r>
    </w:p>
    <w:p>
      <w:r>
        <w:fldChar w:fldCharType="end"/>
      </w:r>
    </w:p>
    <w:p>
      <w:pPr>
        <w:jc w:val="center"/>
      </w:pPr>
      <w:r>
        <w:rPr>
          <w:rFonts w:ascii="黑体" w:hAnsi="黑体" w:eastAsia="黑体" w:cs="黑体"/>
          <w:b/>
          <w:color w:val="000000"/>
          <w:sz w:val="30"/>
        </w:rPr>
        <w:t xml:space="preserve">第二部分  </w:t>
      </w:r>
      <w:r>
        <w:rPr>
          <w:rFonts w:hint="eastAsia" w:ascii="黑体" w:hAnsi="黑体" w:eastAsia="黑体" w:cs="黑体"/>
          <w:b/>
          <w:color w:val="000000"/>
          <w:sz w:val="30"/>
          <w:lang w:eastAsia="zh-CN"/>
        </w:rPr>
        <w:t>隆尧县招商服务中心收支</w:t>
      </w:r>
      <w:r>
        <w:rPr>
          <w:rFonts w:ascii="黑体" w:hAnsi="黑体" w:eastAsia="黑体" w:cs="黑体"/>
          <w:b/>
          <w:color w:val="000000"/>
          <w:sz w:val="30"/>
        </w:rPr>
        <w:t>预算</w:t>
      </w:r>
    </w:p>
    <w:p>
      <w:r>
        <w:rPr>
          <w:rFonts w:eastAsia="方正仿宋_GBK"/>
          <w:color w:val="000000"/>
          <w:sz w:val="28"/>
        </w:rPr>
        <w:fldChar w:fldCharType="begin"/>
      </w:r>
      <w:r>
        <w:instrText xml:space="preserve">TOC \o "4-4" \h \z \u</w:instrText>
      </w:r>
      <w:r>
        <w:rPr>
          <w:rFonts w:eastAsia="方正仿宋_GBK"/>
          <w:color w:val="000000"/>
          <w:sz w:val="28"/>
        </w:rPr>
        <w:fldChar w:fldCharType="separate"/>
      </w:r>
      <w:r>
        <w:rPr>
          <w:rFonts w:hint="eastAsia" w:cs="方正楷体_GBK" w:asciiTheme="minorEastAsia" w:hAnsiTheme="minorEastAsia" w:eastAsiaTheme="minorEastAsia"/>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rPr>
          <w:rFonts w:hint="default"/>
          <w:lang w:val="en-US"/>
        </w:rPr>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rPr>
          <w:rFonts w:hint="eastAsia"/>
          <w:lang w:eastAsia="zh-CN"/>
        </w:rP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3</w:t>
      </w:r>
      <w:r>
        <w:fldChar w:fldCharType="end"/>
      </w:r>
      <w:r>
        <w:rPr>
          <w:rFonts w:hint="eastAsia"/>
          <w:lang w:val="en-US" w:eastAsia="zh-CN"/>
        </w:rPr>
        <w:t>6</w:t>
      </w:r>
    </w:p>
    <w:p>
      <w:pPr>
        <w:pStyle w:val="3"/>
        <w:tabs>
          <w:tab w:val="right" w:leader="dot" w:pos="14562"/>
        </w:tabs>
        <w:rPr>
          <w:rFonts w:hint="default"/>
          <w:lang w:val="en-US"/>
        </w:rPr>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3</w:t>
      </w:r>
      <w:r>
        <w:rPr>
          <w:rFonts w:hint="eastAsia"/>
          <w:lang w:eastAsia="zh-CN"/>
        </w:rPr>
        <w:fldChar w:fldCharType="end"/>
      </w:r>
      <w:r>
        <w:rPr>
          <w:rFonts w:hint="eastAsia"/>
          <w:lang w:val="en-US" w:eastAsia="zh-CN"/>
        </w:rPr>
        <w:t>7</w:t>
      </w:r>
    </w:p>
    <w:p>
      <w:pPr>
        <w:pStyle w:val="3"/>
        <w:tabs>
          <w:tab w:val="right" w:leader="dot" w:pos="14562"/>
        </w:tabs>
        <w:rPr>
          <w:rFonts w:hint="default"/>
          <w:lang w:val="en-US"/>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3</w:t>
      </w:r>
      <w:r>
        <w:rPr>
          <w:rFonts w:hint="eastAsia"/>
          <w:lang w:eastAsia="zh-CN"/>
        </w:rPr>
        <w:fldChar w:fldCharType="end"/>
      </w:r>
      <w:r>
        <w:rPr>
          <w:rFonts w:hint="eastAsia"/>
          <w:lang w:val="en-US" w:eastAsia="zh-CN"/>
        </w:rPr>
        <w:t>8</w:t>
      </w:r>
    </w:p>
    <w:p>
      <w:pPr>
        <w:pStyle w:val="3"/>
        <w:tabs>
          <w:tab w:val="right" w:leader="dot" w:pos="14562"/>
        </w:tabs>
        <w:rPr>
          <w:lang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eastAsia="zh-CN"/>
        </w:rPr>
        <w:t>4</w:t>
      </w:r>
      <w:r>
        <w:rPr>
          <w:rFonts w:hint="eastAsia"/>
          <w:lang w:val="en-US" w:eastAsia="zh-CN"/>
        </w:rPr>
        <w:t>0</w:t>
      </w:r>
      <w:r>
        <w:rPr>
          <w:rFonts w:hint="eastAsia"/>
          <w:lang w:eastAsia="zh-CN"/>
        </w:rPr>
        <w:fldChar w:fldCharType="end"/>
      </w:r>
    </w:p>
    <w:p>
      <w:pPr>
        <w:pStyle w:val="3"/>
        <w:tabs>
          <w:tab w:val="right" w:leader="dot" w:pos="14562"/>
        </w:tabs>
        <w:rPr>
          <w:rFonts w:hint="default"/>
          <w:lang w:val="en-US"/>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4</w:t>
      </w:r>
      <w:r>
        <w:rPr>
          <w:rFonts w:hint="eastAsia"/>
          <w:lang w:eastAsia="zh-CN"/>
        </w:rPr>
        <w:fldChar w:fldCharType="end"/>
      </w:r>
      <w:r>
        <w:rPr>
          <w:rFonts w:hint="eastAsia"/>
          <w:lang w:val="en-US" w:eastAsia="zh-CN"/>
        </w:rPr>
        <w:t>1</w:t>
      </w:r>
    </w:p>
    <w:p>
      <w:pPr>
        <w:pStyle w:val="3"/>
        <w:tabs>
          <w:tab w:val="right" w:leader="dot" w:pos="14562"/>
        </w:tabs>
        <w:rPr>
          <w:rFonts w:hint="default"/>
          <w:lang w:val="en-US"/>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4</w:t>
      </w:r>
      <w:r>
        <w:rPr>
          <w:rFonts w:hint="eastAsia"/>
          <w:lang w:eastAsia="zh-CN"/>
        </w:rPr>
        <w:fldChar w:fldCharType="end"/>
      </w:r>
      <w:r>
        <w:rPr>
          <w:rFonts w:hint="eastAsia"/>
          <w:lang w:val="en-US" w:eastAsia="zh-CN"/>
        </w:rPr>
        <w:t>2</w:t>
      </w:r>
    </w:p>
    <w:p>
      <w:pPr>
        <w:pStyle w:val="3"/>
        <w:tabs>
          <w:tab w:val="right" w:leader="dot" w:pos="14562"/>
        </w:tabs>
        <w:rPr>
          <w:rFonts w:hint="default"/>
          <w:lang w:val="en-US"/>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4</w:t>
      </w:r>
      <w:r>
        <w:rPr>
          <w:rFonts w:hint="eastAsia"/>
          <w:lang w:eastAsia="zh-CN"/>
        </w:rPr>
        <w:fldChar w:fldCharType="end"/>
      </w:r>
      <w:r>
        <w:rPr>
          <w:rFonts w:hint="eastAsia"/>
          <w:lang w:val="en-US" w:eastAsia="zh-CN"/>
        </w:rPr>
        <w:t>3</w:t>
      </w:r>
    </w:p>
    <w:p>
      <w:pPr>
        <w:pStyle w:val="3"/>
        <w:tabs>
          <w:tab w:val="right" w:leader="dot" w:pos="14562"/>
        </w:tabs>
        <w:rPr>
          <w:rFonts w:hint="default"/>
          <w:lang w:val="en-US"/>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4</w:t>
      </w:r>
      <w:r>
        <w:rPr>
          <w:rFonts w:hint="eastAsia"/>
          <w:lang w:eastAsia="zh-CN"/>
        </w:rPr>
        <w:fldChar w:fldCharType="end"/>
      </w:r>
      <w:r>
        <w:rPr>
          <w:rFonts w:hint="eastAsia"/>
          <w:lang w:val="en-US" w:eastAsia="zh-CN"/>
        </w:rPr>
        <w:t>4</w:t>
      </w:r>
    </w:p>
    <w:p>
      <w:pPr>
        <w:rPr>
          <w:rFonts w:eastAsiaTheme="minorEastAsia"/>
          <w:lang w:eastAsia="zh-CN"/>
        </w:rPr>
      </w:pPr>
      <w:r>
        <w:fldChar w:fldCharType="end"/>
      </w:r>
    </w:p>
    <w:p>
      <w:r>
        <w:rPr>
          <w:rFonts w:hint="eastAsia" w:cs="方正楷体_GBK" w:asciiTheme="minorEastAsia" w:hAnsiTheme="minorEastAsia" w:eastAsiaTheme="minorEastAsia"/>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4</w:t>
      </w:r>
      <w:r>
        <w:rPr>
          <w:rFonts w:hint="eastAsia"/>
          <w:lang w:eastAsia="zh-CN"/>
        </w:rPr>
        <w:t>5</w:t>
      </w:r>
      <w:r>
        <w:rPr>
          <w:rFonts w:hint="eastAsia"/>
          <w:lang w:eastAsia="zh-CN"/>
        </w:rP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4</w:t>
      </w:r>
      <w:r>
        <w:rPr>
          <w:rFonts w:hint="eastAsia"/>
          <w:lang w:eastAsia="zh-CN"/>
        </w:rPr>
        <w:t>5</w:t>
      </w:r>
      <w:r>
        <w:rPr>
          <w:rFonts w:hint="eastAsia"/>
          <w:lang w:eastAsia="zh-CN"/>
        </w:rPr>
        <w:fldChar w:fldCharType="end"/>
      </w:r>
    </w:p>
    <w:p>
      <w:pPr>
        <w:pStyle w:val="3"/>
        <w:tabs>
          <w:tab w:val="right" w:leader="dot" w:pos="14562"/>
        </w:tabs>
        <w:rPr>
          <w:rFonts w:hint="default"/>
          <w:lang w:val="en-US"/>
        </w:rPr>
      </w:pPr>
      <w:r>
        <w:fldChar w:fldCharType="begin"/>
      </w:r>
      <w:r>
        <w:instrText xml:space="preserve"> HYPERLINK \l "_Toc_3_3_0000000012" </w:instrText>
      </w:r>
      <w:r>
        <w:fldChar w:fldCharType="separate"/>
      </w:r>
      <w:r>
        <w:t>三、机关运行经费安排情况</w:t>
      </w:r>
      <w:r>
        <w:tab/>
      </w:r>
      <w:r>
        <w:rPr>
          <w:rFonts w:hint="eastAsia"/>
          <w:lang w:val="en-US" w:eastAsia="zh-CN"/>
        </w:rPr>
        <w:t>4</w:t>
      </w:r>
      <w:r>
        <w:rPr>
          <w:rFonts w:hint="eastAsia"/>
          <w:lang w:eastAsia="zh-CN"/>
        </w:rPr>
        <w:fldChar w:fldCharType="end"/>
      </w:r>
      <w:r>
        <w:rPr>
          <w:rFonts w:hint="eastAsia"/>
          <w:lang w:val="en-US" w:eastAsia="zh-CN"/>
        </w:rPr>
        <w:t>6</w:t>
      </w:r>
    </w:p>
    <w:p>
      <w:pPr>
        <w:pStyle w:val="3"/>
        <w:tabs>
          <w:tab w:val="right" w:leader="dot" w:pos="14562"/>
        </w:tabs>
        <w:rPr>
          <w:rFonts w:hint="default"/>
          <w:lang w:val="en-US"/>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4</w:t>
      </w:r>
      <w:r>
        <w:rPr>
          <w:rFonts w:hint="eastAsia"/>
          <w:lang w:eastAsia="zh-CN"/>
        </w:rPr>
        <w:fldChar w:fldCharType="end"/>
      </w:r>
      <w:r>
        <w:rPr>
          <w:rFonts w:hint="eastAsia"/>
          <w:lang w:val="en-US" w:eastAsia="zh-CN"/>
        </w:rPr>
        <w:t>6</w:t>
      </w:r>
    </w:p>
    <w:p>
      <w:pPr>
        <w:pStyle w:val="3"/>
        <w:tabs>
          <w:tab w:val="right" w:leader="dot" w:pos="14562"/>
        </w:tabs>
        <w:rPr>
          <w:rFonts w:hint="default"/>
          <w:lang w:val="en-US"/>
        </w:rPr>
      </w:pPr>
      <w:r>
        <w:fldChar w:fldCharType="begin"/>
      </w:r>
      <w:r>
        <w:instrText xml:space="preserve"> HYPERLINK \l "_Toc_3_3_0000000014" </w:instrText>
      </w:r>
      <w:r>
        <w:fldChar w:fldCharType="separate"/>
      </w:r>
      <w:r>
        <w:t>五、预算绩效信息</w:t>
      </w:r>
      <w:r>
        <w:tab/>
      </w:r>
      <w:r>
        <w:rPr>
          <w:rFonts w:hint="eastAsia"/>
          <w:lang w:val="en-US" w:eastAsia="zh-CN"/>
        </w:rPr>
        <w:t>4</w:t>
      </w:r>
      <w:r>
        <w:rPr>
          <w:rFonts w:hint="eastAsia"/>
          <w:lang w:eastAsia="zh-CN"/>
        </w:rPr>
        <w:fldChar w:fldCharType="end"/>
      </w:r>
      <w:r>
        <w:rPr>
          <w:rFonts w:hint="eastAsia"/>
          <w:lang w:val="en-US" w:eastAsia="zh-CN"/>
        </w:rPr>
        <w:t>6</w:t>
      </w:r>
    </w:p>
    <w:p>
      <w:pPr>
        <w:pStyle w:val="3"/>
        <w:tabs>
          <w:tab w:val="right" w:leader="dot" w:pos="14562"/>
        </w:tabs>
        <w:rPr>
          <w:rFonts w:hint="default"/>
          <w:lang w:val="en-US"/>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rPr>
          <w:rFonts w:hint="eastAsia"/>
          <w:lang w:eastAsia="zh-CN"/>
        </w:rPr>
        <w:fldChar w:fldCharType="end"/>
      </w:r>
      <w:r>
        <w:rPr>
          <w:rFonts w:hint="eastAsia"/>
          <w:lang w:val="en-US" w:eastAsia="zh-CN"/>
        </w:rPr>
        <w:t>9</w:t>
      </w:r>
    </w:p>
    <w:p>
      <w:pPr>
        <w:pStyle w:val="3"/>
        <w:tabs>
          <w:tab w:val="right" w:leader="dot" w:pos="14562"/>
        </w:tabs>
        <w:rPr>
          <w:rFonts w:hint="default"/>
          <w:lang w:val="en-US"/>
        </w:rPr>
      </w:pPr>
      <w:r>
        <w:fldChar w:fldCharType="begin"/>
      </w:r>
      <w:r>
        <w:instrText xml:space="preserve"> HYPERLINK \l "_Toc_3_3_0000000016" </w:instrText>
      </w:r>
      <w:r>
        <w:fldChar w:fldCharType="separate"/>
      </w:r>
      <w:r>
        <w:t>七、国有资产信息</w:t>
      </w:r>
      <w:r>
        <w:tab/>
      </w:r>
      <w:r>
        <w:rPr>
          <w:rFonts w:hint="eastAsia"/>
          <w:lang w:val="en-US" w:eastAsia="zh-CN"/>
        </w:rPr>
        <w:t>4</w:t>
      </w:r>
      <w:r>
        <w:rPr>
          <w:rFonts w:hint="eastAsia"/>
          <w:lang w:eastAsia="zh-CN"/>
        </w:rPr>
        <w:fldChar w:fldCharType="end"/>
      </w:r>
      <w:r>
        <w:rPr>
          <w:rFonts w:hint="eastAsia"/>
          <w:lang w:val="en-US" w:eastAsia="zh-CN"/>
        </w:rPr>
        <w:t>9</w:t>
      </w:r>
    </w:p>
    <w:p>
      <w:pPr>
        <w:pStyle w:val="3"/>
        <w:tabs>
          <w:tab w:val="right" w:leader="dot" w:pos="14562"/>
        </w:tabs>
        <w:rPr>
          <w:rFonts w:hint="default"/>
          <w:lang w:val="en-US"/>
        </w:rPr>
      </w:pPr>
      <w:r>
        <w:fldChar w:fldCharType="begin"/>
      </w:r>
      <w:r>
        <w:instrText xml:space="preserve"> HYPERLINK \l "_Toc_3_3_0000000017" </w:instrText>
      </w:r>
      <w:r>
        <w:fldChar w:fldCharType="separate"/>
      </w:r>
      <w:r>
        <w:t>八、名词解释</w:t>
      </w:r>
      <w:r>
        <w:tab/>
      </w:r>
      <w:r>
        <w:rPr>
          <w:rFonts w:hint="eastAsia"/>
          <w:lang w:val="en-US" w:eastAsia="zh-CN"/>
        </w:rPr>
        <w:t>5</w:t>
      </w:r>
      <w:r>
        <w:rPr>
          <w:rFonts w:hint="eastAsia"/>
          <w:lang w:eastAsia="zh-CN"/>
        </w:rPr>
        <w:fldChar w:fldCharType="end"/>
      </w:r>
      <w:r>
        <w:rPr>
          <w:rFonts w:hint="eastAsia"/>
          <w:lang w:val="en-US" w:eastAsia="zh-CN"/>
        </w:rPr>
        <w:t>0</w:t>
      </w:r>
    </w:p>
    <w:p>
      <w:pPr>
        <w:pStyle w:val="3"/>
        <w:tabs>
          <w:tab w:val="right" w:leader="dot" w:pos="14562"/>
        </w:tabs>
        <w:rPr>
          <w:rFonts w:hint="default"/>
          <w:lang w:val="en-US"/>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rPr>
          <w:rFonts w:hint="eastAsia"/>
          <w:lang w:eastAsia="zh-CN"/>
        </w:rPr>
        <w:fldChar w:fldCharType="end"/>
      </w:r>
      <w:r>
        <w:rPr>
          <w:rFonts w:hint="eastAsia"/>
          <w:lang w:val="en-US" w:eastAsia="zh-CN"/>
        </w:rPr>
        <w:t>1</w:t>
      </w:r>
    </w:p>
    <w:p>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 xml:space="preserve"> </w:t>
      </w: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rPr>
          <w:rFonts w:ascii="方正小标宋_GBK" w:hAnsi="方正小标宋_GBK" w:eastAsia="方正小标宋_GBK" w:cs="方正小标宋_GBK"/>
          <w:color w:val="000000"/>
          <w:sz w:val="72"/>
        </w:rPr>
      </w:pPr>
      <w:r>
        <w:rPr>
          <w:rFonts w:ascii="方正小标宋_GBK" w:hAnsi="方正小标宋_GBK" w:eastAsia="方正小标宋_GBK" w:cs="方正小标宋_GBK"/>
          <w:color w:val="000000"/>
          <w:sz w:val="72"/>
        </w:rPr>
        <w:t>第</w:t>
      </w:r>
      <w:r>
        <w:rPr>
          <w:rFonts w:hint="eastAsia" w:ascii="方正小标宋_GBK" w:hAnsi="方正小标宋_GBK" w:eastAsia="方正小标宋_GBK" w:cs="方正小标宋_GBK"/>
          <w:color w:val="000000"/>
          <w:sz w:val="72"/>
          <w:lang w:val="en-US" w:eastAsia="zh-CN"/>
        </w:rPr>
        <w:t>一</w:t>
      </w:r>
      <w:r>
        <w:rPr>
          <w:rFonts w:ascii="方正小标宋_GBK" w:hAnsi="方正小标宋_GBK" w:eastAsia="方正小标宋_GBK" w:cs="方正小标宋_GBK"/>
          <w:color w:val="000000"/>
          <w:sz w:val="72"/>
        </w:rPr>
        <w:t>部分  隆尧县商务局本级收支预算</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814001隆尧县商务局本级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1412.70</w:t>
            </w:r>
          </w:p>
        </w:tc>
        <w:tc>
          <w:tcPr>
            <w:tcW w:w="4535" w:type="dxa"/>
            <w:vAlign w:val="center"/>
          </w:tcPr>
          <w:p>
            <w:pPr>
              <w:pStyle w:val="14"/>
            </w:pPr>
            <w:r>
              <w:t>一、一般公共服务支出</w:t>
            </w:r>
          </w:p>
        </w:tc>
        <w:tc>
          <w:tcPr>
            <w:tcW w:w="2126" w:type="dxa"/>
            <w:vAlign w:val="center"/>
          </w:tcPr>
          <w:p>
            <w:pPr>
              <w:pStyle w:val="13"/>
            </w:pPr>
            <w:r>
              <w:t>383.07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r>
              <w:t>1461.97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二十六、年初预留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1412.70</w:t>
            </w:r>
          </w:p>
        </w:tc>
        <w:tc>
          <w:tcPr>
            <w:tcW w:w="4535" w:type="dxa"/>
            <w:vAlign w:val="center"/>
          </w:tcPr>
          <w:p>
            <w:pPr>
              <w:pStyle w:val="16"/>
            </w:pPr>
            <w:r>
              <w:t>本年支出合计</w:t>
            </w:r>
          </w:p>
        </w:tc>
        <w:tc>
          <w:tcPr>
            <w:tcW w:w="2126" w:type="dxa"/>
            <w:vAlign w:val="center"/>
          </w:tcPr>
          <w:p>
            <w:pPr>
              <w:pStyle w:val="17"/>
            </w:pPr>
            <w:r>
              <w:t>1874.67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461.97</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1874.67</w:t>
            </w:r>
          </w:p>
        </w:tc>
        <w:tc>
          <w:tcPr>
            <w:tcW w:w="4535" w:type="dxa"/>
            <w:vAlign w:val="center"/>
          </w:tcPr>
          <w:p>
            <w:pPr>
              <w:pStyle w:val="16"/>
            </w:pPr>
            <w:r>
              <w:t>支出总计</w:t>
            </w:r>
          </w:p>
        </w:tc>
        <w:tc>
          <w:tcPr>
            <w:tcW w:w="2126" w:type="dxa"/>
            <w:vAlign w:val="center"/>
          </w:tcPr>
          <w:p>
            <w:pPr>
              <w:pStyle w:val="17"/>
            </w:pPr>
            <w:r>
              <w:t>1874.67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814001隆尧县商务局本级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1874.67</w:t>
            </w:r>
          </w:p>
        </w:tc>
        <w:tc>
          <w:tcPr>
            <w:tcW w:w="1134" w:type="dxa"/>
            <w:vAlign w:val="center"/>
          </w:tcPr>
          <w:p>
            <w:pPr>
              <w:pStyle w:val="17"/>
            </w:pPr>
            <w:r>
              <w:t>1412.70</w:t>
            </w:r>
          </w:p>
        </w:tc>
        <w:tc>
          <w:tcPr>
            <w:tcW w:w="1134" w:type="dxa"/>
            <w:vAlign w:val="center"/>
          </w:tcPr>
          <w:p>
            <w:pPr>
              <w:pStyle w:val="17"/>
            </w:pPr>
            <w:r>
              <w:t>1412.70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461.97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383.07</w:t>
            </w:r>
          </w:p>
        </w:tc>
        <w:tc>
          <w:tcPr>
            <w:tcW w:w="1134" w:type="dxa"/>
            <w:vAlign w:val="center"/>
          </w:tcPr>
          <w:p>
            <w:pPr>
              <w:pStyle w:val="13"/>
            </w:pPr>
            <w:r>
              <w:t>383.07</w:t>
            </w:r>
          </w:p>
        </w:tc>
        <w:tc>
          <w:tcPr>
            <w:tcW w:w="1134" w:type="dxa"/>
            <w:vAlign w:val="center"/>
          </w:tcPr>
          <w:p>
            <w:pPr>
              <w:pStyle w:val="13"/>
            </w:pPr>
            <w:r>
              <w:t>383.07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20113</w:t>
            </w:r>
          </w:p>
        </w:tc>
        <w:tc>
          <w:tcPr>
            <w:tcW w:w="1559" w:type="dxa"/>
            <w:vAlign w:val="center"/>
          </w:tcPr>
          <w:p>
            <w:pPr>
              <w:pStyle w:val="14"/>
            </w:pPr>
            <w:r>
              <w:t>商贸事务</w:t>
            </w:r>
          </w:p>
        </w:tc>
        <w:tc>
          <w:tcPr>
            <w:tcW w:w="1134" w:type="dxa"/>
            <w:vAlign w:val="center"/>
          </w:tcPr>
          <w:p>
            <w:pPr>
              <w:pStyle w:val="13"/>
            </w:pPr>
            <w:r>
              <w:t>383.07</w:t>
            </w:r>
          </w:p>
        </w:tc>
        <w:tc>
          <w:tcPr>
            <w:tcW w:w="1134" w:type="dxa"/>
            <w:vAlign w:val="center"/>
          </w:tcPr>
          <w:p>
            <w:pPr>
              <w:pStyle w:val="13"/>
            </w:pPr>
            <w:r>
              <w:t>383.07</w:t>
            </w:r>
          </w:p>
        </w:tc>
        <w:tc>
          <w:tcPr>
            <w:tcW w:w="1134" w:type="dxa"/>
            <w:vAlign w:val="center"/>
          </w:tcPr>
          <w:p>
            <w:pPr>
              <w:pStyle w:val="13"/>
            </w:pPr>
            <w:r>
              <w:t>383.07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2011301</w:t>
            </w:r>
          </w:p>
        </w:tc>
        <w:tc>
          <w:tcPr>
            <w:tcW w:w="1559" w:type="dxa"/>
            <w:vAlign w:val="center"/>
          </w:tcPr>
          <w:p>
            <w:pPr>
              <w:pStyle w:val="14"/>
            </w:pPr>
            <w:r>
              <w:t>行政运行</w:t>
            </w:r>
          </w:p>
        </w:tc>
        <w:tc>
          <w:tcPr>
            <w:tcW w:w="1134" w:type="dxa"/>
            <w:vAlign w:val="center"/>
          </w:tcPr>
          <w:p>
            <w:pPr>
              <w:pStyle w:val="13"/>
            </w:pPr>
            <w:r>
              <w:t>146.07</w:t>
            </w:r>
          </w:p>
        </w:tc>
        <w:tc>
          <w:tcPr>
            <w:tcW w:w="1134" w:type="dxa"/>
            <w:vAlign w:val="center"/>
          </w:tcPr>
          <w:p>
            <w:pPr>
              <w:pStyle w:val="13"/>
            </w:pPr>
            <w:r>
              <w:t>146.07</w:t>
            </w:r>
          </w:p>
        </w:tc>
        <w:tc>
          <w:tcPr>
            <w:tcW w:w="1134" w:type="dxa"/>
            <w:vAlign w:val="center"/>
          </w:tcPr>
          <w:p>
            <w:pPr>
              <w:pStyle w:val="13"/>
            </w:pPr>
            <w:r>
              <w:t>146.07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2011306</w:t>
            </w:r>
          </w:p>
        </w:tc>
        <w:tc>
          <w:tcPr>
            <w:tcW w:w="1559" w:type="dxa"/>
            <w:vAlign w:val="center"/>
          </w:tcPr>
          <w:p>
            <w:pPr>
              <w:pStyle w:val="14"/>
            </w:pPr>
            <w:r>
              <w:t>外资管理</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2011307</w:t>
            </w:r>
          </w:p>
        </w:tc>
        <w:tc>
          <w:tcPr>
            <w:tcW w:w="1559" w:type="dxa"/>
            <w:vAlign w:val="center"/>
          </w:tcPr>
          <w:p>
            <w:pPr>
              <w:pStyle w:val="14"/>
            </w:pPr>
            <w:r>
              <w:t>国内贸易管理</w:t>
            </w:r>
          </w:p>
        </w:tc>
        <w:tc>
          <w:tcPr>
            <w:tcW w:w="1134" w:type="dxa"/>
            <w:vAlign w:val="center"/>
          </w:tcPr>
          <w:p>
            <w:pPr>
              <w:pStyle w:val="13"/>
            </w:pPr>
            <w:r>
              <w:t>168.00</w:t>
            </w:r>
          </w:p>
        </w:tc>
        <w:tc>
          <w:tcPr>
            <w:tcW w:w="1134" w:type="dxa"/>
            <w:vAlign w:val="center"/>
          </w:tcPr>
          <w:p>
            <w:pPr>
              <w:pStyle w:val="13"/>
            </w:pPr>
            <w:r>
              <w:t>168.00</w:t>
            </w:r>
          </w:p>
        </w:tc>
        <w:tc>
          <w:tcPr>
            <w:tcW w:w="1134" w:type="dxa"/>
            <w:vAlign w:val="center"/>
          </w:tcPr>
          <w:p>
            <w:pPr>
              <w:pStyle w:val="13"/>
            </w:pPr>
            <w:r>
              <w:t>168.00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2011399</w:t>
            </w:r>
          </w:p>
        </w:tc>
        <w:tc>
          <w:tcPr>
            <w:tcW w:w="1559" w:type="dxa"/>
            <w:vAlign w:val="center"/>
          </w:tcPr>
          <w:p>
            <w:pPr>
              <w:pStyle w:val="14"/>
            </w:pPr>
            <w:r>
              <w:t>其他商贸事务支出</w:t>
            </w:r>
          </w:p>
        </w:tc>
        <w:tc>
          <w:tcPr>
            <w:tcW w:w="1134" w:type="dxa"/>
            <w:vAlign w:val="center"/>
          </w:tcPr>
          <w:p>
            <w:pPr>
              <w:pStyle w:val="13"/>
            </w:pPr>
            <w:r>
              <w:t>64.00</w:t>
            </w:r>
          </w:p>
        </w:tc>
        <w:tc>
          <w:tcPr>
            <w:tcW w:w="1134" w:type="dxa"/>
            <w:vAlign w:val="center"/>
          </w:tcPr>
          <w:p>
            <w:pPr>
              <w:pStyle w:val="13"/>
            </w:pPr>
            <w:r>
              <w:t>64.00</w:t>
            </w:r>
          </w:p>
        </w:tc>
        <w:tc>
          <w:tcPr>
            <w:tcW w:w="1134" w:type="dxa"/>
            <w:vAlign w:val="center"/>
          </w:tcPr>
          <w:p>
            <w:pPr>
              <w:pStyle w:val="13"/>
            </w:pPr>
            <w:r>
              <w:t>64.00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11.90</w:t>
            </w:r>
          </w:p>
        </w:tc>
        <w:tc>
          <w:tcPr>
            <w:tcW w:w="1134" w:type="dxa"/>
            <w:vAlign w:val="center"/>
          </w:tcPr>
          <w:p>
            <w:pPr>
              <w:pStyle w:val="13"/>
            </w:pPr>
            <w:r>
              <w:t>11.90</w:t>
            </w:r>
          </w:p>
        </w:tc>
        <w:tc>
          <w:tcPr>
            <w:tcW w:w="1134" w:type="dxa"/>
            <w:vAlign w:val="center"/>
          </w:tcPr>
          <w:p>
            <w:pPr>
              <w:pStyle w:val="13"/>
            </w:pPr>
            <w:r>
              <w:t>11.90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11.90</w:t>
            </w:r>
          </w:p>
        </w:tc>
        <w:tc>
          <w:tcPr>
            <w:tcW w:w="1134" w:type="dxa"/>
            <w:vAlign w:val="center"/>
          </w:tcPr>
          <w:p>
            <w:pPr>
              <w:pStyle w:val="13"/>
            </w:pPr>
            <w:r>
              <w:t>11.90</w:t>
            </w:r>
          </w:p>
        </w:tc>
        <w:tc>
          <w:tcPr>
            <w:tcW w:w="1134" w:type="dxa"/>
            <w:vAlign w:val="center"/>
          </w:tcPr>
          <w:p>
            <w:pPr>
              <w:pStyle w:val="13"/>
            </w:pPr>
            <w:r>
              <w:t>11.90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11.90</w:t>
            </w:r>
          </w:p>
        </w:tc>
        <w:tc>
          <w:tcPr>
            <w:tcW w:w="1134" w:type="dxa"/>
            <w:vAlign w:val="center"/>
          </w:tcPr>
          <w:p>
            <w:pPr>
              <w:pStyle w:val="13"/>
            </w:pPr>
            <w:r>
              <w:t>11.90</w:t>
            </w:r>
          </w:p>
        </w:tc>
        <w:tc>
          <w:tcPr>
            <w:tcW w:w="1134" w:type="dxa"/>
            <w:vAlign w:val="center"/>
          </w:tcPr>
          <w:p>
            <w:pPr>
              <w:pStyle w:val="13"/>
            </w:pPr>
            <w:r>
              <w:t>11.90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7.68</w:t>
            </w:r>
          </w:p>
        </w:tc>
        <w:tc>
          <w:tcPr>
            <w:tcW w:w="1134" w:type="dxa"/>
            <w:vAlign w:val="center"/>
          </w:tcPr>
          <w:p>
            <w:pPr>
              <w:pStyle w:val="13"/>
            </w:pPr>
            <w:r>
              <w:t>7.68</w:t>
            </w:r>
          </w:p>
        </w:tc>
        <w:tc>
          <w:tcPr>
            <w:tcW w:w="1134" w:type="dxa"/>
            <w:vAlign w:val="center"/>
          </w:tcPr>
          <w:p>
            <w:pPr>
              <w:pStyle w:val="13"/>
            </w:pPr>
            <w:r>
              <w:t>7.68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7.68</w:t>
            </w:r>
          </w:p>
        </w:tc>
        <w:tc>
          <w:tcPr>
            <w:tcW w:w="1134" w:type="dxa"/>
            <w:vAlign w:val="center"/>
          </w:tcPr>
          <w:p>
            <w:pPr>
              <w:pStyle w:val="13"/>
            </w:pPr>
            <w:r>
              <w:t>7.68</w:t>
            </w:r>
          </w:p>
        </w:tc>
        <w:tc>
          <w:tcPr>
            <w:tcW w:w="1134" w:type="dxa"/>
            <w:vAlign w:val="center"/>
          </w:tcPr>
          <w:p>
            <w:pPr>
              <w:pStyle w:val="13"/>
            </w:pPr>
            <w:r>
              <w:t>7.68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7.68</w:t>
            </w:r>
          </w:p>
        </w:tc>
        <w:tc>
          <w:tcPr>
            <w:tcW w:w="1134" w:type="dxa"/>
            <w:vAlign w:val="center"/>
          </w:tcPr>
          <w:p>
            <w:pPr>
              <w:pStyle w:val="13"/>
            </w:pPr>
            <w:r>
              <w:t>7.68</w:t>
            </w:r>
          </w:p>
        </w:tc>
        <w:tc>
          <w:tcPr>
            <w:tcW w:w="1134" w:type="dxa"/>
            <w:vAlign w:val="center"/>
          </w:tcPr>
          <w:p>
            <w:pPr>
              <w:pStyle w:val="13"/>
            </w:pPr>
            <w:r>
              <w:t>7.68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216</w:t>
            </w:r>
          </w:p>
        </w:tc>
        <w:tc>
          <w:tcPr>
            <w:tcW w:w="1559" w:type="dxa"/>
            <w:vAlign w:val="center"/>
          </w:tcPr>
          <w:p>
            <w:pPr>
              <w:pStyle w:val="14"/>
            </w:pPr>
            <w:r>
              <w:t>商业服务业等支出</w:t>
            </w:r>
          </w:p>
        </w:tc>
        <w:tc>
          <w:tcPr>
            <w:tcW w:w="1134" w:type="dxa"/>
            <w:vAlign w:val="center"/>
          </w:tcPr>
          <w:p>
            <w:pPr>
              <w:pStyle w:val="13"/>
            </w:pPr>
            <w:r>
              <w:t>1461.97</w:t>
            </w:r>
          </w:p>
        </w:tc>
        <w:tc>
          <w:tcPr>
            <w:tcW w:w="1134" w:type="dxa"/>
            <w:vAlign w:val="center"/>
          </w:tcPr>
          <w:p>
            <w:pPr>
              <w:pStyle w:val="13"/>
            </w:pPr>
            <w:r>
              <w:t>1000.00</w:t>
            </w:r>
          </w:p>
        </w:tc>
        <w:tc>
          <w:tcPr>
            <w:tcW w:w="1134" w:type="dxa"/>
            <w:vAlign w:val="center"/>
          </w:tcPr>
          <w:p>
            <w:pPr>
              <w:pStyle w:val="13"/>
            </w:pPr>
            <w:r>
              <w:t>1000.00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461.97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21602</w:t>
            </w:r>
          </w:p>
        </w:tc>
        <w:tc>
          <w:tcPr>
            <w:tcW w:w="1559" w:type="dxa"/>
            <w:vAlign w:val="center"/>
          </w:tcPr>
          <w:p>
            <w:pPr>
              <w:pStyle w:val="14"/>
            </w:pPr>
            <w:r>
              <w:t>商业流通事务</w:t>
            </w:r>
          </w:p>
        </w:tc>
        <w:tc>
          <w:tcPr>
            <w:tcW w:w="1134" w:type="dxa"/>
            <w:vAlign w:val="center"/>
          </w:tcPr>
          <w:p>
            <w:pPr>
              <w:pStyle w:val="13"/>
            </w:pPr>
            <w:r>
              <w:t>400.00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2160299</w:t>
            </w:r>
          </w:p>
        </w:tc>
        <w:tc>
          <w:tcPr>
            <w:tcW w:w="1559" w:type="dxa"/>
            <w:vAlign w:val="center"/>
          </w:tcPr>
          <w:p>
            <w:pPr>
              <w:pStyle w:val="14"/>
            </w:pPr>
            <w:r>
              <w:t>其他商业流通事务支出</w:t>
            </w:r>
          </w:p>
        </w:tc>
        <w:tc>
          <w:tcPr>
            <w:tcW w:w="1134" w:type="dxa"/>
            <w:vAlign w:val="center"/>
          </w:tcPr>
          <w:p>
            <w:pPr>
              <w:pStyle w:val="13"/>
            </w:pPr>
            <w:r>
              <w:t>400.00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21606</w:t>
            </w:r>
          </w:p>
        </w:tc>
        <w:tc>
          <w:tcPr>
            <w:tcW w:w="1559" w:type="dxa"/>
            <w:vAlign w:val="center"/>
          </w:tcPr>
          <w:p>
            <w:pPr>
              <w:pStyle w:val="14"/>
            </w:pPr>
            <w:r>
              <w:t>涉外发展服务支出</w:t>
            </w:r>
          </w:p>
        </w:tc>
        <w:tc>
          <w:tcPr>
            <w:tcW w:w="1134" w:type="dxa"/>
            <w:vAlign w:val="center"/>
          </w:tcPr>
          <w:p>
            <w:pPr>
              <w:pStyle w:val="13"/>
            </w:pPr>
            <w:r>
              <w:t>1061.97</w:t>
            </w:r>
          </w:p>
        </w:tc>
        <w:tc>
          <w:tcPr>
            <w:tcW w:w="1134" w:type="dxa"/>
            <w:vAlign w:val="center"/>
          </w:tcPr>
          <w:p>
            <w:pPr>
              <w:pStyle w:val="13"/>
            </w:pPr>
            <w:r>
              <w:t>1000.00</w:t>
            </w:r>
          </w:p>
        </w:tc>
        <w:tc>
          <w:tcPr>
            <w:tcW w:w="1134" w:type="dxa"/>
            <w:vAlign w:val="center"/>
          </w:tcPr>
          <w:p>
            <w:pPr>
              <w:pStyle w:val="13"/>
            </w:pPr>
            <w:r>
              <w:t>1000.00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2160699</w:t>
            </w:r>
          </w:p>
        </w:tc>
        <w:tc>
          <w:tcPr>
            <w:tcW w:w="1559" w:type="dxa"/>
            <w:vAlign w:val="center"/>
          </w:tcPr>
          <w:p>
            <w:pPr>
              <w:pStyle w:val="14"/>
            </w:pPr>
            <w:r>
              <w:t>其他涉外发展服务支出</w:t>
            </w:r>
          </w:p>
        </w:tc>
        <w:tc>
          <w:tcPr>
            <w:tcW w:w="1134" w:type="dxa"/>
            <w:vAlign w:val="center"/>
          </w:tcPr>
          <w:p>
            <w:pPr>
              <w:pStyle w:val="13"/>
            </w:pPr>
            <w:r>
              <w:t>1061.97</w:t>
            </w:r>
          </w:p>
        </w:tc>
        <w:tc>
          <w:tcPr>
            <w:tcW w:w="1134" w:type="dxa"/>
            <w:vAlign w:val="center"/>
          </w:tcPr>
          <w:p>
            <w:pPr>
              <w:pStyle w:val="13"/>
            </w:pPr>
            <w:r>
              <w:t>1000.00</w:t>
            </w:r>
          </w:p>
        </w:tc>
        <w:tc>
          <w:tcPr>
            <w:tcW w:w="1134" w:type="dxa"/>
            <w:vAlign w:val="center"/>
          </w:tcPr>
          <w:p>
            <w:pPr>
              <w:pStyle w:val="13"/>
            </w:pPr>
            <w:r>
              <w:t>1000.00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10.05</w:t>
            </w:r>
          </w:p>
        </w:tc>
        <w:tc>
          <w:tcPr>
            <w:tcW w:w="1134" w:type="dxa"/>
            <w:vAlign w:val="center"/>
          </w:tcPr>
          <w:p>
            <w:pPr>
              <w:pStyle w:val="13"/>
            </w:pPr>
            <w:r>
              <w:t>10.05</w:t>
            </w:r>
          </w:p>
        </w:tc>
        <w:tc>
          <w:tcPr>
            <w:tcW w:w="1134" w:type="dxa"/>
            <w:vAlign w:val="center"/>
          </w:tcPr>
          <w:p>
            <w:pPr>
              <w:pStyle w:val="13"/>
            </w:pPr>
            <w:r>
              <w:t>10.05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10.05</w:t>
            </w:r>
          </w:p>
        </w:tc>
        <w:tc>
          <w:tcPr>
            <w:tcW w:w="1134" w:type="dxa"/>
            <w:vAlign w:val="center"/>
          </w:tcPr>
          <w:p>
            <w:pPr>
              <w:pStyle w:val="13"/>
            </w:pPr>
            <w:r>
              <w:t>10.05</w:t>
            </w:r>
          </w:p>
        </w:tc>
        <w:tc>
          <w:tcPr>
            <w:tcW w:w="1134" w:type="dxa"/>
            <w:vAlign w:val="center"/>
          </w:tcPr>
          <w:p>
            <w:pPr>
              <w:pStyle w:val="13"/>
            </w:pPr>
            <w:r>
              <w:t>10.05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10.05</w:t>
            </w:r>
          </w:p>
        </w:tc>
        <w:tc>
          <w:tcPr>
            <w:tcW w:w="1134" w:type="dxa"/>
            <w:vAlign w:val="center"/>
          </w:tcPr>
          <w:p>
            <w:pPr>
              <w:pStyle w:val="13"/>
            </w:pPr>
            <w:r>
              <w:t>10.05</w:t>
            </w:r>
          </w:p>
        </w:tc>
        <w:tc>
          <w:tcPr>
            <w:tcW w:w="1134" w:type="dxa"/>
            <w:vAlign w:val="center"/>
          </w:tcPr>
          <w:p>
            <w:pPr>
              <w:pStyle w:val="13"/>
            </w:pPr>
            <w:r>
              <w:t>10.05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814001隆尧县商务局本级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1874.67</w:t>
            </w:r>
          </w:p>
        </w:tc>
        <w:tc>
          <w:tcPr>
            <w:tcW w:w="1361" w:type="dxa"/>
            <w:vAlign w:val="center"/>
          </w:tcPr>
          <w:p>
            <w:pPr>
              <w:pStyle w:val="17"/>
            </w:pPr>
            <w:r>
              <w:t>171.15</w:t>
            </w:r>
          </w:p>
        </w:tc>
        <w:tc>
          <w:tcPr>
            <w:tcW w:w="1361" w:type="dxa"/>
            <w:vAlign w:val="center"/>
          </w:tcPr>
          <w:p>
            <w:pPr>
              <w:pStyle w:val="17"/>
            </w:pPr>
            <w:r>
              <w:t>1703.52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383.07</w:t>
            </w:r>
          </w:p>
        </w:tc>
        <w:tc>
          <w:tcPr>
            <w:tcW w:w="1361" w:type="dxa"/>
            <w:vAlign w:val="center"/>
          </w:tcPr>
          <w:p>
            <w:pPr>
              <w:pStyle w:val="13"/>
            </w:pPr>
            <w:r>
              <w:t>141.52</w:t>
            </w:r>
          </w:p>
        </w:tc>
        <w:tc>
          <w:tcPr>
            <w:tcW w:w="1361" w:type="dxa"/>
            <w:vAlign w:val="center"/>
          </w:tcPr>
          <w:p>
            <w:pPr>
              <w:pStyle w:val="13"/>
            </w:pPr>
            <w:r>
              <w:t>241.55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20113</w:t>
            </w:r>
          </w:p>
        </w:tc>
        <w:tc>
          <w:tcPr>
            <w:tcW w:w="4535" w:type="dxa"/>
            <w:vAlign w:val="center"/>
          </w:tcPr>
          <w:p>
            <w:pPr>
              <w:pStyle w:val="14"/>
            </w:pPr>
            <w:r>
              <w:t>商贸事务</w:t>
            </w:r>
          </w:p>
        </w:tc>
        <w:tc>
          <w:tcPr>
            <w:tcW w:w="1361" w:type="dxa"/>
            <w:vAlign w:val="center"/>
          </w:tcPr>
          <w:p>
            <w:pPr>
              <w:pStyle w:val="13"/>
            </w:pPr>
            <w:r>
              <w:t>383.07</w:t>
            </w:r>
          </w:p>
        </w:tc>
        <w:tc>
          <w:tcPr>
            <w:tcW w:w="1361" w:type="dxa"/>
            <w:vAlign w:val="center"/>
          </w:tcPr>
          <w:p>
            <w:pPr>
              <w:pStyle w:val="13"/>
            </w:pPr>
            <w:r>
              <w:t>141.52</w:t>
            </w:r>
          </w:p>
        </w:tc>
        <w:tc>
          <w:tcPr>
            <w:tcW w:w="1361" w:type="dxa"/>
            <w:vAlign w:val="center"/>
          </w:tcPr>
          <w:p>
            <w:pPr>
              <w:pStyle w:val="13"/>
            </w:pPr>
            <w:r>
              <w:t>241.55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2011301</w:t>
            </w:r>
          </w:p>
        </w:tc>
        <w:tc>
          <w:tcPr>
            <w:tcW w:w="4535" w:type="dxa"/>
            <w:vAlign w:val="center"/>
          </w:tcPr>
          <w:p>
            <w:pPr>
              <w:pStyle w:val="14"/>
            </w:pPr>
            <w:r>
              <w:t>行政运行</w:t>
            </w:r>
          </w:p>
        </w:tc>
        <w:tc>
          <w:tcPr>
            <w:tcW w:w="1361" w:type="dxa"/>
            <w:vAlign w:val="center"/>
          </w:tcPr>
          <w:p>
            <w:pPr>
              <w:pStyle w:val="13"/>
            </w:pPr>
            <w:r>
              <w:t>146.07</w:t>
            </w:r>
          </w:p>
        </w:tc>
        <w:tc>
          <w:tcPr>
            <w:tcW w:w="1361" w:type="dxa"/>
            <w:vAlign w:val="center"/>
          </w:tcPr>
          <w:p>
            <w:pPr>
              <w:pStyle w:val="13"/>
            </w:pPr>
            <w:r>
              <w:t>141.52</w:t>
            </w:r>
          </w:p>
        </w:tc>
        <w:tc>
          <w:tcPr>
            <w:tcW w:w="1361" w:type="dxa"/>
            <w:vAlign w:val="center"/>
          </w:tcPr>
          <w:p>
            <w:pPr>
              <w:pStyle w:val="13"/>
            </w:pPr>
            <w:r>
              <w:t>4.55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2011306</w:t>
            </w:r>
          </w:p>
        </w:tc>
        <w:tc>
          <w:tcPr>
            <w:tcW w:w="4535" w:type="dxa"/>
            <w:vAlign w:val="center"/>
          </w:tcPr>
          <w:p>
            <w:pPr>
              <w:pStyle w:val="14"/>
            </w:pPr>
            <w:r>
              <w:t>外资管理</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2011307</w:t>
            </w:r>
          </w:p>
        </w:tc>
        <w:tc>
          <w:tcPr>
            <w:tcW w:w="4535" w:type="dxa"/>
            <w:vAlign w:val="center"/>
          </w:tcPr>
          <w:p>
            <w:pPr>
              <w:pStyle w:val="14"/>
            </w:pPr>
            <w:r>
              <w:t>国内贸易管理</w:t>
            </w:r>
          </w:p>
        </w:tc>
        <w:tc>
          <w:tcPr>
            <w:tcW w:w="1361" w:type="dxa"/>
            <w:vAlign w:val="center"/>
          </w:tcPr>
          <w:p>
            <w:pPr>
              <w:pStyle w:val="13"/>
            </w:pPr>
            <w:r>
              <w:t>168.00</w:t>
            </w:r>
          </w:p>
        </w:tc>
        <w:tc>
          <w:tcPr>
            <w:tcW w:w="1361" w:type="dxa"/>
            <w:vAlign w:val="center"/>
          </w:tcPr>
          <w:p>
            <w:pPr>
              <w:pStyle w:val="13"/>
            </w:pPr>
          </w:p>
        </w:tc>
        <w:tc>
          <w:tcPr>
            <w:tcW w:w="1361" w:type="dxa"/>
            <w:vAlign w:val="center"/>
          </w:tcPr>
          <w:p>
            <w:pPr>
              <w:pStyle w:val="13"/>
            </w:pPr>
            <w:r>
              <w:t>168.00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2011399</w:t>
            </w:r>
          </w:p>
        </w:tc>
        <w:tc>
          <w:tcPr>
            <w:tcW w:w="4535" w:type="dxa"/>
            <w:vAlign w:val="center"/>
          </w:tcPr>
          <w:p>
            <w:pPr>
              <w:pStyle w:val="14"/>
            </w:pPr>
            <w:r>
              <w:t>其他商贸事务支出</w:t>
            </w:r>
          </w:p>
        </w:tc>
        <w:tc>
          <w:tcPr>
            <w:tcW w:w="1361" w:type="dxa"/>
            <w:vAlign w:val="center"/>
          </w:tcPr>
          <w:p>
            <w:pPr>
              <w:pStyle w:val="13"/>
            </w:pPr>
            <w:r>
              <w:t>64.00</w:t>
            </w:r>
          </w:p>
        </w:tc>
        <w:tc>
          <w:tcPr>
            <w:tcW w:w="1361" w:type="dxa"/>
            <w:vAlign w:val="center"/>
          </w:tcPr>
          <w:p>
            <w:pPr>
              <w:pStyle w:val="13"/>
            </w:pPr>
          </w:p>
        </w:tc>
        <w:tc>
          <w:tcPr>
            <w:tcW w:w="1361" w:type="dxa"/>
            <w:vAlign w:val="center"/>
          </w:tcPr>
          <w:p>
            <w:pPr>
              <w:pStyle w:val="13"/>
            </w:pPr>
            <w:r>
              <w:t>64.00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11.90</w:t>
            </w:r>
          </w:p>
        </w:tc>
        <w:tc>
          <w:tcPr>
            <w:tcW w:w="1361" w:type="dxa"/>
            <w:vAlign w:val="center"/>
          </w:tcPr>
          <w:p>
            <w:pPr>
              <w:pStyle w:val="13"/>
            </w:pPr>
            <w:r>
              <w:t>11.90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11.90</w:t>
            </w:r>
          </w:p>
        </w:tc>
        <w:tc>
          <w:tcPr>
            <w:tcW w:w="1361" w:type="dxa"/>
            <w:vAlign w:val="center"/>
          </w:tcPr>
          <w:p>
            <w:pPr>
              <w:pStyle w:val="13"/>
            </w:pPr>
            <w:r>
              <w:t>11.90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11.90</w:t>
            </w:r>
          </w:p>
        </w:tc>
        <w:tc>
          <w:tcPr>
            <w:tcW w:w="1361" w:type="dxa"/>
            <w:vAlign w:val="center"/>
          </w:tcPr>
          <w:p>
            <w:pPr>
              <w:pStyle w:val="13"/>
            </w:pPr>
            <w:r>
              <w:t>11.90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7.68</w:t>
            </w:r>
          </w:p>
        </w:tc>
        <w:tc>
          <w:tcPr>
            <w:tcW w:w="1361" w:type="dxa"/>
            <w:vAlign w:val="center"/>
          </w:tcPr>
          <w:p>
            <w:pPr>
              <w:pStyle w:val="13"/>
            </w:pPr>
            <w:r>
              <w:t>7.68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7.68</w:t>
            </w:r>
          </w:p>
        </w:tc>
        <w:tc>
          <w:tcPr>
            <w:tcW w:w="1361" w:type="dxa"/>
            <w:vAlign w:val="center"/>
          </w:tcPr>
          <w:p>
            <w:pPr>
              <w:pStyle w:val="13"/>
            </w:pPr>
            <w:r>
              <w:t>7.68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7.68</w:t>
            </w:r>
          </w:p>
        </w:tc>
        <w:tc>
          <w:tcPr>
            <w:tcW w:w="1361" w:type="dxa"/>
            <w:vAlign w:val="center"/>
          </w:tcPr>
          <w:p>
            <w:pPr>
              <w:pStyle w:val="13"/>
            </w:pPr>
            <w:r>
              <w:t>7.68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216</w:t>
            </w:r>
          </w:p>
        </w:tc>
        <w:tc>
          <w:tcPr>
            <w:tcW w:w="4535" w:type="dxa"/>
            <w:vAlign w:val="center"/>
          </w:tcPr>
          <w:p>
            <w:pPr>
              <w:pStyle w:val="14"/>
            </w:pPr>
            <w:r>
              <w:t>商业服务业等支出</w:t>
            </w:r>
          </w:p>
        </w:tc>
        <w:tc>
          <w:tcPr>
            <w:tcW w:w="1361" w:type="dxa"/>
            <w:vAlign w:val="center"/>
          </w:tcPr>
          <w:p>
            <w:pPr>
              <w:pStyle w:val="13"/>
            </w:pPr>
            <w:r>
              <w:t>1461.97</w:t>
            </w:r>
          </w:p>
        </w:tc>
        <w:tc>
          <w:tcPr>
            <w:tcW w:w="1361" w:type="dxa"/>
            <w:vAlign w:val="center"/>
          </w:tcPr>
          <w:p>
            <w:pPr>
              <w:pStyle w:val="13"/>
            </w:pPr>
          </w:p>
        </w:tc>
        <w:tc>
          <w:tcPr>
            <w:tcW w:w="1361" w:type="dxa"/>
            <w:vAlign w:val="center"/>
          </w:tcPr>
          <w:p>
            <w:pPr>
              <w:pStyle w:val="13"/>
            </w:pPr>
            <w:r>
              <w:t>1461.97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21602</w:t>
            </w:r>
          </w:p>
        </w:tc>
        <w:tc>
          <w:tcPr>
            <w:tcW w:w="4535" w:type="dxa"/>
            <w:vAlign w:val="center"/>
          </w:tcPr>
          <w:p>
            <w:pPr>
              <w:pStyle w:val="14"/>
            </w:pPr>
            <w:r>
              <w:t>商业流通事务</w:t>
            </w:r>
          </w:p>
        </w:tc>
        <w:tc>
          <w:tcPr>
            <w:tcW w:w="1361" w:type="dxa"/>
            <w:vAlign w:val="center"/>
          </w:tcPr>
          <w:p>
            <w:pPr>
              <w:pStyle w:val="13"/>
            </w:pPr>
            <w:r>
              <w:t>400.00</w:t>
            </w:r>
          </w:p>
        </w:tc>
        <w:tc>
          <w:tcPr>
            <w:tcW w:w="1361" w:type="dxa"/>
            <w:vAlign w:val="center"/>
          </w:tcPr>
          <w:p>
            <w:pPr>
              <w:pStyle w:val="13"/>
            </w:pPr>
          </w:p>
        </w:tc>
        <w:tc>
          <w:tcPr>
            <w:tcW w:w="1361" w:type="dxa"/>
            <w:vAlign w:val="center"/>
          </w:tcPr>
          <w:p>
            <w:pPr>
              <w:pStyle w:val="13"/>
            </w:pPr>
            <w:r>
              <w:t>400.00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2160299</w:t>
            </w:r>
          </w:p>
        </w:tc>
        <w:tc>
          <w:tcPr>
            <w:tcW w:w="4535" w:type="dxa"/>
            <w:vAlign w:val="center"/>
          </w:tcPr>
          <w:p>
            <w:pPr>
              <w:pStyle w:val="14"/>
            </w:pPr>
            <w:r>
              <w:t>其他商业流通事务支出</w:t>
            </w:r>
          </w:p>
        </w:tc>
        <w:tc>
          <w:tcPr>
            <w:tcW w:w="1361" w:type="dxa"/>
            <w:vAlign w:val="center"/>
          </w:tcPr>
          <w:p>
            <w:pPr>
              <w:pStyle w:val="13"/>
            </w:pPr>
            <w:r>
              <w:t>400.00</w:t>
            </w:r>
          </w:p>
        </w:tc>
        <w:tc>
          <w:tcPr>
            <w:tcW w:w="1361" w:type="dxa"/>
            <w:vAlign w:val="center"/>
          </w:tcPr>
          <w:p>
            <w:pPr>
              <w:pStyle w:val="13"/>
            </w:pPr>
          </w:p>
        </w:tc>
        <w:tc>
          <w:tcPr>
            <w:tcW w:w="1361" w:type="dxa"/>
            <w:vAlign w:val="center"/>
          </w:tcPr>
          <w:p>
            <w:pPr>
              <w:pStyle w:val="13"/>
            </w:pPr>
            <w:r>
              <w:t>400.00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21606</w:t>
            </w:r>
          </w:p>
        </w:tc>
        <w:tc>
          <w:tcPr>
            <w:tcW w:w="4535" w:type="dxa"/>
            <w:vAlign w:val="center"/>
          </w:tcPr>
          <w:p>
            <w:pPr>
              <w:pStyle w:val="14"/>
            </w:pPr>
            <w:r>
              <w:t>涉外发展服务支出</w:t>
            </w:r>
          </w:p>
        </w:tc>
        <w:tc>
          <w:tcPr>
            <w:tcW w:w="1361" w:type="dxa"/>
            <w:vAlign w:val="center"/>
          </w:tcPr>
          <w:p>
            <w:pPr>
              <w:pStyle w:val="13"/>
            </w:pPr>
            <w:r>
              <w:t>1061.97</w:t>
            </w:r>
          </w:p>
        </w:tc>
        <w:tc>
          <w:tcPr>
            <w:tcW w:w="1361" w:type="dxa"/>
            <w:vAlign w:val="center"/>
          </w:tcPr>
          <w:p>
            <w:pPr>
              <w:pStyle w:val="13"/>
            </w:pPr>
          </w:p>
        </w:tc>
        <w:tc>
          <w:tcPr>
            <w:tcW w:w="1361" w:type="dxa"/>
            <w:vAlign w:val="center"/>
          </w:tcPr>
          <w:p>
            <w:pPr>
              <w:pStyle w:val="13"/>
            </w:pPr>
            <w:r>
              <w:t>1061.97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2160699</w:t>
            </w:r>
          </w:p>
        </w:tc>
        <w:tc>
          <w:tcPr>
            <w:tcW w:w="4535" w:type="dxa"/>
            <w:vAlign w:val="center"/>
          </w:tcPr>
          <w:p>
            <w:pPr>
              <w:pStyle w:val="14"/>
            </w:pPr>
            <w:r>
              <w:t>其他涉外发展服务支出</w:t>
            </w:r>
          </w:p>
        </w:tc>
        <w:tc>
          <w:tcPr>
            <w:tcW w:w="1361" w:type="dxa"/>
            <w:vAlign w:val="center"/>
          </w:tcPr>
          <w:p>
            <w:pPr>
              <w:pStyle w:val="13"/>
            </w:pPr>
            <w:r>
              <w:t>1061.97</w:t>
            </w:r>
          </w:p>
        </w:tc>
        <w:tc>
          <w:tcPr>
            <w:tcW w:w="1361" w:type="dxa"/>
            <w:vAlign w:val="center"/>
          </w:tcPr>
          <w:p>
            <w:pPr>
              <w:pStyle w:val="13"/>
            </w:pPr>
          </w:p>
        </w:tc>
        <w:tc>
          <w:tcPr>
            <w:tcW w:w="1361" w:type="dxa"/>
            <w:vAlign w:val="center"/>
          </w:tcPr>
          <w:p>
            <w:pPr>
              <w:pStyle w:val="13"/>
            </w:pPr>
            <w:r>
              <w:t>1061.97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10.05</w:t>
            </w:r>
          </w:p>
        </w:tc>
        <w:tc>
          <w:tcPr>
            <w:tcW w:w="1361" w:type="dxa"/>
            <w:vAlign w:val="center"/>
          </w:tcPr>
          <w:p>
            <w:pPr>
              <w:pStyle w:val="13"/>
            </w:pPr>
            <w:r>
              <w:t>10.05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10.05</w:t>
            </w:r>
          </w:p>
        </w:tc>
        <w:tc>
          <w:tcPr>
            <w:tcW w:w="1361" w:type="dxa"/>
            <w:vAlign w:val="center"/>
          </w:tcPr>
          <w:p>
            <w:pPr>
              <w:pStyle w:val="13"/>
            </w:pPr>
            <w:r>
              <w:t>10.05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10.05</w:t>
            </w:r>
          </w:p>
        </w:tc>
        <w:tc>
          <w:tcPr>
            <w:tcW w:w="1361" w:type="dxa"/>
            <w:vAlign w:val="center"/>
          </w:tcPr>
          <w:p>
            <w:pPr>
              <w:pStyle w:val="13"/>
            </w:pPr>
            <w:r>
              <w:t>10.05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814001隆尧县商务局本级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1412.70</w:t>
            </w:r>
          </w:p>
        </w:tc>
        <w:tc>
          <w:tcPr>
            <w:tcW w:w="3402" w:type="dxa"/>
            <w:vAlign w:val="center"/>
          </w:tcPr>
          <w:p>
            <w:pPr>
              <w:pStyle w:val="14"/>
            </w:pPr>
            <w:r>
              <w:t>一、一般公共服务支出</w:t>
            </w:r>
          </w:p>
        </w:tc>
        <w:tc>
          <w:tcPr>
            <w:tcW w:w="1474" w:type="dxa"/>
            <w:vAlign w:val="center"/>
          </w:tcPr>
          <w:p>
            <w:pPr>
              <w:pStyle w:val="13"/>
            </w:pPr>
            <w:r>
              <w:t>383.07</w:t>
            </w:r>
          </w:p>
        </w:tc>
        <w:tc>
          <w:tcPr>
            <w:tcW w:w="1474" w:type="dxa"/>
            <w:vAlign w:val="center"/>
          </w:tcPr>
          <w:p>
            <w:pPr>
              <w:pStyle w:val="13"/>
            </w:pPr>
            <w:r>
              <w:t>383.07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11.90</w:t>
            </w:r>
          </w:p>
        </w:tc>
        <w:tc>
          <w:tcPr>
            <w:tcW w:w="1474" w:type="dxa"/>
            <w:vAlign w:val="center"/>
          </w:tcPr>
          <w:p>
            <w:pPr>
              <w:pStyle w:val="13"/>
            </w:pPr>
            <w:r>
              <w:t>11.90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7.68</w:t>
            </w:r>
          </w:p>
        </w:tc>
        <w:tc>
          <w:tcPr>
            <w:tcW w:w="1474" w:type="dxa"/>
            <w:vAlign w:val="center"/>
          </w:tcPr>
          <w:p>
            <w:pPr>
              <w:pStyle w:val="13"/>
            </w:pPr>
            <w:r>
              <w:t>7.68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r>
              <w:t>1461.97</w:t>
            </w:r>
          </w:p>
        </w:tc>
        <w:tc>
          <w:tcPr>
            <w:tcW w:w="1474" w:type="dxa"/>
            <w:vAlign w:val="center"/>
          </w:tcPr>
          <w:p>
            <w:pPr>
              <w:pStyle w:val="13"/>
            </w:pPr>
            <w:r>
              <w:t>1461.97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10.05</w:t>
            </w:r>
          </w:p>
        </w:tc>
        <w:tc>
          <w:tcPr>
            <w:tcW w:w="1474" w:type="dxa"/>
            <w:vAlign w:val="center"/>
          </w:tcPr>
          <w:p>
            <w:pPr>
              <w:pStyle w:val="13"/>
            </w:pPr>
            <w:r>
              <w:t>10.05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二十六、年初预留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1412.70</w:t>
            </w:r>
          </w:p>
        </w:tc>
        <w:tc>
          <w:tcPr>
            <w:tcW w:w="3402" w:type="dxa"/>
            <w:vAlign w:val="center"/>
          </w:tcPr>
          <w:p>
            <w:pPr>
              <w:pStyle w:val="16"/>
            </w:pPr>
            <w:r>
              <w:t>本年支出合计</w:t>
            </w:r>
          </w:p>
        </w:tc>
        <w:tc>
          <w:tcPr>
            <w:tcW w:w="1474" w:type="dxa"/>
            <w:vAlign w:val="center"/>
          </w:tcPr>
          <w:p>
            <w:pPr>
              <w:pStyle w:val="17"/>
            </w:pPr>
            <w:r>
              <w:t>1874.67</w:t>
            </w:r>
          </w:p>
        </w:tc>
        <w:tc>
          <w:tcPr>
            <w:tcW w:w="1474" w:type="dxa"/>
            <w:vAlign w:val="center"/>
          </w:tcPr>
          <w:p>
            <w:pPr>
              <w:pStyle w:val="17"/>
            </w:pPr>
            <w:r>
              <w:t>1874.67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461.97</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461.97</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1874.67</w:t>
            </w:r>
          </w:p>
        </w:tc>
        <w:tc>
          <w:tcPr>
            <w:tcW w:w="3402" w:type="dxa"/>
            <w:vAlign w:val="center"/>
          </w:tcPr>
          <w:p>
            <w:pPr>
              <w:pStyle w:val="16"/>
            </w:pPr>
            <w:r>
              <w:t>支出总计</w:t>
            </w:r>
          </w:p>
        </w:tc>
        <w:tc>
          <w:tcPr>
            <w:tcW w:w="1474" w:type="dxa"/>
            <w:vAlign w:val="center"/>
          </w:tcPr>
          <w:p>
            <w:pPr>
              <w:pStyle w:val="17"/>
            </w:pPr>
            <w:r>
              <w:t>1874.67</w:t>
            </w:r>
          </w:p>
        </w:tc>
        <w:tc>
          <w:tcPr>
            <w:tcW w:w="1474" w:type="dxa"/>
            <w:vAlign w:val="center"/>
          </w:tcPr>
          <w:p>
            <w:pPr>
              <w:pStyle w:val="17"/>
            </w:pPr>
            <w:r>
              <w:t>1874.67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814001隆尧县商务局本级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1874.67</w:t>
            </w:r>
          </w:p>
        </w:tc>
        <w:tc>
          <w:tcPr>
            <w:tcW w:w="2551" w:type="dxa"/>
            <w:vAlign w:val="center"/>
          </w:tcPr>
          <w:p>
            <w:pPr>
              <w:pStyle w:val="17"/>
            </w:pPr>
            <w:r>
              <w:t>171.15</w:t>
            </w:r>
          </w:p>
        </w:tc>
        <w:tc>
          <w:tcPr>
            <w:tcW w:w="2551" w:type="dxa"/>
            <w:vAlign w:val="center"/>
          </w:tcPr>
          <w:p>
            <w:pPr>
              <w:pStyle w:val="17"/>
            </w:pPr>
            <w:r>
              <w:t>1703.52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383.07</w:t>
            </w:r>
          </w:p>
        </w:tc>
        <w:tc>
          <w:tcPr>
            <w:tcW w:w="2551" w:type="dxa"/>
            <w:vAlign w:val="center"/>
          </w:tcPr>
          <w:p>
            <w:pPr>
              <w:pStyle w:val="13"/>
            </w:pPr>
            <w:r>
              <w:t>141.52</w:t>
            </w:r>
          </w:p>
        </w:tc>
        <w:tc>
          <w:tcPr>
            <w:tcW w:w="2551" w:type="dxa"/>
            <w:vAlign w:val="center"/>
          </w:tcPr>
          <w:p>
            <w:pPr>
              <w:pStyle w:val="13"/>
            </w:pPr>
            <w:r>
              <w:t>241.55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20113</w:t>
            </w:r>
          </w:p>
        </w:tc>
        <w:tc>
          <w:tcPr>
            <w:tcW w:w="4535" w:type="dxa"/>
            <w:vAlign w:val="center"/>
          </w:tcPr>
          <w:p>
            <w:pPr>
              <w:pStyle w:val="14"/>
            </w:pPr>
            <w:r>
              <w:t>商贸事务</w:t>
            </w:r>
          </w:p>
        </w:tc>
        <w:tc>
          <w:tcPr>
            <w:tcW w:w="2551" w:type="dxa"/>
            <w:vAlign w:val="center"/>
          </w:tcPr>
          <w:p>
            <w:pPr>
              <w:pStyle w:val="13"/>
            </w:pPr>
            <w:r>
              <w:t>383.07</w:t>
            </w:r>
          </w:p>
        </w:tc>
        <w:tc>
          <w:tcPr>
            <w:tcW w:w="2551" w:type="dxa"/>
            <w:vAlign w:val="center"/>
          </w:tcPr>
          <w:p>
            <w:pPr>
              <w:pStyle w:val="13"/>
            </w:pPr>
            <w:r>
              <w:t>141.52</w:t>
            </w:r>
          </w:p>
        </w:tc>
        <w:tc>
          <w:tcPr>
            <w:tcW w:w="2551" w:type="dxa"/>
            <w:vAlign w:val="center"/>
          </w:tcPr>
          <w:p>
            <w:pPr>
              <w:pStyle w:val="13"/>
            </w:pPr>
            <w:r>
              <w:t>241.55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2011301</w:t>
            </w:r>
          </w:p>
        </w:tc>
        <w:tc>
          <w:tcPr>
            <w:tcW w:w="4535" w:type="dxa"/>
            <w:vAlign w:val="center"/>
          </w:tcPr>
          <w:p>
            <w:pPr>
              <w:pStyle w:val="14"/>
            </w:pPr>
            <w:r>
              <w:t>行政运行</w:t>
            </w:r>
          </w:p>
        </w:tc>
        <w:tc>
          <w:tcPr>
            <w:tcW w:w="2551" w:type="dxa"/>
            <w:vAlign w:val="center"/>
          </w:tcPr>
          <w:p>
            <w:pPr>
              <w:pStyle w:val="13"/>
            </w:pPr>
            <w:r>
              <w:t>146.07</w:t>
            </w:r>
          </w:p>
        </w:tc>
        <w:tc>
          <w:tcPr>
            <w:tcW w:w="2551" w:type="dxa"/>
            <w:vAlign w:val="center"/>
          </w:tcPr>
          <w:p>
            <w:pPr>
              <w:pStyle w:val="13"/>
            </w:pPr>
            <w:r>
              <w:t>141.52</w:t>
            </w:r>
          </w:p>
        </w:tc>
        <w:tc>
          <w:tcPr>
            <w:tcW w:w="2551" w:type="dxa"/>
            <w:vAlign w:val="center"/>
          </w:tcPr>
          <w:p>
            <w:pPr>
              <w:pStyle w:val="13"/>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2011306</w:t>
            </w:r>
          </w:p>
        </w:tc>
        <w:tc>
          <w:tcPr>
            <w:tcW w:w="4535" w:type="dxa"/>
            <w:vAlign w:val="center"/>
          </w:tcPr>
          <w:p>
            <w:pPr>
              <w:pStyle w:val="14"/>
            </w:pPr>
            <w:r>
              <w:t>外资管理</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2011307</w:t>
            </w:r>
          </w:p>
        </w:tc>
        <w:tc>
          <w:tcPr>
            <w:tcW w:w="4535" w:type="dxa"/>
            <w:vAlign w:val="center"/>
          </w:tcPr>
          <w:p>
            <w:pPr>
              <w:pStyle w:val="14"/>
            </w:pPr>
            <w:r>
              <w:t>国内贸易管理</w:t>
            </w:r>
          </w:p>
        </w:tc>
        <w:tc>
          <w:tcPr>
            <w:tcW w:w="2551" w:type="dxa"/>
            <w:vAlign w:val="center"/>
          </w:tcPr>
          <w:p>
            <w:pPr>
              <w:pStyle w:val="13"/>
            </w:pPr>
            <w:r>
              <w:t>168.00</w:t>
            </w:r>
          </w:p>
        </w:tc>
        <w:tc>
          <w:tcPr>
            <w:tcW w:w="2551" w:type="dxa"/>
            <w:vAlign w:val="center"/>
          </w:tcPr>
          <w:p>
            <w:pPr>
              <w:pStyle w:val="13"/>
            </w:pPr>
          </w:p>
        </w:tc>
        <w:tc>
          <w:tcPr>
            <w:tcW w:w="2551" w:type="dxa"/>
            <w:vAlign w:val="center"/>
          </w:tcPr>
          <w:p>
            <w:pPr>
              <w:pStyle w:val="13"/>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2011399</w:t>
            </w:r>
          </w:p>
        </w:tc>
        <w:tc>
          <w:tcPr>
            <w:tcW w:w="4535" w:type="dxa"/>
            <w:vAlign w:val="center"/>
          </w:tcPr>
          <w:p>
            <w:pPr>
              <w:pStyle w:val="14"/>
            </w:pPr>
            <w:r>
              <w:t>其他商贸事务支出</w:t>
            </w:r>
          </w:p>
        </w:tc>
        <w:tc>
          <w:tcPr>
            <w:tcW w:w="2551" w:type="dxa"/>
            <w:vAlign w:val="center"/>
          </w:tcPr>
          <w:p>
            <w:pPr>
              <w:pStyle w:val="13"/>
            </w:pPr>
            <w:r>
              <w:t>64.00</w:t>
            </w:r>
          </w:p>
        </w:tc>
        <w:tc>
          <w:tcPr>
            <w:tcW w:w="2551" w:type="dxa"/>
            <w:vAlign w:val="center"/>
          </w:tcPr>
          <w:p>
            <w:pPr>
              <w:pStyle w:val="13"/>
            </w:pPr>
          </w:p>
        </w:tc>
        <w:tc>
          <w:tcPr>
            <w:tcW w:w="2551" w:type="dxa"/>
            <w:vAlign w:val="center"/>
          </w:tcPr>
          <w:p>
            <w:pPr>
              <w:pStyle w:val="13"/>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11.90</w:t>
            </w:r>
          </w:p>
        </w:tc>
        <w:tc>
          <w:tcPr>
            <w:tcW w:w="2551" w:type="dxa"/>
            <w:vAlign w:val="center"/>
          </w:tcPr>
          <w:p>
            <w:pPr>
              <w:pStyle w:val="13"/>
            </w:pPr>
            <w:r>
              <w:t>11.90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11.90</w:t>
            </w:r>
          </w:p>
        </w:tc>
        <w:tc>
          <w:tcPr>
            <w:tcW w:w="2551" w:type="dxa"/>
            <w:vAlign w:val="center"/>
          </w:tcPr>
          <w:p>
            <w:pPr>
              <w:pStyle w:val="13"/>
            </w:pPr>
            <w:r>
              <w:t>11.90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11.90</w:t>
            </w:r>
          </w:p>
        </w:tc>
        <w:tc>
          <w:tcPr>
            <w:tcW w:w="2551" w:type="dxa"/>
            <w:vAlign w:val="center"/>
          </w:tcPr>
          <w:p>
            <w:pPr>
              <w:pStyle w:val="13"/>
            </w:pPr>
            <w:r>
              <w:t>11.90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7.68</w:t>
            </w:r>
          </w:p>
        </w:tc>
        <w:tc>
          <w:tcPr>
            <w:tcW w:w="2551" w:type="dxa"/>
            <w:vAlign w:val="center"/>
          </w:tcPr>
          <w:p>
            <w:pPr>
              <w:pStyle w:val="13"/>
            </w:pPr>
            <w:r>
              <w:t>7.68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7.68</w:t>
            </w:r>
          </w:p>
        </w:tc>
        <w:tc>
          <w:tcPr>
            <w:tcW w:w="2551" w:type="dxa"/>
            <w:vAlign w:val="center"/>
          </w:tcPr>
          <w:p>
            <w:pPr>
              <w:pStyle w:val="13"/>
            </w:pPr>
            <w:r>
              <w:t>7.68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7.68</w:t>
            </w:r>
          </w:p>
        </w:tc>
        <w:tc>
          <w:tcPr>
            <w:tcW w:w="2551" w:type="dxa"/>
            <w:vAlign w:val="center"/>
          </w:tcPr>
          <w:p>
            <w:pPr>
              <w:pStyle w:val="13"/>
            </w:pPr>
            <w:r>
              <w:t>7.68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216</w:t>
            </w:r>
          </w:p>
        </w:tc>
        <w:tc>
          <w:tcPr>
            <w:tcW w:w="4535" w:type="dxa"/>
            <w:vAlign w:val="center"/>
          </w:tcPr>
          <w:p>
            <w:pPr>
              <w:pStyle w:val="14"/>
            </w:pPr>
            <w:r>
              <w:t>商业服务业等支出</w:t>
            </w:r>
          </w:p>
        </w:tc>
        <w:tc>
          <w:tcPr>
            <w:tcW w:w="2551" w:type="dxa"/>
            <w:vAlign w:val="center"/>
          </w:tcPr>
          <w:p>
            <w:pPr>
              <w:pStyle w:val="13"/>
            </w:pPr>
            <w:r>
              <w:t>1461.97</w:t>
            </w:r>
          </w:p>
        </w:tc>
        <w:tc>
          <w:tcPr>
            <w:tcW w:w="2551" w:type="dxa"/>
            <w:vAlign w:val="center"/>
          </w:tcPr>
          <w:p>
            <w:pPr>
              <w:pStyle w:val="13"/>
            </w:pPr>
          </w:p>
        </w:tc>
        <w:tc>
          <w:tcPr>
            <w:tcW w:w="2551" w:type="dxa"/>
            <w:vAlign w:val="center"/>
          </w:tcPr>
          <w:p>
            <w:pPr>
              <w:pStyle w:val="13"/>
            </w:pPr>
            <w:r>
              <w:t>1461.97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21602</w:t>
            </w:r>
          </w:p>
        </w:tc>
        <w:tc>
          <w:tcPr>
            <w:tcW w:w="4535" w:type="dxa"/>
            <w:vAlign w:val="center"/>
          </w:tcPr>
          <w:p>
            <w:pPr>
              <w:pStyle w:val="14"/>
            </w:pPr>
            <w:r>
              <w:t>商业流通事务</w:t>
            </w:r>
          </w:p>
        </w:tc>
        <w:tc>
          <w:tcPr>
            <w:tcW w:w="2551" w:type="dxa"/>
            <w:vAlign w:val="center"/>
          </w:tcPr>
          <w:p>
            <w:pPr>
              <w:pStyle w:val="13"/>
            </w:pPr>
            <w:r>
              <w:t>400.00</w:t>
            </w:r>
          </w:p>
        </w:tc>
        <w:tc>
          <w:tcPr>
            <w:tcW w:w="2551" w:type="dxa"/>
            <w:vAlign w:val="center"/>
          </w:tcPr>
          <w:p>
            <w:pPr>
              <w:pStyle w:val="13"/>
            </w:pPr>
          </w:p>
        </w:tc>
        <w:tc>
          <w:tcPr>
            <w:tcW w:w="2551" w:type="dxa"/>
            <w:vAlign w:val="center"/>
          </w:tcPr>
          <w:p>
            <w:pPr>
              <w:pStyle w:val="13"/>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2160299</w:t>
            </w:r>
          </w:p>
        </w:tc>
        <w:tc>
          <w:tcPr>
            <w:tcW w:w="4535" w:type="dxa"/>
            <w:vAlign w:val="center"/>
          </w:tcPr>
          <w:p>
            <w:pPr>
              <w:pStyle w:val="14"/>
            </w:pPr>
            <w:r>
              <w:t>其他商业流通事务支出</w:t>
            </w:r>
          </w:p>
        </w:tc>
        <w:tc>
          <w:tcPr>
            <w:tcW w:w="2551" w:type="dxa"/>
            <w:vAlign w:val="center"/>
          </w:tcPr>
          <w:p>
            <w:pPr>
              <w:pStyle w:val="13"/>
            </w:pPr>
            <w:r>
              <w:t>400.00</w:t>
            </w:r>
          </w:p>
        </w:tc>
        <w:tc>
          <w:tcPr>
            <w:tcW w:w="2551" w:type="dxa"/>
            <w:vAlign w:val="center"/>
          </w:tcPr>
          <w:p>
            <w:pPr>
              <w:pStyle w:val="13"/>
            </w:pPr>
          </w:p>
        </w:tc>
        <w:tc>
          <w:tcPr>
            <w:tcW w:w="2551" w:type="dxa"/>
            <w:vAlign w:val="center"/>
          </w:tcPr>
          <w:p>
            <w:pPr>
              <w:pStyle w:val="13"/>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21606</w:t>
            </w:r>
          </w:p>
        </w:tc>
        <w:tc>
          <w:tcPr>
            <w:tcW w:w="4535" w:type="dxa"/>
            <w:vAlign w:val="center"/>
          </w:tcPr>
          <w:p>
            <w:pPr>
              <w:pStyle w:val="14"/>
            </w:pPr>
            <w:r>
              <w:t>涉外发展服务支出</w:t>
            </w:r>
          </w:p>
        </w:tc>
        <w:tc>
          <w:tcPr>
            <w:tcW w:w="2551" w:type="dxa"/>
            <w:vAlign w:val="center"/>
          </w:tcPr>
          <w:p>
            <w:pPr>
              <w:pStyle w:val="13"/>
            </w:pPr>
            <w:r>
              <w:t>1061.97</w:t>
            </w:r>
          </w:p>
        </w:tc>
        <w:tc>
          <w:tcPr>
            <w:tcW w:w="2551" w:type="dxa"/>
            <w:vAlign w:val="center"/>
          </w:tcPr>
          <w:p>
            <w:pPr>
              <w:pStyle w:val="13"/>
            </w:pPr>
          </w:p>
        </w:tc>
        <w:tc>
          <w:tcPr>
            <w:tcW w:w="2551" w:type="dxa"/>
            <w:vAlign w:val="center"/>
          </w:tcPr>
          <w:p>
            <w:pPr>
              <w:pStyle w:val="13"/>
            </w:pPr>
            <w:r>
              <w:t>1061.97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2160699</w:t>
            </w:r>
          </w:p>
        </w:tc>
        <w:tc>
          <w:tcPr>
            <w:tcW w:w="4535" w:type="dxa"/>
            <w:vAlign w:val="center"/>
          </w:tcPr>
          <w:p>
            <w:pPr>
              <w:pStyle w:val="14"/>
            </w:pPr>
            <w:r>
              <w:t>其他涉外发展服务支出</w:t>
            </w:r>
          </w:p>
        </w:tc>
        <w:tc>
          <w:tcPr>
            <w:tcW w:w="2551" w:type="dxa"/>
            <w:vAlign w:val="center"/>
          </w:tcPr>
          <w:p>
            <w:pPr>
              <w:pStyle w:val="13"/>
            </w:pPr>
            <w:r>
              <w:t>1061.97</w:t>
            </w:r>
          </w:p>
        </w:tc>
        <w:tc>
          <w:tcPr>
            <w:tcW w:w="2551" w:type="dxa"/>
            <w:vAlign w:val="center"/>
          </w:tcPr>
          <w:p>
            <w:pPr>
              <w:pStyle w:val="13"/>
            </w:pPr>
          </w:p>
        </w:tc>
        <w:tc>
          <w:tcPr>
            <w:tcW w:w="2551" w:type="dxa"/>
            <w:vAlign w:val="center"/>
          </w:tcPr>
          <w:p>
            <w:pPr>
              <w:pStyle w:val="13"/>
            </w:pPr>
            <w:r>
              <w:t>1061.97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10.05</w:t>
            </w:r>
          </w:p>
        </w:tc>
        <w:tc>
          <w:tcPr>
            <w:tcW w:w="2551" w:type="dxa"/>
            <w:vAlign w:val="center"/>
          </w:tcPr>
          <w:p>
            <w:pPr>
              <w:pStyle w:val="13"/>
            </w:pPr>
            <w:r>
              <w:t>10.05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10.05</w:t>
            </w:r>
          </w:p>
        </w:tc>
        <w:tc>
          <w:tcPr>
            <w:tcW w:w="2551" w:type="dxa"/>
            <w:vAlign w:val="center"/>
          </w:tcPr>
          <w:p>
            <w:pPr>
              <w:pStyle w:val="13"/>
            </w:pPr>
            <w:r>
              <w:t>10.05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10.05</w:t>
            </w:r>
          </w:p>
        </w:tc>
        <w:tc>
          <w:tcPr>
            <w:tcW w:w="2551" w:type="dxa"/>
            <w:vAlign w:val="center"/>
          </w:tcPr>
          <w:p>
            <w:pPr>
              <w:pStyle w:val="13"/>
            </w:pPr>
            <w:r>
              <w:t>10.05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814001隆尧县商务局本级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171.15</w:t>
            </w:r>
          </w:p>
        </w:tc>
        <w:tc>
          <w:tcPr>
            <w:tcW w:w="2551" w:type="dxa"/>
            <w:vAlign w:val="center"/>
          </w:tcPr>
          <w:p>
            <w:pPr>
              <w:pStyle w:val="17"/>
            </w:pPr>
            <w:r>
              <w:t>155.81</w:t>
            </w:r>
          </w:p>
        </w:tc>
        <w:tc>
          <w:tcPr>
            <w:tcW w:w="2551" w:type="dxa"/>
            <w:vAlign w:val="center"/>
          </w:tcPr>
          <w:p>
            <w:pPr>
              <w:pStyle w:val="17"/>
            </w:pPr>
            <w:r>
              <w:t>15.34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147.99</w:t>
            </w:r>
          </w:p>
        </w:tc>
        <w:tc>
          <w:tcPr>
            <w:tcW w:w="2551" w:type="dxa"/>
            <w:vAlign w:val="center"/>
          </w:tcPr>
          <w:p>
            <w:pPr>
              <w:pStyle w:val="13"/>
            </w:pPr>
            <w:r>
              <w:t>147.99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53.26</w:t>
            </w:r>
          </w:p>
        </w:tc>
        <w:tc>
          <w:tcPr>
            <w:tcW w:w="2551" w:type="dxa"/>
            <w:vAlign w:val="center"/>
          </w:tcPr>
          <w:p>
            <w:pPr>
              <w:pStyle w:val="13"/>
            </w:pPr>
            <w:r>
              <w:t>53.26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59.00</w:t>
            </w:r>
          </w:p>
        </w:tc>
        <w:tc>
          <w:tcPr>
            <w:tcW w:w="2551" w:type="dxa"/>
            <w:vAlign w:val="center"/>
          </w:tcPr>
          <w:p>
            <w:pPr>
              <w:pStyle w:val="13"/>
            </w:pPr>
            <w:r>
              <w:t>59.00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4.19</w:t>
            </w:r>
          </w:p>
        </w:tc>
        <w:tc>
          <w:tcPr>
            <w:tcW w:w="2551" w:type="dxa"/>
            <w:vAlign w:val="center"/>
          </w:tcPr>
          <w:p>
            <w:pPr>
              <w:pStyle w:val="13"/>
            </w:pPr>
            <w:r>
              <w:t>4.19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1.60</w:t>
            </w:r>
          </w:p>
        </w:tc>
        <w:tc>
          <w:tcPr>
            <w:tcW w:w="2551" w:type="dxa"/>
            <w:vAlign w:val="center"/>
          </w:tcPr>
          <w:p>
            <w:pPr>
              <w:pStyle w:val="13"/>
            </w:pPr>
            <w:r>
              <w:t>1.60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11.90</w:t>
            </w:r>
          </w:p>
        </w:tc>
        <w:tc>
          <w:tcPr>
            <w:tcW w:w="2551" w:type="dxa"/>
            <w:vAlign w:val="center"/>
          </w:tcPr>
          <w:p>
            <w:pPr>
              <w:pStyle w:val="13"/>
            </w:pPr>
            <w:r>
              <w:t>11.90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7.68</w:t>
            </w:r>
          </w:p>
        </w:tc>
        <w:tc>
          <w:tcPr>
            <w:tcW w:w="2551" w:type="dxa"/>
            <w:vAlign w:val="center"/>
          </w:tcPr>
          <w:p>
            <w:pPr>
              <w:pStyle w:val="13"/>
            </w:pPr>
            <w:r>
              <w:t>7.68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0.33</w:t>
            </w:r>
          </w:p>
        </w:tc>
        <w:tc>
          <w:tcPr>
            <w:tcW w:w="2551" w:type="dxa"/>
            <w:vAlign w:val="center"/>
          </w:tcPr>
          <w:p>
            <w:pPr>
              <w:pStyle w:val="13"/>
            </w:pPr>
            <w:r>
              <w:t>0.33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10.05</w:t>
            </w:r>
          </w:p>
        </w:tc>
        <w:tc>
          <w:tcPr>
            <w:tcW w:w="2551" w:type="dxa"/>
            <w:vAlign w:val="center"/>
          </w:tcPr>
          <w:p>
            <w:pPr>
              <w:pStyle w:val="13"/>
            </w:pPr>
            <w:r>
              <w:t>10.05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15.34</w:t>
            </w:r>
          </w:p>
        </w:tc>
        <w:tc>
          <w:tcPr>
            <w:tcW w:w="2551" w:type="dxa"/>
            <w:vAlign w:val="center"/>
          </w:tcPr>
          <w:p>
            <w:pPr>
              <w:pStyle w:val="13"/>
            </w:pPr>
          </w:p>
        </w:tc>
        <w:tc>
          <w:tcPr>
            <w:tcW w:w="2551" w:type="dxa"/>
            <w:vAlign w:val="center"/>
          </w:tcPr>
          <w:p>
            <w:pPr>
              <w:pStyle w:val="13"/>
            </w:pPr>
            <w:r>
              <w:t>15.34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0.23</w:t>
            </w:r>
          </w:p>
        </w:tc>
        <w:tc>
          <w:tcPr>
            <w:tcW w:w="2551" w:type="dxa"/>
            <w:vAlign w:val="center"/>
          </w:tcPr>
          <w:p>
            <w:pPr>
              <w:pStyle w:val="13"/>
            </w:pPr>
          </w:p>
        </w:tc>
        <w:tc>
          <w:tcPr>
            <w:tcW w:w="2551" w:type="dxa"/>
            <w:vAlign w:val="center"/>
          </w:tcPr>
          <w:p>
            <w:pPr>
              <w:pStyle w:val="13"/>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2.20</w:t>
            </w:r>
          </w:p>
        </w:tc>
        <w:tc>
          <w:tcPr>
            <w:tcW w:w="2551" w:type="dxa"/>
            <w:vAlign w:val="center"/>
          </w:tcPr>
          <w:p>
            <w:pPr>
              <w:pStyle w:val="13"/>
            </w:pPr>
          </w:p>
        </w:tc>
        <w:tc>
          <w:tcPr>
            <w:tcW w:w="2551"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2.30</w:t>
            </w:r>
          </w:p>
        </w:tc>
        <w:tc>
          <w:tcPr>
            <w:tcW w:w="2551" w:type="dxa"/>
            <w:vAlign w:val="center"/>
          </w:tcPr>
          <w:p>
            <w:pPr>
              <w:pStyle w:val="13"/>
            </w:pPr>
          </w:p>
        </w:tc>
        <w:tc>
          <w:tcPr>
            <w:tcW w:w="2551" w:type="dxa"/>
            <w:vAlign w:val="center"/>
          </w:tcPr>
          <w:p>
            <w:pPr>
              <w:pStyle w:val="13"/>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8.34</w:t>
            </w:r>
          </w:p>
        </w:tc>
        <w:tc>
          <w:tcPr>
            <w:tcW w:w="2551" w:type="dxa"/>
            <w:vAlign w:val="center"/>
          </w:tcPr>
          <w:p>
            <w:pPr>
              <w:pStyle w:val="13"/>
            </w:pPr>
          </w:p>
        </w:tc>
        <w:tc>
          <w:tcPr>
            <w:tcW w:w="2551" w:type="dxa"/>
            <w:vAlign w:val="center"/>
          </w:tcPr>
          <w:p>
            <w:pPr>
              <w:pStyle w:val="13"/>
            </w:pPr>
            <w:r>
              <w:t>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0.28</w:t>
            </w:r>
          </w:p>
        </w:tc>
        <w:tc>
          <w:tcPr>
            <w:tcW w:w="2551" w:type="dxa"/>
            <w:vAlign w:val="center"/>
          </w:tcPr>
          <w:p>
            <w:pPr>
              <w:pStyle w:val="13"/>
            </w:pPr>
          </w:p>
        </w:tc>
        <w:tc>
          <w:tcPr>
            <w:tcW w:w="2551" w:type="dxa"/>
            <w:vAlign w:val="center"/>
          </w:tcPr>
          <w:p>
            <w:pPr>
              <w:pStyle w:val="13"/>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7.81</w:t>
            </w:r>
          </w:p>
        </w:tc>
        <w:tc>
          <w:tcPr>
            <w:tcW w:w="2551" w:type="dxa"/>
            <w:vAlign w:val="center"/>
          </w:tcPr>
          <w:p>
            <w:pPr>
              <w:pStyle w:val="13"/>
            </w:pPr>
            <w:r>
              <w:t>7.81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5.51</w:t>
            </w:r>
          </w:p>
        </w:tc>
        <w:tc>
          <w:tcPr>
            <w:tcW w:w="2551" w:type="dxa"/>
            <w:vAlign w:val="center"/>
          </w:tcPr>
          <w:p>
            <w:pPr>
              <w:pStyle w:val="13"/>
            </w:pPr>
            <w:r>
              <w:t>5.51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2.30</w:t>
            </w:r>
          </w:p>
        </w:tc>
        <w:tc>
          <w:tcPr>
            <w:tcW w:w="2551" w:type="dxa"/>
            <w:vAlign w:val="center"/>
          </w:tcPr>
          <w:p>
            <w:pPr>
              <w:pStyle w:val="13"/>
            </w:pPr>
            <w:r>
              <w:t>2.30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814001隆尧县商务局本级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814001隆尧县商务局本级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814001隆尧县商务局本级</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rFonts w:hint="default" w:eastAsia="方正书宋_GBK"/>
                <w:lang w:val="en-US" w:eastAsia="zh-CN"/>
              </w:rPr>
            </w:pPr>
            <w:r>
              <w:rPr>
                <w:rFonts w:hint="eastAsia"/>
                <w:lang w:val="en-US" w:eastAsia="zh-CN"/>
              </w:rPr>
              <w:t>0.50</w:t>
            </w:r>
          </w:p>
        </w:tc>
        <w:tc>
          <w:tcPr>
            <w:tcW w:w="2381" w:type="dxa"/>
            <w:vAlign w:val="center"/>
          </w:tcPr>
          <w:p>
            <w:pPr>
              <w:pStyle w:val="17"/>
              <w:rPr>
                <w:rFonts w:hint="default" w:eastAsia="方正书宋_GBK"/>
                <w:lang w:val="en-US" w:eastAsia="zh-CN"/>
              </w:rPr>
            </w:pPr>
            <w:r>
              <w:rPr>
                <w:rFonts w:hint="eastAsia"/>
                <w:lang w:val="en-US" w:eastAsia="zh-CN"/>
              </w:rPr>
              <w:t>0.50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rPr>
                <w:rFonts w:hint="default" w:eastAsia="方正书宋_GBK"/>
                <w:lang w:val="en-US" w:eastAsia="zh-CN"/>
              </w:rPr>
            </w:pPr>
            <w:r>
              <w:rPr>
                <w:rFonts w:hint="eastAsia"/>
                <w:lang w:val="en-US" w:eastAsia="zh-CN"/>
              </w:rPr>
              <w:t>0.50</w:t>
            </w:r>
          </w:p>
        </w:tc>
        <w:tc>
          <w:tcPr>
            <w:tcW w:w="2381" w:type="dxa"/>
            <w:vAlign w:val="center"/>
          </w:tcPr>
          <w:p>
            <w:pPr>
              <w:pStyle w:val="13"/>
              <w:rPr>
                <w:rFonts w:hint="default" w:eastAsia="方正书宋_GBK"/>
                <w:lang w:val="en-US" w:eastAsia="zh-CN"/>
              </w:rPr>
            </w:pPr>
            <w:r>
              <w:rPr>
                <w:rFonts w:hint="eastAsia"/>
                <w:lang w:val="en-US" w:eastAsia="zh-CN"/>
              </w:rPr>
              <w:t>0.50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r>
              <w:t>0.50</w:t>
            </w:r>
          </w:p>
        </w:tc>
        <w:tc>
          <w:tcPr>
            <w:tcW w:w="2381" w:type="dxa"/>
            <w:vAlign w:val="center"/>
          </w:tcPr>
          <w:p>
            <w:pPr>
              <w:pStyle w:val="13"/>
            </w:pPr>
            <w:r>
              <w:t>0.50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隆尧县商务局本级2022年单位预算信息公开情况说明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按照《预算法》、《地方预决算公开操作规程》和《关于进一步推进预算公开工作的实施意见》规定，现将隆尧县商务局本级2022年单位预算公开如下：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1"/>
      </w:pPr>
      <w:r>
        <w:t>（一）贯彻落实国家和省、市有关内外贸易、国际经济合作的发展战略、方针、政策和法律法规。参与起草商务领域地方性政策措施和管理办法；拟订全县商务发展规划、政策措施和年度安排并组织实施；研究经济全球化、区域经济合作、现代流通方式的发展趋势并提出建议。</w:t>
      </w:r>
    </w:p>
    <w:p>
      <w:pPr>
        <w:pStyle w:val="31"/>
      </w:pPr>
      <w:r>
        <w:t>（二）拟订全县国内贸易发展规划。促进城乡市场发展，提出引导国内外资金投向市场体系建设的政策；指导大宗产品批发市场建设和城市商业网点规划、商业体系建设工作；推进农村市场体系建设，组织实施农村现代流通网络工程。</w:t>
      </w:r>
    </w:p>
    <w:p>
      <w:pPr>
        <w:pStyle w:val="31"/>
      </w:pPr>
      <w:r>
        <w:t>（三）提出流通体制改革建议。负责推进流通产业结构调整，指导流通企业改革、商贸服务业和社区商业发展；提出促进商贸中小企业发展的政策建议，推动流通标准化和连锁经营、商业特许经营、物流配送、电子商务等现代流通方式的发展；指导全县流通领域信息网络和电子商务建设。</w:t>
      </w:r>
    </w:p>
    <w:p>
      <w:pPr>
        <w:pStyle w:val="31"/>
      </w:pPr>
      <w:r>
        <w:t>（四）牵头推进商务领域信用体系建设，建立商务诚信公共服务平台。规范商贸企业交易行为，牵头推动重要产品追溯体系建设；按有关规定对特殊流通行业进行监督管理。</w:t>
      </w:r>
    </w:p>
    <w:p>
      <w:pPr>
        <w:pStyle w:val="31"/>
      </w:pPr>
      <w:r>
        <w:t>（五）组织实施重要消费品市场调控和重要生产资料流通管理。负责建立健全生活必需品市场供应应急管理机制，监测分析市场运行、商品供求状况，调查分析商品价格信息，进行预测预警和信息引导；按分工负责重要消费品储备管理和市场调控工作；按有关规定对成品油市场进行监督管理；对酒类流通发展进行指导。</w:t>
      </w:r>
    </w:p>
    <w:p>
      <w:pPr>
        <w:pStyle w:val="31"/>
      </w:pPr>
      <w:r>
        <w:t>（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指导贸易促进活动和外贸促进体系建设。</w:t>
      </w:r>
    </w:p>
    <w:p>
      <w:pPr>
        <w:pStyle w:val="31"/>
      </w:pPr>
      <w:r>
        <w:t>（七）贯彻执行国家对外技术贸易、进出口管制以及鼓励技术和成套设备进出口的贸易政策。拟订和推进全县科技兴贸战略；依法监督技术引进、设备进口、国家限制出口技术的工作。按照管理权限依法参与颁发防扩散等与国家安全相关的出口许可证相关事宜。</w:t>
      </w:r>
    </w:p>
    <w:p>
      <w:pPr>
        <w:pStyle w:val="31"/>
      </w:pPr>
      <w:r>
        <w:t>（八）会同有关部门贯彻执行国家和省、市促进服务出口和服务外包发展的规划、政策，牵头拟订全县服务贸易发展规划并组织实施。</w:t>
      </w:r>
    </w:p>
    <w:p>
      <w:pPr>
        <w:pStyle w:val="31"/>
      </w:pPr>
      <w:r>
        <w:t>（九）贯彻执行国家和省、市利用外资法律法规规章和外商投资产业政策。拟订全县外商投资政策并组织实施；依法对外商投资企业的设立及变更事项进行管理和监督检查；依法参与对外商投资项目的合同章程及法律规定的相关变更事项；依法监督检查外商投资企业执行有关法律法规规章、合同章程的情况并协调解决有关问题；指导全县吸引外资及外商投资企业备案工作，规范对外招商引资活动；综合协调、指导省级以上经济技术开发区有关工作；指导和管理全县外商投资企业进出口工作。</w:t>
      </w:r>
    </w:p>
    <w:p>
      <w:pPr>
        <w:pStyle w:val="31"/>
      </w:pPr>
      <w:r>
        <w:t>（十）负责全县对外经济合作工作。拟订并执行对外经济合作政策，依法管理和监督对外投资、对外承包工程、对外劳务合作等；指导外派劳务和境外就业人员的权益保护工作；拟订全县对外投资管理办法和具体政策；指导境外经贸园区有关工作；负责对外援助有关工作；指导全县对外投资和经济合作促进工作。</w:t>
      </w:r>
    </w:p>
    <w:p>
      <w:pPr>
        <w:pStyle w:val="31"/>
      </w:pPr>
      <w:r>
        <w:t>（十一）配合商务部、省商务厅、市商务局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县相关产业的影响；建立产业安全预警机制。</w:t>
      </w:r>
    </w:p>
    <w:p>
      <w:pPr>
        <w:pStyle w:val="31"/>
      </w:pPr>
      <w:r>
        <w:t>（十二）负责全县商务系统涉及世贸组织相关事务的研究、指导和服务工作，配合商务部、省商务厅、市商务局解决世贸组织框架下涉及我县的贸易争端，负责推进全县进出口贸易的标准化建设。</w:t>
      </w:r>
    </w:p>
    <w:p>
      <w:pPr>
        <w:pStyle w:val="31"/>
      </w:pPr>
      <w:r>
        <w:t>（十三）贯彻执行国家和省、市制定的对自由贸易区国家和地区的经贸规划、政策，并组织实施，管理联合国及其他国际组织或外国政府对我县经济技术合作方面的无偿援助及赠款等发展合作业务。</w:t>
      </w:r>
    </w:p>
    <w:p>
      <w:pPr>
        <w:pStyle w:val="31"/>
      </w:pPr>
      <w:r>
        <w:t>（十四）负责全县会展业促进与管理工作，指导、管理境内外对外经济技术展览会和赴境外非商业性办展活动。</w:t>
      </w:r>
    </w:p>
    <w:p>
      <w:pPr>
        <w:pStyle w:val="31"/>
      </w:pPr>
      <w:r>
        <w:t>（十五）监测分析全县商务运行情况，承担全县商务系统对外宣传和信息发布工作。</w:t>
      </w:r>
    </w:p>
    <w:p>
      <w:pPr>
        <w:pStyle w:val="31"/>
      </w:pPr>
      <w:r>
        <w:t>（十六）贯彻落实党中央和省委、市委、县委关于外事和港澳工作的方针政策和决策部署，坚持和加强党对外事和港澳工作的集中统一领导。拟订全县性外事、港澳工作规定。贯彻执行和协调推进全县对外交流合作规划和部署，对全县外事工作履行综合归口管理职能。承担我县涉港澳事务综合性工作，指导我县与港澳的交往。负责指导和管理全县因公出国、赴港澳工作。负责重要外宾及外国驻华外交人员。负责我县境外机构和公民领事保护协调工作，统筹管理我县邀请外国人来华签证工作，会同或配合有关部门处理我县的涉外事务。办理来我县采访的外国记者相关事务，会同有关部门办理港澳记者来我县采访的有关事宜，会同有关部门开展对外宣传工作。统筹协调我县友好城市工作，指导隆尧县人民对外友好协会的工作。</w:t>
      </w:r>
    </w:p>
    <w:p>
      <w:pPr>
        <w:pStyle w:val="31"/>
      </w:pPr>
      <w:r>
        <w:t>（十七）完成县委、县政府交办的其他任务。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隆尧县商务局本级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单位预算的编制实行综合预算管理，即全部收入和支出都反映在预算中。</w:t>
      </w:r>
    </w:p>
    <w:p>
      <w:pPr>
        <w:pStyle w:val="32"/>
      </w:pPr>
      <w:r>
        <w:t>1、收入说明</w:t>
      </w:r>
    </w:p>
    <w:p>
      <w:pPr>
        <w:pStyle w:val="32"/>
      </w:pPr>
      <w:r>
        <w:t>反映本单位当年全部收入。2022年预算收入1874.66877万元，其中：一般公共预算收入1874.66877万元，基金预算收入0万元，财政专户核拨收入0万元，其他来源收入0万元。</w:t>
      </w:r>
    </w:p>
    <w:p>
      <w:pPr>
        <w:pStyle w:val="32"/>
      </w:pPr>
      <w:r>
        <w:t>2、支出说明</w:t>
      </w:r>
    </w:p>
    <w:p>
      <w:pPr>
        <w:pStyle w:val="32"/>
      </w:pPr>
      <w:r>
        <w:t>收支预算总表支出栏、基本支出表、项目支出表按经济分类和支出功能分类科目编制，反映隆尧县商务局年度单位预算中支出预算的总体情况。2022年单位支出预算为1874.66877万元，其中基本支出171.1465万元，包括人员经费155.8065万元和日常公用经费15.34万元；项目支出1703.52227万元，主要为促消费稳增长专项150万元；上年结转/冀财建【2021】95号/中央/2021年中央服务业发展资金/电子商务示范县400万元；名校英才入冀房租补助专项1.2万元；外资外贸专项5万元；再生资源专项2万元；跨境电商专项60万元；外事专项2万元；冀财建【2021】192号/中央/2022年中央服务业发展资金/电子商务示范县1000万元；上年结转/邢财建【2021】106号/市级/2021年第三批省商贸流通发展专项资金5.99万元；上年结转/邢财建【2021】58号/市级/外贸发展专项资金40.98227万元；退役士兵公益岗位专项3.35万元；成品油市场监督监管专项10万元；上年结转/冀财建【2021】251号/省级/2021年第二批省外贸发展专项资金15万元；电子商务专项8万元。</w:t>
      </w:r>
    </w:p>
    <w:p>
      <w:pPr>
        <w:pStyle w:val="32"/>
      </w:pPr>
      <w:r>
        <w:t>3、比上年增减情况</w:t>
      </w:r>
    </w:p>
    <w:p>
      <w:pPr>
        <w:pStyle w:val="32"/>
      </w:pPr>
      <w:r>
        <w:t>2022年单位预算收支安排1874.66877万元，较2021年增加1576.685166万元，其中：基本支出增加63.8492万元，主要是人员增加，相应增加人员经费和日常公用经费；项目支出增加1512.835966万元，主要是项目支出增加，上级资金专项，促消费稳增长专项，跨境电商专项等。</w:t>
      </w:r>
    </w:p>
    <w:p>
      <w:pPr>
        <w:spacing w:before="10" w:after="10"/>
        <w:ind w:firstLine="640"/>
        <w:outlineLvl w:val="5"/>
      </w:pPr>
      <w:r>
        <w:rPr>
          <w:rFonts w:ascii="黑体" w:hAnsi="黑体" w:eastAsia="黑体" w:cs="黑体"/>
          <w:color w:val="000000"/>
          <w:sz w:val="32"/>
        </w:rPr>
        <w:t>三、机关运行经费安排情况</w:t>
      </w:r>
    </w:p>
    <w:p>
      <w:pPr>
        <w:pStyle w:val="33"/>
      </w:pPr>
      <w:r>
        <w:t>2022年单位机关运行经费总计15.34万元。其中办公费0.225万元；水费1万元；电费2.2万元；办公取暖费2.295万元；物业管理费1万元；公务交通补贴（其他交通费）8.34万元；党组织活动经费0.28万元。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4"/>
      </w:pPr>
      <w:r>
        <w:rPr>
          <w:rFonts w:hint="eastAsia"/>
        </w:rPr>
        <w:t>202</w:t>
      </w:r>
      <w:r>
        <w:rPr>
          <w:rFonts w:hint="eastAsia"/>
          <w:lang w:val="en-US" w:eastAsia="zh-CN"/>
        </w:rPr>
        <w:t>2</w:t>
      </w:r>
      <w:r>
        <w:rPr>
          <w:rFonts w:hint="eastAsia"/>
        </w:rPr>
        <w:t>年，我</w:t>
      </w:r>
      <w:r>
        <w:rPr>
          <w:rFonts w:hint="eastAsia"/>
          <w:lang w:val="en-US" w:eastAsia="zh-CN"/>
        </w:rPr>
        <w:t>单位</w:t>
      </w:r>
      <w:r>
        <w:rPr>
          <w:rFonts w:hint="eastAsia"/>
        </w:rPr>
        <w:t>财政拨款“三公”经费预算安排</w:t>
      </w:r>
      <w:r>
        <w:rPr>
          <w:rFonts w:hint="eastAsia"/>
          <w:lang w:val="en-US" w:eastAsia="zh-CN"/>
        </w:rPr>
        <w:t>0.5</w:t>
      </w:r>
      <w:r>
        <w:rPr>
          <w:rFonts w:hint="eastAsia"/>
        </w:rPr>
        <w:t>万元，其中因公出国（境）费</w:t>
      </w:r>
      <w:r>
        <w:rPr>
          <w:rFonts w:hint="eastAsia"/>
          <w:lang w:val="en-US" w:eastAsia="zh-CN"/>
        </w:rPr>
        <w:t>0</w:t>
      </w:r>
      <w:r>
        <w:rPr>
          <w:rFonts w:hint="eastAsia"/>
        </w:rPr>
        <w:t>万元；公务用车购置及运维费</w:t>
      </w:r>
      <w:r>
        <w:rPr>
          <w:rFonts w:hint="eastAsia"/>
          <w:lang w:val="en-US" w:eastAsia="zh-CN"/>
        </w:rPr>
        <w:t>0</w:t>
      </w:r>
      <w:r>
        <w:rPr>
          <w:rFonts w:hint="eastAsia"/>
        </w:rPr>
        <w:t>万元（其中：公务用车购置费为</w:t>
      </w:r>
      <w:r>
        <w:rPr>
          <w:rFonts w:hint="eastAsia"/>
          <w:lang w:val="en-US" w:eastAsia="zh-CN"/>
        </w:rPr>
        <w:t>0</w:t>
      </w:r>
      <w:r>
        <w:rPr>
          <w:rFonts w:hint="eastAsia"/>
        </w:rPr>
        <w:t>万元，公务用车运行维护费</w:t>
      </w:r>
      <w:r>
        <w:rPr>
          <w:rFonts w:hint="eastAsia"/>
          <w:lang w:val="en-US" w:eastAsia="zh-CN"/>
        </w:rPr>
        <w:t>0</w:t>
      </w:r>
      <w:r>
        <w:rPr>
          <w:rFonts w:hint="eastAsia"/>
        </w:rPr>
        <w:t>万元)；公务接待费</w:t>
      </w:r>
      <w:r>
        <w:rPr>
          <w:rFonts w:hint="eastAsia"/>
          <w:lang w:val="en-US" w:eastAsia="zh-CN"/>
        </w:rPr>
        <w:t>0.5</w:t>
      </w:r>
      <w:r>
        <w:rPr>
          <w:rFonts w:hint="eastAsia"/>
        </w:rPr>
        <w:t>万元。公务接待费与202</w:t>
      </w:r>
      <w:r>
        <w:rPr>
          <w:rFonts w:hint="eastAsia"/>
          <w:lang w:val="en-US" w:eastAsia="zh-CN"/>
        </w:rPr>
        <w:t>1</w:t>
      </w:r>
      <w:r>
        <w:rPr>
          <w:rFonts w:hint="eastAsia"/>
        </w:rPr>
        <w:t>年相比</w:t>
      </w:r>
      <w:r>
        <w:rPr>
          <w:rFonts w:hint="eastAsia"/>
          <w:lang w:val="en-US" w:eastAsia="zh-CN"/>
        </w:rPr>
        <w:t>增加0.2</w:t>
      </w:r>
      <w:r>
        <w:rPr>
          <w:rFonts w:hint="eastAsia"/>
        </w:rPr>
        <w:t>万元，</w:t>
      </w:r>
      <w:r>
        <w:rPr>
          <w:rFonts w:hint="eastAsia"/>
          <w:lang w:val="en-US" w:eastAsia="zh-CN"/>
        </w:rPr>
        <w:t>增加</w:t>
      </w:r>
      <w:r>
        <w:rPr>
          <w:rFonts w:hint="eastAsia"/>
        </w:rPr>
        <w:t>的主要原因是：</w:t>
      </w:r>
      <w:r>
        <w:t>我单位</w:t>
      </w:r>
      <w:r>
        <w:rPr>
          <w:rFonts w:hint="eastAsia"/>
          <w:lang w:val="en-US" w:eastAsia="zh-CN"/>
        </w:rPr>
        <w:t>本年度工作任务较多</w:t>
      </w:r>
      <w:r>
        <w:t>，</w:t>
      </w:r>
      <w:r>
        <w:rPr>
          <w:rFonts w:hint="eastAsia"/>
          <w:lang w:val="en-US" w:eastAsia="zh-CN"/>
        </w:rPr>
        <w:t>故</w:t>
      </w:r>
      <w:r>
        <w:t>客商接待工作</w:t>
      </w:r>
      <w:r>
        <w:rPr>
          <w:rFonts w:hint="eastAsia"/>
          <w:lang w:val="en-US" w:eastAsia="zh-CN"/>
        </w:rPr>
        <w:t>有所增加</w:t>
      </w:r>
      <w:r>
        <w:t>。</w:t>
      </w:r>
    </w:p>
    <w:p>
      <w:pPr>
        <w:spacing w:before="10" w:after="10"/>
        <w:ind w:firstLine="640"/>
        <w:outlineLvl w:val="5"/>
      </w:pPr>
      <w:r>
        <w:rPr>
          <w:rFonts w:ascii="黑体" w:hAnsi="黑体" w:eastAsia="黑体" w:cs="黑体"/>
          <w:color w:val="000000"/>
          <w:sz w:val="32"/>
        </w:rPr>
        <w:t>五、预算绩效信息</w:t>
      </w:r>
    </w:p>
    <w:p>
      <w:pPr>
        <w:pStyle w:val="26"/>
        <w:ind w:firstLine="560"/>
      </w:pPr>
      <w:r>
        <w:rPr>
          <w:rFonts w:ascii="方正仿宋_GBK" w:hAnsi="方正仿宋_GBK" w:eastAsia="方正仿宋_GBK" w:cs="方正仿宋_GBK"/>
          <w:b/>
          <w:color w:val="000000"/>
          <w:sz w:val="28"/>
        </w:rPr>
        <w:t>1、成品油市场监督监管专项绩效目标表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w:t>
            </w:r>
            <w:r>
              <w:rPr>
                <w:rFonts w:hint="eastAsia" w:ascii="宋体" w:hAnsi="宋体" w:eastAsia="宋体" w:cs="宋体"/>
              </w:rPr>
              <w:t xml:space="preserve"> </w:t>
            </w:r>
            <w:r>
              <w:rPr>
                <w:rFonts w:hint="eastAsia"/>
              </w:rPr>
              <w:t>做好我县成品油市场治理工作</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巡查加油站</w:t>
            </w:r>
          </w:p>
        </w:tc>
        <w:tc>
          <w:tcPr>
            <w:tcW w:w="2835" w:type="dxa"/>
            <w:vAlign w:val="center"/>
          </w:tcPr>
          <w:p>
            <w:pPr>
              <w:pStyle w:val="28"/>
            </w:pPr>
            <w:r>
              <w:t>全年检查加油站个数</w:t>
            </w:r>
          </w:p>
        </w:tc>
        <w:tc>
          <w:tcPr>
            <w:tcW w:w="2551" w:type="dxa"/>
            <w:vAlign w:val="center"/>
          </w:tcPr>
          <w:p>
            <w:pPr>
              <w:pStyle w:val="28"/>
            </w:pPr>
            <w:r>
              <w:t>≥50检查加油站个数</w:t>
            </w:r>
          </w:p>
        </w:tc>
        <w:tc>
          <w:tcPr>
            <w:tcW w:w="2268" w:type="dxa"/>
            <w:vAlign w:val="center"/>
          </w:tcPr>
          <w:p>
            <w:pPr>
              <w:pStyle w:val="28"/>
            </w:pPr>
            <w:r>
              <w:t>根据县域加油站数量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按照上级要求管理加油站</w:t>
            </w:r>
          </w:p>
        </w:tc>
        <w:tc>
          <w:tcPr>
            <w:tcW w:w="2835" w:type="dxa"/>
            <w:vAlign w:val="center"/>
          </w:tcPr>
          <w:p>
            <w:pPr>
              <w:pStyle w:val="28"/>
            </w:pPr>
            <w:r>
              <w:t>按照上级要求管理加油站</w:t>
            </w:r>
          </w:p>
        </w:tc>
        <w:tc>
          <w:tcPr>
            <w:tcW w:w="2551" w:type="dxa"/>
            <w:vAlign w:val="center"/>
          </w:tcPr>
          <w:p>
            <w:pPr>
              <w:pStyle w:val="28"/>
            </w:pPr>
            <w:r>
              <w:t>≥90执行率</w:t>
            </w:r>
          </w:p>
        </w:tc>
        <w:tc>
          <w:tcPr>
            <w:tcW w:w="2268" w:type="dxa"/>
            <w:vAlign w:val="center"/>
          </w:tcPr>
          <w:p>
            <w:pPr>
              <w:pStyle w:val="28"/>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巡查黑加油点</w:t>
            </w:r>
          </w:p>
        </w:tc>
        <w:tc>
          <w:tcPr>
            <w:tcW w:w="2835" w:type="dxa"/>
            <w:vAlign w:val="center"/>
          </w:tcPr>
          <w:p>
            <w:pPr>
              <w:pStyle w:val="28"/>
            </w:pPr>
            <w:r>
              <w:t>全年组织开展联合检查5次以上</w:t>
            </w:r>
          </w:p>
        </w:tc>
        <w:tc>
          <w:tcPr>
            <w:tcW w:w="2551" w:type="dxa"/>
            <w:vAlign w:val="center"/>
          </w:tcPr>
          <w:p>
            <w:pPr>
              <w:pStyle w:val="28"/>
            </w:pPr>
            <w:r>
              <w:t>≥5开展联查次数</w:t>
            </w:r>
          </w:p>
        </w:tc>
        <w:tc>
          <w:tcPr>
            <w:tcW w:w="2268" w:type="dxa"/>
            <w:vAlign w:val="center"/>
          </w:tcPr>
          <w:p>
            <w:pPr>
              <w:pStyle w:val="28"/>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成品油项目支出</w:t>
            </w:r>
          </w:p>
        </w:tc>
        <w:tc>
          <w:tcPr>
            <w:tcW w:w="2835" w:type="dxa"/>
            <w:vAlign w:val="center"/>
          </w:tcPr>
          <w:p>
            <w:pPr>
              <w:pStyle w:val="28"/>
            </w:pPr>
            <w:r>
              <w:t>严控成本支出</w:t>
            </w:r>
          </w:p>
        </w:tc>
        <w:tc>
          <w:tcPr>
            <w:tcW w:w="2551" w:type="dxa"/>
            <w:vAlign w:val="center"/>
          </w:tcPr>
          <w:p>
            <w:pPr>
              <w:pStyle w:val="28"/>
            </w:pPr>
            <w:r>
              <w:t>100成本控制率</w:t>
            </w:r>
          </w:p>
        </w:tc>
        <w:tc>
          <w:tcPr>
            <w:tcW w:w="2268" w:type="dxa"/>
            <w:vAlign w:val="center"/>
          </w:tcPr>
          <w:p>
            <w:pPr>
              <w:pStyle w:val="28"/>
            </w:pPr>
            <w:r>
              <w:t>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对黑加油点取缔</w:t>
            </w:r>
          </w:p>
        </w:tc>
        <w:tc>
          <w:tcPr>
            <w:tcW w:w="2835" w:type="dxa"/>
            <w:vAlign w:val="center"/>
          </w:tcPr>
          <w:p>
            <w:pPr>
              <w:pStyle w:val="28"/>
            </w:pPr>
            <w:r>
              <w:t>对全年黑加油点取缔个数</w:t>
            </w:r>
          </w:p>
        </w:tc>
        <w:tc>
          <w:tcPr>
            <w:tcW w:w="2551" w:type="dxa"/>
            <w:vAlign w:val="center"/>
          </w:tcPr>
          <w:p>
            <w:pPr>
              <w:pStyle w:val="28"/>
            </w:pPr>
            <w:r>
              <w:t>≥6取缔黑加油站数量</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生态效益指标</w:t>
            </w:r>
          </w:p>
        </w:tc>
        <w:tc>
          <w:tcPr>
            <w:tcW w:w="2835" w:type="dxa"/>
            <w:vAlign w:val="center"/>
          </w:tcPr>
          <w:p>
            <w:pPr>
              <w:pStyle w:val="28"/>
            </w:pPr>
            <w:r>
              <w:t>全县加油站油气回收正常运行</w:t>
            </w:r>
          </w:p>
        </w:tc>
        <w:tc>
          <w:tcPr>
            <w:tcW w:w="2835" w:type="dxa"/>
            <w:vAlign w:val="center"/>
          </w:tcPr>
          <w:p>
            <w:pPr>
              <w:pStyle w:val="28"/>
            </w:pPr>
            <w:r>
              <w:t>防止大气污染</w:t>
            </w:r>
          </w:p>
        </w:tc>
        <w:tc>
          <w:tcPr>
            <w:tcW w:w="2551" w:type="dxa"/>
            <w:vAlign w:val="center"/>
          </w:tcPr>
          <w:p>
            <w:pPr>
              <w:pStyle w:val="28"/>
            </w:pPr>
            <w:r>
              <w:t>≥95油气回收运行正常率</w:t>
            </w:r>
          </w:p>
        </w:tc>
        <w:tc>
          <w:tcPr>
            <w:tcW w:w="2268" w:type="dxa"/>
            <w:vAlign w:val="center"/>
          </w:tcPr>
          <w:p>
            <w:pPr>
              <w:pStyle w:val="28"/>
            </w:pPr>
            <w:r>
              <w:t>保障油气回收运行正常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保持成品油市场正常秩序</w:t>
            </w:r>
          </w:p>
        </w:tc>
        <w:tc>
          <w:tcPr>
            <w:tcW w:w="2835" w:type="dxa"/>
            <w:vAlign w:val="center"/>
          </w:tcPr>
          <w:p>
            <w:pPr>
              <w:pStyle w:val="28"/>
            </w:pPr>
            <w:r>
              <w:t>维护成品油市场秩序</w:t>
            </w:r>
          </w:p>
        </w:tc>
        <w:tc>
          <w:tcPr>
            <w:tcW w:w="2551" w:type="dxa"/>
            <w:vAlign w:val="center"/>
          </w:tcPr>
          <w:p>
            <w:pPr>
              <w:pStyle w:val="28"/>
            </w:pPr>
            <w:r>
              <w:t>100正常营业率</w:t>
            </w:r>
          </w:p>
        </w:tc>
        <w:tc>
          <w:tcPr>
            <w:tcW w:w="2268" w:type="dxa"/>
            <w:vAlign w:val="center"/>
          </w:tcPr>
          <w:p>
            <w:pPr>
              <w:pStyle w:val="28"/>
            </w:pPr>
            <w:r>
              <w:t>保障县域加油站正常营业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≥95服务对象满意度</w:t>
            </w:r>
          </w:p>
        </w:tc>
        <w:tc>
          <w:tcPr>
            <w:tcW w:w="2268" w:type="dxa"/>
            <w:vAlign w:val="center"/>
          </w:tcPr>
          <w:p>
            <w:pPr>
              <w:pStyle w:val="28"/>
            </w:pPr>
            <w:r>
              <w:t>服务对象满意度</w:t>
            </w:r>
          </w:p>
        </w:tc>
      </w:tr>
    </w:tbl>
    <w:p>
      <w:pPr>
        <w:pStyle w:val="26"/>
      </w:pPr>
    </w:p>
    <w:p>
      <w:pPr>
        <w:pStyle w:val="26"/>
        <w:ind w:firstLine="560"/>
      </w:pPr>
      <w:r>
        <w:rPr>
          <w:rFonts w:ascii="方正仿宋_GBK" w:hAnsi="方正仿宋_GBK" w:eastAsia="方正仿宋_GBK" w:cs="方正仿宋_GBK"/>
          <w:b/>
          <w:color w:val="000000"/>
          <w:sz w:val="28"/>
        </w:rPr>
        <w:t>2、促消费稳增长专项绩效目标表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rPr>
                <w:rFonts w:hint="eastAsia" w:eastAsiaTheme="minorEastAsia"/>
                <w:lang w:eastAsia="zh-CN"/>
              </w:rPr>
            </w:pPr>
            <w:r>
              <w:t>1.</w:t>
            </w:r>
            <w:r>
              <w:rPr>
                <w:rFonts w:hint="eastAsia" w:ascii="宋体" w:hAnsi="宋体" w:eastAsia="宋体" w:cs="宋体"/>
              </w:rPr>
              <w:t xml:space="preserve"> </w:t>
            </w:r>
            <w:r>
              <w:rPr>
                <w:rFonts w:hint="eastAsia"/>
              </w:rPr>
              <w:t>发放消费券促进我县消费增长</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鼓励本地商贸龙头企业个数</w:t>
            </w:r>
          </w:p>
        </w:tc>
        <w:tc>
          <w:tcPr>
            <w:tcW w:w="2835" w:type="dxa"/>
            <w:vAlign w:val="center"/>
          </w:tcPr>
          <w:p>
            <w:pPr>
              <w:pStyle w:val="28"/>
            </w:pPr>
            <w:r>
              <w:t>鼓励本地商贸龙头企业参与促销费活动</w:t>
            </w:r>
          </w:p>
        </w:tc>
        <w:tc>
          <w:tcPr>
            <w:tcW w:w="2551" w:type="dxa"/>
            <w:vAlign w:val="center"/>
          </w:tcPr>
          <w:p>
            <w:pPr>
              <w:pStyle w:val="28"/>
            </w:pPr>
            <w:r>
              <w:t>≥5商贸龙头企业个数</w:t>
            </w:r>
          </w:p>
        </w:tc>
        <w:tc>
          <w:tcPr>
            <w:tcW w:w="2268" w:type="dxa"/>
            <w:vAlign w:val="center"/>
          </w:tcPr>
          <w:p>
            <w:pPr>
              <w:pStyle w:val="28"/>
            </w:pPr>
            <w:r>
              <w:t>商贸龙头企业个数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加大限上企业培育力度</w:t>
            </w:r>
          </w:p>
        </w:tc>
        <w:tc>
          <w:tcPr>
            <w:tcW w:w="2835" w:type="dxa"/>
            <w:vAlign w:val="center"/>
          </w:tcPr>
          <w:p>
            <w:pPr>
              <w:pStyle w:val="28"/>
            </w:pPr>
            <w:r>
              <w:t>培育限上企业入统</w:t>
            </w:r>
          </w:p>
        </w:tc>
        <w:tc>
          <w:tcPr>
            <w:tcW w:w="2551" w:type="dxa"/>
            <w:vAlign w:val="center"/>
          </w:tcPr>
          <w:p>
            <w:pPr>
              <w:pStyle w:val="28"/>
            </w:pPr>
            <w:r>
              <w:t>≥7限上企业入统数量</w:t>
            </w:r>
          </w:p>
        </w:tc>
        <w:tc>
          <w:tcPr>
            <w:tcW w:w="2268" w:type="dxa"/>
            <w:vAlign w:val="center"/>
          </w:tcPr>
          <w:p>
            <w:pPr>
              <w:pStyle w:val="28"/>
            </w:pPr>
            <w:r>
              <w:t>申报入统企业数量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按期发放政府消费券</w:t>
            </w:r>
          </w:p>
        </w:tc>
        <w:tc>
          <w:tcPr>
            <w:tcW w:w="2835" w:type="dxa"/>
            <w:vAlign w:val="center"/>
          </w:tcPr>
          <w:p>
            <w:pPr>
              <w:pStyle w:val="28"/>
            </w:pPr>
            <w:r>
              <w:t>按期发放政府消费券</w:t>
            </w:r>
          </w:p>
        </w:tc>
        <w:tc>
          <w:tcPr>
            <w:tcW w:w="2551" w:type="dxa"/>
            <w:vAlign w:val="center"/>
          </w:tcPr>
          <w:p>
            <w:pPr>
              <w:pStyle w:val="28"/>
            </w:pPr>
            <w:r>
              <w:t>100按期发放率</w:t>
            </w:r>
          </w:p>
        </w:tc>
        <w:tc>
          <w:tcPr>
            <w:tcW w:w="2268" w:type="dxa"/>
            <w:vAlign w:val="center"/>
          </w:tcPr>
          <w:p>
            <w:pPr>
              <w:pStyle w:val="28"/>
            </w:pPr>
            <w:r>
              <w:t>政府要求时间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预算不超标</w:t>
            </w:r>
          </w:p>
        </w:tc>
        <w:tc>
          <w:tcPr>
            <w:tcW w:w="2835" w:type="dxa"/>
            <w:vAlign w:val="center"/>
          </w:tcPr>
          <w:p>
            <w:pPr>
              <w:pStyle w:val="28"/>
            </w:pPr>
            <w:r>
              <w:t>严控消费券实际成本</w:t>
            </w:r>
          </w:p>
        </w:tc>
        <w:tc>
          <w:tcPr>
            <w:tcW w:w="2551" w:type="dxa"/>
            <w:vAlign w:val="center"/>
          </w:tcPr>
          <w:p>
            <w:pPr>
              <w:pStyle w:val="28"/>
            </w:pPr>
            <w:r>
              <w:t>≥95预算执行率</w:t>
            </w:r>
          </w:p>
        </w:tc>
        <w:tc>
          <w:tcPr>
            <w:tcW w:w="2268" w:type="dxa"/>
            <w:vAlign w:val="center"/>
          </w:tcPr>
          <w:p>
            <w:pPr>
              <w:pStyle w:val="28"/>
            </w:pPr>
            <w:r>
              <w:t>预算申请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激发消费热情，带动消费</w:t>
            </w:r>
          </w:p>
        </w:tc>
        <w:tc>
          <w:tcPr>
            <w:tcW w:w="2835" w:type="dxa"/>
            <w:vAlign w:val="center"/>
          </w:tcPr>
          <w:p>
            <w:pPr>
              <w:pStyle w:val="28"/>
            </w:pPr>
            <w:r>
              <w:t>拉动消费金额</w:t>
            </w:r>
          </w:p>
        </w:tc>
        <w:tc>
          <w:tcPr>
            <w:tcW w:w="2551" w:type="dxa"/>
            <w:vAlign w:val="center"/>
          </w:tcPr>
          <w:p>
            <w:pPr>
              <w:pStyle w:val="28"/>
            </w:pPr>
            <w:r>
              <w:t>≥8000拉动消费金额/万元</w:t>
            </w:r>
          </w:p>
        </w:tc>
        <w:tc>
          <w:tcPr>
            <w:tcW w:w="2268" w:type="dxa"/>
            <w:vAlign w:val="center"/>
          </w:tcPr>
          <w:p>
            <w:pPr>
              <w:pStyle w:val="28"/>
            </w:pPr>
            <w:r>
              <w:t>预计带动消费情况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≥90服务对象满意度</w:t>
            </w:r>
          </w:p>
        </w:tc>
        <w:tc>
          <w:tcPr>
            <w:tcW w:w="2268" w:type="dxa"/>
            <w:vAlign w:val="center"/>
          </w:tcPr>
          <w:p>
            <w:pPr>
              <w:pStyle w:val="28"/>
            </w:pPr>
            <w:r>
              <w:t>服务对象满意度</w:t>
            </w:r>
          </w:p>
        </w:tc>
      </w:tr>
    </w:tbl>
    <w:p>
      <w:pPr>
        <w:pStyle w:val="26"/>
      </w:pPr>
    </w:p>
    <w:p>
      <w:pPr>
        <w:pStyle w:val="26"/>
        <w:ind w:firstLine="560"/>
      </w:pPr>
      <w:r>
        <w:rPr>
          <w:rFonts w:ascii="方正仿宋_GBK" w:hAnsi="方正仿宋_GBK" w:eastAsia="方正仿宋_GBK" w:cs="方正仿宋_GBK"/>
          <w:b/>
          <w:color w:val="000000"/>
          <w:sz w:val="28"/>
        </w:rPr>
        <w:t>3、电子商务专项绩效目标表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w:t>
            </w:r>
            <w:r>
              <w:rPr>
                <w:rFonts w:hint="eastAsia" w:ascii="宋体" w:hAnsi="宋体" w:eastAsia="宋体" w:cs="宋体"/>
              </w:rPr>
              <w:t xml:space="preserve"> </w:t>
            </w:r>
            <w:r>
              <w:rPr>
                <w:rFonts w:hint="eastAsia"/>
              </w:rPr>
              <w:t>提升公共服务体系加强对电商数据的采集和分析</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建设县级农村电子商务公共服务中心</w:t>
            </w:r>
          </w:p>
        </w:tc>
        <w:tc>
          <w:tcPr>
            <w:tcW w:w="2835" w:type="dxa"/>
            <w:vAlign w:val="center"/>
          </w:tcPr>
          <w:p>
            <w:pPr>
              <w:pStyle w:val="28"/>
            </w:pPr>
            <w:r>
              <w:t>县级农村电子商务公共服务中心</w:t>
            </w:r>
          </w:p>
        </w:tc>
        <w:tc>
          <w:tcPr>
            <w:tcW w:w="2551" w:type="dxa"/>
            <w:vAlign w:val="center"/>
          </w:tcPr>
          <w:p>
            <w:pPr>
              <w:pStyle w:val="28"/>
            </w:pPr>
            <w:r>
              <w:t>≥1建设县级农村电子商务公共服务中心个数</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对乡村振兴和扶贫脱贫攻坚的促进作用</w:t>
            </w:r>
          </w:p>
        </w:tc>
        <w:tc>
          <w:tcPr>
            <w:tcW w:w="2835" w:type="dxa"/>
            <w:vAlign w:val="center"/>
          </w:tcPr>
          <w:p>
            <w:pPr>
              <w:pStyle w:val="28"/>
            </w:pPr>
            <w:r>
              <w:t>对乡村振兴和扶贫脱贫攻坚的促进作用</w:t>
            </w:r>
          </w:p>
        </w:tc>
        <w:tc>
          <w:tcPr>
            <w:tcW w:w="2551" w:type="dxa"/>
            <w:vAlign w:val="center"/>
          </w:tcPr>
          <w:p>
            <w:pPr>
              <w:pStyle w:val="28"/>
            </w:pPr>
            <w:r>
              <w:t>≥1预计网络销售额/年/亿</w:t>
            </w:r>
          </w:p>
        </w:tc>
        <w:tc>
          <w:tcPr>
            <w:tcW w:w="2268" w:type="dxa"/>
            <w:vAlign w:val="center"/>
          </w:tcPr>
          <w:p>
            <w:pPr>
              <w:pStyle w:val="28"/>
            </w:pPr>
            <w:r>
              <w:t>预计销售额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按时完成农村电商公共服务中心建设工作</w:t>
            </w:r>
          </w:p>
        </w:tc>
        <w:tc>
          <w:tcPr>
            <w:tcW w:w="2835" w:type="dxa"/>
            <w:vAlign w:val="center"/>
          </w:tcPr>
          <w:p>
            <w:pPr>
              <w:pStyle w:val="28"/>
            </w:pPr>
            <w:r>
              <w:t>按时完成农村电商公共服务中心建设工作</w:t>
            </w:r>
          </w:p>
        </w:tc>
        <w:tc>
          <w:tcPr>
            <w:tcW w:w="2551" w:type="dxa"/>
            <w:vAlign w:val="center"/>
          </w:tcPr>
          <w:p>
            <w:pPr>
              <w:pStyle w:val="28"/>
            </w:pPr>
            <w:r>
              <w:t>≥90按时完成率</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建设成本支出</w:t>
            </w:r>
          </w:p>
        </w:tc>
        <w:tc>
          <w:tcPr>
            <w:tcW w:w="2835" w:type="dxa"/>
            <w:vAlign w:val="center"/>
          </w:tcPr>
          <w:p>
            <w:pPr>
              <w:pStyle w:val="28"/>
            </w:pPr>
            <w:r>
              <w:t>严控成本</w:t>
            </w:r>
          </w:p>
        </w:tc>
        <w:tc>
          <w:tcPr>
            <w:tcW w:w="2551" w:type="dxa"/>
            <w:vAlign w:val="center"/>
          </w:tcPr>
          <w:p>
            <w:pPr>
              <w:pStyle w:val="28"/>
            </w:pPr>
            <w:r>
              <w:t>100预算不超标</w:t>
            </w:r>
          </w:p>
        </w:tc>
        <w:tc>
          <w:tcPr>
            <w:tcW w:w="2268" w:type="dxa"/>
            <w:vAlign w:val="center"/>
          </w:tcPr>
          <w:p>
            <w:pPr>
              <w:pStyle w:val="28"/>
            </w:pPr>
            <w:r>
              <w:t>预算标准</w:t>
            </w:r>
          </w:p>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电商交易额增长</w:t>
            </w:r>
          </w:p>
        </w:tc>
        <w:tc>
          <w:tcPr>
            <w:tcW w:w="2835" w:type="dxa"/>
            <w:vAlign w:val="center"/>
          </w:tcPr>
          <w:p>
            <w:pPr>
              <w:pStyle w:val="28"/>
            </w:pPr>
            <w:r>
              <w:t>全年电商交易额增长数</w:t>
            </w:r>
          </w:p>
        </w:tc>
        <w:tc>
          <w:tcPr>
            <w:tcW w:w="2551" w:type="dxa"/>
            <w:vAlign w:val="center"/>
          </w:tcPr>
          <w:p>
            <w:pPr>
              <w:pStyle w:val="28"/>
            </w:pPr>
            <w:r>
              <w:t>≥10电商交易额增长百分比</w:t>
            </w:r>
          </w:p>
        </w:tc>
        <w:tc>
          <w:tcPr>
            <w:tcW w:w="2268" w:type="dxa"/>
            <w:vAlign w:val="center"/>
          </w:tcPr>
          <w:p>
            <w:pPr>
              <w:pStyle w:val="28"/>
            </w:pPr>
            <w:r>
              <w:t>平均增长率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改善物流配送体系</w:t>
            </w:r>
          </w:p>
        </w:tc>
        <w:tc>
          <w:tcPr>
            <w:tcW w:w="2835" w:type="dxa"/>
            <w:vAlign w:val="center"/>
          </w:tcPr>
          <w:p>
            <w:pPr>
              <w:pStyle w:val="28"/>
            </w:pPr>
            <w:r>
              <w:t>改善物流配送体系</w:t>
            </w:r>
          </w:p>
        </w:tc>
        <w:tc>
          <w:tcPr>
            <w:tcW w:w="2551" w:type="dxa"/>
            <w:vAlign w:val="center"/>
          </w:tcPr>
          <w:p>
            <w:pPr>
              <w:pStyle w:val="28"/>
            </w:pPr>
            <w:r>
              <w:t>≥1对物流企业的补贴个数</w:t>
            </w:r>
          </w:p>
        </w:tc>
        <w:tc>
          <w:tcPr>
            <w:tcW w:w="2268" w:type="dxa"/>
            <w:vAlign w:val="center"/>
          </w:tcPr>
          <w:p>
            <w:pPr>
              <w:pStyle w:val="28"/>
            </w:pPr>
            <w:r>
              <w:t>持续有效改善物流配送体系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≥95服务对象满意度</w:t>
            </w:r>
          </w:p>
        </w:tc>
        <w:tc>
          <w:tcPr>
            <w:tcW w:w="2268" w:type="dxa"/>
            <w:vAlign w:val="center"/>
          </w:tcPr>
          <w:p>
            <w:pPr>
              <w:pStyle w:val="28"/>
            </w:pPr>
            <w:r>
              <w:t>服务对象满意度</w:t>
            </w:r>
          </w:p>
        </w:tc>
      </w:tr>
    </w:tbl>
    <w:p>
      <w:pPr>
        <w:pStyle w:val="26"/>
      </w:pPr>
    </w:p>
    <w:p>
      <w:pPr>
        <w:pStyle w:val="26"/>
        <w:ind w:firstLine="560"/>
      </w:pPr>
      <w:r>
        <w:rPr>
          <w:rFonts w:ascii="方正仿宋_GBK" w:hAnsi="方正仿宋_GBK" w:eastAsia="方正仿宋_GBK" w:cs="方正仿宋_GBK"/>
          <w:b/>
          <w:color w:val="000000"/>
          <w:sz w:val="28"/>
        </w:rPr>
        <w:t>4、冀财建【2021】192号/中央/2022年中央服务业发展资金/电子商务示范县绩效目标表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w:t>
            </w:r>
            <w:r>
              <w:rPr>
                <w:rFonts w:hint="eastAsia" w:ascii="宋体" w:hAnsi="宋体" w:eastAsia="宋体" w:cs="宋体"/>
              </w:rPr>
              <w:t xml:space="preserve"> </w:t>
            </w:r>
            <w:r>
              <w:rPr>
                <w:rFonts w:hint="eastAsia"/>
              </w:rPr>
              <w:t>开发和推广农村网络商品，使农村流通现代化水平明显提升，农村网络零售额显著增长。</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农村电商服务在行政村服务覆盖率</w:t>
            </w:r>
          </w:p>
        </w:tc>
        <w:tc>
          <w:tcPr>
            <w:tcW w:w="2835" w:type="dxa"/>
            <w:vAlign w:val="center"/>
          </w:tcPr>
          <w:p>
            <w:pPr>
              <w:pStyle w:val="28"/>
            </w:pPr>
            <w:r>
              <w:t>农村电商服务在行政村服务覆盖率</w:t>
            </w:r>
          </w:p>
        </w:tc>
        <w:tc>
          <w:tcPr>
            <w:tcW w:w="2551" w:type="dxa"/>
            <w:vAlign w:val="center"/>
          </w:tcPr>
          <w:p>
            <w:pPr>
              <w:pStyle w:val="28"/>
            </w:pPr>
            <w:r>
              <w:t>≥50个</w:t>
            </w:r>
          </w:p>
        </w:tc>
        <w:tc>
          <w:tcPr>
            <w:tcW w:w="2268" w:type="dxa"/>
            <w:vAlign w:val="center"/>
          </w:tcPr>
          <w:p>
            <w:pPr>
              <w:pStyle w:val="28"/>
            </w:pPr>
            <w:r>
              <w:t>农村电商服务是否达到要求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完善企业标准，提升农产品标准化程度</w:t>
            </w:r>
          </w:p>
        </w:tc>
        <w:tc>
          <w:tcPr>
            <w:tcW w:w="2835" w:type="dxa"/>
            <w:vAlign w:val="center"/>
          </w:tcPr>
          <w:p>
            <w:pPr>
              <w:pStyle w:val="28"/>
            </w:pPr>
            <w:r>
              <w:t>完善企业标准，提升农产品标准化程度</w:t>
            </w:r>
          </w:p>
        </w:tc>
        <w:tc>
          <w:tcPr>
            <w:tcW w:w="2551" w:type="dxa"/>
            <w:vAlign w:val="center"/>
          </w:tcPr>
          <w:p>
            <w:pPr>
              <w:pStyle w:val="28"/>
            </w:pPr>
            <w:r>
              <w:t>≥1个</w:t>
            </w:r>
          </w:p>
        </w:tc>
        <w:tc>
          <w:tcPr>
            <w:tcW w:w="2268" w:type="dxa"/>
            <w:vAlign w:val="center"/>
          </w:tcPr>
          <w:p>
            <w:pPr>
              <w:pStyle w:val="28"/>
            </w:pPr>
            <w:r>
              <w:t>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开展电商培训</w:t>
            </w:r>
          </w:p>
        </w:tc>
        <w:tc>
          <w:tcPr>
            <w:tcW w:w="2835" w:type="dxa"/>
            <w:vAlign w:val="center"/>
          </w:tcPr>
          <w:p>
            <w:pPr>
              <w:pStyle w:val="28"/>
            </w:pPr>
            <w:r>
              <w:t>开展电商培训</w:t>
            </w:r>
          </w:p>
        </w:tc>
        <w:tc>
          <w:tcPr>
            <w:tcW w:w="2551" w:type="dxa"/>
            <w:vAlign w:val="center"/>
          </w:tcPr>
          <w:p>
            <w:pPr>
              <w:pStyle w:val="28"/>
            </w:pPr>
            <w:r>
              <w:t>≥3000人</w:t>
            </w:r>
          </w:p>
        </w:tc>
        <w:tc>
          <w:tcPr>
            <w:tcW w:w="2268" w:type="dxa"/>
            <w:vAlign w:val="center"/>
          </w:tcPr>
          <w:p>
            <w:pPr>
              <w:pStyle w:val="28"/>
            </w:pPr>
            <w:r>
              <w:t>人数是否达标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w:t>
            </w:r>
          </w:p>
        </w:tc>
        <w:tc>
          <w:tcPr>
            <w:tcW w:w="2835" w:type="dxa"/>
            <w:vAlign w:val="center"/>
          </w:tcPr>
          <w:p>
            <w:pPr>
              <w:pStyle w:val="28"/>
            </w:pPr>
            <w:r>
              <w:t>预算</w:t>
            </w:r>
          </w:p>
        </w:tc>
        <w:tc>
          <w:tcPr>
            <w:tcW w:w="2551" w:type="dxa"/>
            <w:vAlign w:val="center"/>
          </w:tcPr>
          <w:p>
            <w:pPr>
              <w:pStyle w:val="28"/>
            </w:pPr>
            <w:r>
              <w:t>1000万元</w:t>
            </w:r>
          </w:p>
        </w:tc>
        <w:tc>
          <w:tcPr>
            <w:tcW w:w="2268" w:type="dxa"/>
            <w:vAlign w:val="center"/>
          </w:tcPr>
          <w:p>
            <w:pPr>
              <w:pStyle w:val="28"/>
            </w:pPr>
            <w:r>
              <w:t>是否超预算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农产品网络零售额同比增速</w:t>
            </w:r>
          </w:p>
        </w:tc>
        <w:tc>
          <w:tcPr>
            <w:tcW w:w="2835" w:type="dxa"/>
            <w:vAlign w:val="center"/>
          </w:tcPr>
          <w:p>
            <w:pPr>
              <w:pStyle w:val="28"/>
            </w:pPr>
            <w:r>
              <w:t>农产品网络零售额同比增速</w:t>
            </w:r>
          </w:p>
        </w:tc>
        <w:tc>
          <w:tcPr>
            <w:tcW w:w="2551" w:type="dxa"/>
            <w:vAlign w:val="center"/>
          </w:tcPr>
          <w:p>
            <w:pPr>
              <w:pStyle w:val="28"/>
            </w:pPr>
            <w:r>
              <w:t>≥10%</w:t>
            </w:r>
          </w:p>
        </w:tc>
        <w:tc>
          <w:tcPr>
            <w:tcW w:w="2268" w:type="dxa"/>
            <w:vAlign w:val="center"/>
          </w:tcPr>
          <w:p>
            <w:pPr>
              <w:pStyle w:val="28"/>
            </w:pPr>
            <w:r>
              <w:t>是否达到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促进电商精准帮扶，对接电商企业帮扶项目</w:t>
            </w:r>
          </w:p>
        </w:tc>
        <w:tc>
          <w:tcPr>
            <w:tcW w:w="2835" w:type="dxa"/>
            <w:vAlign w:val="center"/>
          </w:tcPr>
          <w:p>
            <w:pPr>
              <w:pStyle w:val="28"/>
            </w:pPr>
            <w:r>
              <w:t>促进电商精准帮扶对电商企业帮扶项目</w:t>
            </w:r>
          </w:p>
        </w:tc>
        <w:tc>
          <w:tcPr>
            <w:tcW w:w="2551" w:type="dxa"/>
            <w:vAlign w:val="center"/>
          </w:tcPr>
          <w:p>
            <w:pPr>
              <w:pStyle w:val="28"/>
            </w:pPr>
            <w:r>
              <w:t>≥2个</w:t>
            </w:r>
          </w:p>
        </w:tc>
        <w:tc>
          <w:tcPr>
            <w:tcW w:w="2268" w:type="dxa"/>
            <w:vAlign w:val="center"/>
          </w:tcPr>
          <w:p>
            <w:pPr>
              <w:pStyle w:val="28"/>
            </w:pPr>
            <w:r>
              <w:t>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生态效益指标</w:t>
            </w:r>
          </w:p>
        </w:tc>
        <w:tc>
          <w:tcPr>
            <w:tcW w:w="2835" w:type="dxa"/>
            <w:vAlign w:val="center"/>
          </w:tcPr>
          <w:p>
            <w:pPr>
              <w:pStyle w:val="28"/>
            </w:pPr>
            <w:r>
              <w:t>农村网络零售额同比增速</w:t>
            </w:r>
          </w:p>
        </w:tc>
        <w:tc>
          <w:tcPr>
            <w:tcW w:w="2835" w:type="dxa"/>
            <w:vAlign w:val="center"/>
          </w:tcPr>
          <w:p>
            <w:pPr>
              <w:pStyle w:val="28"/>
            </w:pPr>
            <w:r>
              <w:t>农村网络零售额同比增速</w:t>
            </w:r>
          </w:p>
        </w:tc>
        <w:tc>
          <w:tcPr>
            <w:tcW w:w="2551" w:type="dxa"/>
            <w:vAlign w:val="center"/>
          </w:tcPr>
          <w:p>
            <w:pPr>
              <w:pStyle w:val="28"/>
            </w:pPr>
            <w:r>
              <w:t>≥10%</w:t>
            </w:r>
          </w:p>
        </w:tc>
        <w:tc>
          <w:tcPr>
            <w:tcW w:w="2268" w:type="dxa"/>
            <w:vAlign w:val="center"/>
          </w:tcPr>
          <w:p>
            <w:pPr>
              <w:pStyle w:val="28"/>
            </w:pPr>
            <w:r>
              <w:t>增速是否达标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提升农产品品牌化程度</w:t>
            </w:r>
          </w:p>
        </w:tc>
        <w:tc>
          <w:tcPr>
            <w:tcW w:w="2835" w:type="dxa"/>
            <w:vAlign w:val="center"/>
          </w:tcPr>
          <w:p>
            <w:pPr>
              <w:pStyle w:val="28"/>
            </w:pPr>
            <w:r>
              <w:t>提升农产品品牌化程度</w:t>
            </w:r>
          </w:p>
        </w:tc>
        <w:tc>
          <w:tcPr>
            <w:tcW w:w="2551" w:type="dxa"/>
            <w:vAlign w:val="center"/>
          </w:tcPr>
          <w:p>
            <w:pPr>
              <w:pStyle w:val="28"/>
            </w:pPr>
            <w:r>
              <w:t>≥1个</w:t>
            </w:r>
          </w:p>
        </w:tc>
        <w:tc>
          <w:tcPr>
            <w:tcW w:w="2268" w:type="dxa"/>
            <w:vAlign w:val="center"/>
          </w:tcPr>
          <w:p>
            <w:pPr>
              <w:pStyle w:val="28"/>
            </w:pPr>
            <w:r>
              <w:t>能否提升产品品牌化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企业满意度</w:t>
            </w:r>
          </w:p>
        </w:tc>
        <w:tc>
          <w:tcPr>
            <w:tcW w:w="2835" w:type="dxa"/>
            <w:vAlign w:val="center"/>
          </w:tcPr>
          <w:p>
            <w:pPr>
              <w:pStyle w:val="28"/>
            </w:pPr>
            <w:r>
              <w:t>企业满意度</w:t>
            </w:r>
          </w:p>
        </w:tc>
        <w:tc>
          <w:tcPr>
            <w:tcW w:w="2551" w:type="dxa"/>
            <w:vAlign w:val="center"/>
          </w:tcPr>
          <w:p>
            <w:pPr>
              <w:pStyle w:val="28"/>
            </w:pPr>
            <w:r>
              <w:t>1个</w:t>
            </w:r>
          </w:p>
        </w:tc>
        <w:tc>
          <w:tcPr>
            <w:tcW w:w="2268" w:type="dxa"/>
            <w:vAlign w:val="center"/>
          </w:tcPr>
          <w:p>
            <w:pPr>
              <w:pStyle w:val="28"/>
            </w:pPr>
            <w:r>
              <w:t>服务企业是否满意</w:t>
            </w:r>
          </w:p>
        </w:tc>
      </w:tr>
    </w:tbl>
    <w:p>
      <w:pPr>
        <w:pStyle w:val="26"/>
      </w:pPr>
    </w:p>
    <w:p>
      <w:pPr>
        <w:pStyle w:val="26"/>
        <w:ind w:firstLine="560"/>
      </w:pPr>
      <w:r>
        <w:rPr>
          <w:rFonts w:ascii="方正仿宋_GBK" w:hAnsi="方正仿宋_GBK" w:eastAsia="方正仿宋_GBK" w:cs="方正仿宋_GBK"/>
          <w:b/>
          <w:color w:val="000000"/>
          <w:sz w:val="28"/>
        </w:rPr>
        <w:t>5、跨境电商专项绩效目标表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w:t>
            </w:r>
            <w:r>
              <w:rPr>
                <w:rFonts w:hint="eastAsia" w:ascii="宋体" w:hAnsi="宋体" w:eastAsia="宋体" w:cs="宋体"/>
              </w:rPr>
              <w:t xml:space="preserve"> </w:t>
            </w:r>
            <w:r>
              <w:rPr>
                <w:rFonts w:hint="eastAsia"/>
              </w:rPr>
              <w:t>加快跨境电商园区建设，鼓励企业开展线上跨境贸易</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增加跨境电商企业</w:t>
            </w:r>
          </w:p>
        </w:tc>
        <w:tc>
          <w:tcPr>
            <w:tcW w:w="2835" w:type="dxa"/>
            <w:vAlign w:val="center"/>
          </w:tcPr>
          <w:p>
            <w:pPr>
              <w:pStyle w:val="28"/>
            </w:pPr>
            <w:r>
              <w:t>全年增加跨境电商企业个数</w:t>
            </w:r>
          </w:p>
        </w:tc>
        <w:tc>
          <w:tcPr>
            <w:tcW w:w="2551" w:type="dxa"/>
            <w:vAlign w:val="center"/>
          </w:tcPr>
          <w:p>
            <w:pPr>
              <w:pStyle w:val="28"/>
            </w:pPr>
            <w:r>
              <w:t>≥5全年增加跨境电商企业</w:t>
            </w:r>
          </w:p>
        </w:tc>
        <w:tc>
          <w:tcPr>
            <w:tcW w:w="2268" w:type="dxa"/>
            <w:vAlign w:val="center"/>
          </w:tcPr>
          <w:p>
            <w:pPr>
              <w:pStyle w:val="28"/>
            </w:pPr>
            <w:r>
              <w:t>增加企业个数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跨境电商企业入驻率</w:t>
            </w:r>
          </w:p>
        </w:tc>
        <w:tc>
          <w:tcPr>
            <w:tcW w:w="2835" w:type="dxa"/>
            <w:vAlign w:val="center"/>
          </w:tcPr>
          <w:p>
            <w:pPr>
              <w:pStyle w:val="28"/>
            </w:pPr>
            <w:r>
              <w:t>全年跨境电商园区企业入驻率</w:t>
            </w:r>
          </w:p>
        </w:tc>
        <w:tc>
          <w:tcPr>
            <w:tcW w:w="2551" w:type="dxa"/>
            <w:vAlign w:val="center"/>
          </w:tcPr>
          <w:p>
            <w:pPr>
              <w:pStyle w:val="28"/>
            </w:pPr>
            <w:r>
              <w:t>≥85跨境电商园区入驻率</w:t>
            </w:r>
          </w:p>
        </w:tc>
        <w:tc>
          <w:tcPr>
            <w:tcW w:w="2268" w:type="dxa"/>
            <w:vAlign w:val="center"/>
          </w:tcPr>
          <w:p>
            <w:pPr>
              <w:pStyle w:val="28"/>
            </w:pPr>
            <w:r>
              <w:t>趋势估计</w:t>
            </w:r>
          </w:p>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完成时间</w:t>
            </w:r>
          </w:p>
        </w:tc>
        <w:tc>
          <w:tcPr>
            <w:tcW w:w="2835" w:type="dxa"/>
            <w:vAlign w:val="center"/>
          </w:tcPr>
          <w:p>
            <w:pPr>
              <w:pStyle w:val="28"/>
            </w:pPr>
            <w:r>
              <w:t>上级安排工作的完成情况</w:t>
            </w:r>
          </w:p>
        </w:tc>
        <w:tc>
          <w:tcPr>
            <w:tcW w:w="2551" w:type="dxa"/>
            <w:vAlign w:val="center"/>
          </w:tcPr>
          <w:p>
            <w:pPr>
              <w:pStyle w:val="28"/>
            </w:pPr>
            <w:r>
              <w:t>≥95按期完成率</w:t>
            </w:r>
          </w:p>
        </w:tc>
        <w:tc>
          <w:tcPr>
            <w:tcW w:w="2268" w:type="dxa"/>
            <w:vAlign w:val="center"/>
          </w:tcPr>
          <w:p>
            <w:pPr>
              <w:pStyle w:val="28"/>
            </w:pPr>
            <w: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跨境电商建设支出</w:t>
            </w:r>
          </w:p>
        </w:tc>
        <w:tc>
          <w:tcPr>
            <w:tcW w:w="2835" w:type="dxa"/>
            <w:vAlign w:val="center"/>
          </w:tcPr>
          <w:p>
            <w:pPr>
              <w:pStyle w:val="28"/>
            </w:pPr>
            <w:r>
              <w:t>按预算严控跨境电商建设支出</w:t>
            </w:r>
          </w:p>
        </w:tc>
        <w:tc>
          <w:tcPr>
            <w:tcW w:w="2551" w:type="dxa"/>
            <w:vAlign w:val="center"/>
          </w:tcPr>
          <w:p>
            <w:pPr>
              <w:pStyle w:val="28"/>
            </w:pPr>
            <w:r>
              <w:t>100严控预算</w:t>
            </w:r>
          </w:p>
        </w:tc>
        <w:tc>
          <w:tcPr>
            <w:tcW w:w="2268" w:type="dxa"/>
            <w:vAlign w:val="center"/>
          </w:tcPr>
          <w:p>
            <w:pPr>
              <w:pStyle w:val="28"/>
            </w:pPr>
            <w:r>
              <w:t>严控预算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对本地企业带来经济效果</w:t>
            </w:r>
          </w:p>
        </w:tc>
        <w:tc>
          <w:tcPr>
            <w:tcW w:w="2835" w:type="dxa"/>
            <w:vAlign w:val="center"/>
          </w:tcPr>
          <w:p>
            <w:pPr>
              <w:pStyle w:val="28"/>
            </w:pPr>
            <w:r>
              <w:t>使本地经济稳定发展</w:t>
            </w:r>
          </w:p>
        </w:tc>
        <w:tc>
          <w:tcPr>
            <w:tcW w:w="2551" w:type="dxa"/>
            <w:vAlign w:val="center"/>
          </w:tcPr>
          <w:p>
            <w:pPr>
              <w:pStyle w:val="28"/>
            </w:pPr>
            <w:r>
              <w:t>≥10预期增长率</w:t>
            </w:r>
          </w:p>
        </w:tc>
        <w:tc>
          <w:tcPr>
            <w:tcW w:w="2268" w:type="dxa"/>
            <w:vAlign w:val="center"/>
          </w:tcPr>
          <w:p>
            <w:pPr>
              <w:pStyle w:val="28"/>
            </w:pPr>
            <w:r>
              <w:t>平均增长率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增加外贸新业态经营模式</w:t>
            </w:r>
          </w:p>
        </w:tc>
        <w:tc>
          <w:tcPr>
            <w:tcW w:w="2835" w:type="dxa"/>
            <w:vAlign w:val="center"/>
          </w:tcPr>
          <w:p>
            <w:pPr>
              <w:pStyle w:val="28"/>
            </w:pPr>
            <w:r>
              <w:t>让外贸新业态影响企业经营思维，改善经营模式</w:t>
            </w:r>
          </w:p>
        </w:tc>
        <w:tc>
          <w:tcPr>
            <w:tcW w:w="2551" w:type="dxa"/>
            <w:vAlign w:val="center"/>
          </w:tcPr>
          <w:p>
            <w:pPr>
              <w:pStyle w:val="28"/>
            </w:pPr>
            <w:r>
              <w:t>≥2企业改善经营思维数量</w:t>
            </w:r>
          </w:p>
        </w:tc>
        <w:tc>
          <w:tcPr>
            <w:tcW w:w="2268" w:type="dxa"/>
            <w:vAlign w:val="center"/>
          </w:tcPr>
          <w:p>
            <w:pPr>
              <w:pStyle w:val="28"/>
            </w:pPr>
            <w:r>
              <w:t>企业竞争力持续提高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≥90服务对象满意度</w:t>
            </w:r>
          </w:p>
        </w:tc>
        <w:tc>
          <w:tcPr>
            <w:tcW w:w="2268" w:type="dxa"/>
            <w:vAlign w:val="center"/>
          </w:tcPr>
          <w:p>
            <w:pPr>
              <w:pStyle w:val="28"/>
            </w:pPr>
            <w:r>
              <w:t>服务对象满意度</w:t>
            </w:r>
          </w:p>
        </w:tc>
      </w:tr>
    </w:tbl>
    <w:p>
      <w:pPr>
        <w:pStyle w:val="26"/>
      </w:pPr>
    </w:p>
    <w:p>
      <w:pPr>
        <w:pStyle w:val="26"/>
        <w:ind w:firstLine="560"/>
      </w:pPr>
      <w:r>
        <w:rPr>
          <w:rFonts w:ascii="方正仿宋_GBK" w:hAnsi="方正仿宋_GBK" w:eastAsia="方正仿宋_GBK" w:cs="方正仿宋_GBK"/>
          <w:b/>
          <w:color w:val="000000"/>
          <w:sz w:val="28"/>
        </w:rPr>
        <w:t>6、名校英才入冀房租补助专项绩效目标表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w:t>
            </w:r>
            <w:r>
              <w:rPr>
                <w:rFonts w:hint="eastAsia" w:ascii="宋体" w:hAnsi="宋体" w:eastAsia="宋体" w:cs="宋体"/>
              </w:rPr>
              <w:t xml:space="preserve"> </w:t>
            </w:r>
            <w:r>
              <w:rPr>
                <w:rFonts w:hint="eastAsia"/>
              </w:rPr>
              <w:t>激励名校英才发挥才能</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发放房补人数</w:t>
            </w:r>
          </w:p>
        </w:tc>
        <w:tc>
          <w:tcPr>
            <w:tcW w:w="2835" w:type="dxa"/>
            <w:vAlign w:val="center"/>
          </w:tcPr>
          <w:p>
            <w:pPr>
              <w:pStyle w:val="28"/>
            </w:pPr>
            <w:r>
              <w:t>发放房补人数</w:t>
            </w:r>
          </w:p>
        </w:tc>
        <w:tc>
          <w:tcPr>
            <w:tcW w:w="2551" w:type="dxa"/>
            <w:vAlign w:val="center"/>
          </w:tcPr>
          <w:p>
            <w:pPr>
              <w:pStyle w:val="28"/>
            </w:pPr>
            <w:r>
              <w:t>1发放房补人数</w:t>
            </w:r>
          </w:p>
        </w:tc>
        <w:tc>
          <w:tcPr>
            <w:tcW w:w="2268" w:type="dxa"/>
            <w:vAlign w:val="center"/>
          </w:tcPr>
          <w:p>
            <w:pPr>
              <w:pStyle w:val="28"/>
            </w:pPr>
            <w:r>
              <w:t>发放房补人数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发放完成率</w:t>
            </w:r>
          </w:p>
        </w:tc>
        <w:tc>
          <w:tcPr>
            <w:tcW w:w="2835" w:type="dxa"/>
            <w:vAlign w:val="center"/>
          </w:tcPr>
          <w:p>
            <w:pPr>
              <w:pStyle w:val="28"/>
            </w:pPr>
            <w:r>
              <w:t>发放完成率</w:t>
            </w:r>
          </w:p>
        </w:tc>
        <w:tc>
          <w:tcPr>
            <w:tcW w:w="2551" w:type="dxa"/>
            <w:vAlign w:val="center"/>
          </w:tcPr>
          <w:p>
            <w:pPr>
              <w:pStyle w:val="28"/>
            </w:pPr>
            <w:r>
              <w:t>100发放完成率</w:t>
            </w:r>
          </w:p>
        </w:tc>
        <w:tc>
          <w:tcPr>
            <w:tcW w:w="2268" w:type="dxa"/>
            <w:vAlign w:val="center"/>
          </w:tcPr>
          <w:p>
            <w:pPr>
              <w:pStyle w:val="28"/>
            </w:pPr>
            <w:r>
              <w:t>发放完成率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按时发放</w:t>
            </w:r>
          </w:p>
        </w:tc>
        <w:tc>
          <w:tcPr>
            <w:tcW w:w="2835" w:type="dxa"/>
            <w:vAlign w:val="center"/>
          </w:tcPr>
          <w:p>
            <w:pPr>
              <w:pStyle w:val="28"/>
            </w:pPr>
            <w:r>
              <w:t>按时发放</w:t>
            </w:r>
          </w:p>
        </w:tc>
        <w:tc>
          <w:tcPr>
            <w:tcW w:w="2551" w:type="dxa"/>
            <w:vAlign w:val="center"/>
          </w:tcPr>
          <w:p>
            <w:pPr>
              <w:pStyle w:val="28"/>
            </w:pPr>
            <w:r>
              <w:t>100按时发放</w:t>
            </w:r>
          </w:p>
        </w:tc>
        <w:tc>
          <w:tcPr>
            <w:tcW w:w="2268" w:type="dxa"/>
            <w:vAlign w:val="center"/>
          </w:tcPr>
          <w:p>
            <w:pPr>
              <w:pStyle w:val="28"/>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经费预算</w:t>
            </w:r>
          </w:p>
        </w:tc>
        <w:tc>
          <w:tcPr>
            <w:tcW w:w="2835" w:type="dxa"/>
            <w:vAlign w:val="center"/>
          </w:tcPr>
          <w:p>
            <w:pPr>
              <w:pStyle w:val="28"/>
            </w:pPr>
            <w:r>
              <w:t>按应发数额发放</w:t>
            </w:r>
          </w:p>
        </w:tc>
        <w:tc>
          <w:tcPr>
            <w:tcW w:w="2551" w:type="dxa"/>
            <w:vAlign w:val="center"/>
          </w:tcPr>
          <w:p>
            <w:pPr>
              <w:pStyle w:val="28"/>
            </w:pPr>
            <w:r>
              <w:t>100按应发数额发放</w:t>
            </w:r>
          </w:p>
        </w:tc>
        <w:tc>
          <w:tcPr>
            <w:tcW w:w="2268" w:type="dxa"/>
            <w:vAlign w:val="center"/>
          </w:tcPr>
          <w:p>
            <w:pPr>
              <w:pStyle w:val="28"/>
            </w:pPr>
            <w:r>
              <w:t>按应发数额发放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提升工作效率</w:t>
            </w:r>
          </w:p>
        </w:tc>
        <w:tc>
          <w:tcPr>
            <w:tcW w:w="2835" w:type="dxa"/>
            <w:vAlign w:val="center"/>
          </w:tcPr>
          <w:p>
            <w:pPr>
              <w:pStyle w:val="28"/>
            </w:pPr>
            <w:r>
              <w:t>提升工作效率</w:t>
            </w:r>
          </w:p>
        </w:tc>
        <w:tc>
          <w:tcPr>
            <w:tcW w:w="2551" w:type="dxa"/>
            <w:vAlign w:val="center"/>
          </w:tcPr>
          <w:p>
            <w:pPr>
              <w:pStyle w:val="28"/>
            </w:pPr>
            <w:r>
              <w:t>≥90提升工作效率</w:t>
            </w:r>
          </w:p>
        </w:tc>
        <w:tc>
          <w:tcPr>
            <w:tcW w:w="2268" w:type="dxa"/>
            <w:vAlign w:val="center"/>
          </w:tcPr>
          <w:p>
            <w:pPr>
              <w:pStyle w:val="28"/>
            </w:pPr>
            <w:r>
              <w:t>提升工作效率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稳定工作情绪</w:t>
            </w:r>
          </w:p>
        </w:tc>
        <w:tc>
          <w:tcPr>
            <w:tcW w:w="2835" w:type="dxa"/>
            <w:vAlign w:val="center"/>
          </w:tcPr>
          <w:p>
            <w:pPr>
              <w:pStyle w:val="28"/>
            </w:pPr>
            <w:r>
              <w:t>稳定职工工作情绪</w:t>
            </w:r>
          </w:p>
        </w:tc>
        <w:tc>
          <w:tcPr>
            <w:tcW w:w="2551" w:type="dxa"/>
            <w:vAlign w:val="center"/>
          </w:tcPr>
          <w:p>
            <w:pPr>
              <w:pStyle w:val="28"/>
            </w:pPr>
            <w:r>
              <w:t>≥95稳定职工工作情绪</w:t>
            </w:r>
          </w:p>
        </w:tc>
        <w:tc>
          <w:tcPr>
            <w:tcW w:w="2268" w:type="dxa"/>
            <w:vAlign w:val="center"/>
          </w:tcPr>
          <w:p>
            <w:pPr>
              <w:pStyle w:val="28"/>
            </w:pPr>
            <w:r>
              <w:t>稳定职工工作情绪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激励人才充分发挥才能</w:t>
            </w:r>
          </w:p>
        </w:tc>
        <w:tc>
          <w:tcPr>
            <w:tcW w:w="2835" w:type="dxa"/>
            <w:vAlign w:val="center"/>
          </w:tcPr>
          <w:p>
            <w:pPr>
              <w:pStyle w:val="28"/>
            </w:pPr>
            <w:r>
              <w:t>激励人才充分发挥才能</w:t>
            </w:r>
          </w:p>
        </w:tc>
        <w:tc>
          <w:tcPr>
            <w:tcW w:w="2551" w:type="dxa"/>
            <w:vAlign w:val="center"/>
          </w:tcPr>
          <w:p>
            <w:pPr>
              <w:pStyle w:val="28"/>
            </w:pPr>
            <w:r>
              <w:t>≥90激励人才充分发挥才能</w:t>
            </w:r>
          </w:p>
        </w:tc>
        <w:tc>
          <w:tcPr>
            <w:tcW w:w="2268" w:type="dxa"/>
            <w:vAlign w:val="center"/>
          </w:tcPr>
          <w:p>
            <w:pPr>
              <w:pStyle w:val="28"/>
            </w:pPr>
            <w:r>
              <w:t>激励人才充分发挥才能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100服务对象满意度</w:t>
            </w:r>
          </w:p>
        </w:tc>
        <w:tc>
          <w:tcPr>
            <w:tcW w:w="2268" w:type="dxa"/>
            <w:vAlign w:val="center"/>
          </w:tcPr>
          <w:p>
            <w:pPr>
              <w:pStyle w:val="28"/>
            </w:pPr>
            <w:r>
              <w:t>服务对象满意度</w:t>
            </w:r>
          </w:p>
        </w:tc>
      </w:tr>
    </w:tbl>
    <w:p>
      <w:pPr>
        <w:pStyle w:val="26"/>
      </w:pPr>
    </w:p>
    <w:p>
      <w:pPr>
        <w:pStyle w:val="26"/>
        <w:ind w:firstLine="560"/>
      </w:pPr>
      <w:r>
        <w:rPr>
          <w:rFonts w:ascii="方正仿宋_GBK" w:hAnsi="方正仿宋_GBK" w:eastAsia="方正仿宋_GBK" w:cs="方正仿宋_GBK"/>
          <w:b/>
          <w:color w:val="000000"/>
          <w:sz w:val="28"/>
        </w:rPr>
        <w:t>7、上年结转/冀财建【2021】251号/省级/2021年第二批省外贸发展专项资金绩效目标表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w:t>
            </w:r>
            <w:r>
              <w:rPr>
                <w:rFonts w:hint="eastAsia" w:ascii="宋体" w:hAnsi="宋体" w:eastAsia="宋体" w:cs="宋体"/>
              </w:rPr>
              <w:t xml:space="preserve"> </w:t>
            </w:r>
            <w:r>
              <w:rPr>
                <w:rFonts w:hint="eastAsia"/>
              </w:rPr>
              <w:t>奖补达标外贸企业，促进外贸高质量发展</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奖补外贸出口企业数量</w:t>
            </w:r>
          </w:p>
        </w:tc>
        <w:tc>
          <w:tcPr>
            <w:tcW w:w="2835" w:type="dxa"/>
            <w:vAlign w:val="center"/>
          </w:tcPr>
          <w:p>
            <w:pPr>
              <w:pStyle w:val="28"/>
            </w:pPr>
            <w:r>
              <w:t>奖补外贸出口企业数量</w:t>
            </w:r>
          </w:p>
        </w:tc>
        <w:tc>
          <w:tcPr>
            <w:tcW w:w="2551" w:type="dxa"/>
            <w:vAlign w:val="center"/>
          </w:tcPr>
          <w:p>
            <w:pPr>
              <w:pStyle w:val="28"/>
            </w:pPr>
            <w:r>
              <w:t>2奖补外贸出口企业数量</w:t>
            </w:r>
          </w:p>
        </w:tc>
        <w:tc>
          <w:tcPr>
            <w:tcW w:w="2268" w:type="dxa"/>
            <w:vAlign w:val="center"/>
          </w:tcPr>
          <w:p>
            <w:pPr>
              <w:pStyle w:val="28"/>
            </w:pPr>
            <w:r>
              <w:t>奖补外贸出口企业数量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资金使用合规性</w:t>
            </w:r>
          </w:p>
        </w:tc>
        <w:tc>
          <w:tcPr>
            <w:tcW w:w="2835" w:type="dxa"/>
            <w:vAlign w:val="center"/>
          </w:tcPr>
          <w:p>
            <w:pPr>
              <w:pStyle w:val="28"/>
            </w:pPr>
            <w:r>
              <w:t>资金使用合规性</w:t>
            </w:r>
          </w:p>
        </w:tc>
        <w:tc>
          <w:tcPr>
            <w:tcW w:w="2551" w:type="dxa"/>
            <w:vAlign w:val="center"/>
          </w:tcPr>
          <w:p>
            <w:pPr>
              <w:pStyle w:val="28"/>
            </w:pPr>
            <w:r>
              <w:t>100资金使用合规率</w:t>
            </w:r>
          </w:p>
        </w:tc>
        <w:tc>
          <w:tcPr>
            <w:tcW w:w="2268" w:type="dxa"/>
            <w:vAlign w:val="center"/>
          </w:tcPr>
          <w:p>
            <w:pPr>
              <w:pStyle w:val="28"/>
            </w:pPr>
            <w:r>
              <w:t>资金使用合规性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预算资金执行率</w:t>
            </w:r>
          </w:p>
        </w:tc>
        <w:tc>
          <w:tcPr>
            <w:tcW w:w="2835" w:type="dxa"/>
            <w:vAlign w:val="center"/>
          </w:tcPr>
          <w:p>
            <w:pPr>
              <w:pStyle w:val="28"/>
            </w:pPr>
            <w:r>
              <w:t>预算资金执行率</w:t>
            </w:r>
          </w:p>
        </w:tc>
        <w:tc>
          <w:tcPr>
            <w:tcW w:w="2551" w:type="dxa"/>
            <w:vAlign w:val="center"/>
          </w:tcPr>
          <w:p>
            <w:pPr>
              <w:pStyle w:val="28"/>
            </w:pPr>
            <w:r>
              <w:t>100预算资金执行率</w:t>
            </w:r>
          </w:p>
        </w:tc>
        <w:tc>
          <w:tcPr>
            <w:tcW w:w="2268" w:type="dxa"/>
            <w:vAlign w:val="center"/>
          </w:tcPr>
          <w:p>
            <w:pPr>
              <w:pStyle w:val="28"/>
            </w:pPr>
            <w:r>
              <w:t>预算资金执行率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扶持资金总额</w:t>
            </w:r>
          </w:p>
        </w:tc>
        <w:tc>
          <w:tcPr>
            <w:tcW w:w="2835" w:type="dxa"/>
            <w:vAlign w:val="center"/>
          </w:tcPr>
          <w:p>
            <w:pPr>
              <w:pStyle w:val="28"/>
            </w:pPr>
            <w:r>
              <w:t>扶持资金总额</w:t>
            </w:r>
          </w:p>
        </w:tc>
        <w:tc>
          <w:tcPr>
            <w:tcW w:w="2551" w:type="dxa"/>
            <w:vAlign w:val="center"/>
          </w:tcPr>
          <w:p>
            <w:pPr>
              <w:pStyle w:val="28"/>
            </w:pPr>
            <w:r>
              <w:t>15万元</w:t>
            </w:r>
          </w:p>
        </w:tc>
        <w:tc>
          <w:tcPr>
            <w:tcW w:w="2268" w:type="dxa"/>
            <w:vAlign w:val="center"/>
          </w:tcPr>
          <w:p>
            <w:pPr>
              <w:pStyle w:val="28"/>
            </w:pPr>
            <w:r>
              <w:t>扶持资金总额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外贸高质量发展</w:t>
            </w:r>
          </w:p>
        </w:tc>
        <w:tc>
          <w:tcPr>
            <w:tcW w:w="2835" w:type="dxa"/>
            <w:vAlign w:val="center"/>
          </w:tcPr>
          <w:p>
            <w:pPr>
              <w:pStyle w:val="28"/>
            </w:pPr>
            <w:r>
              <w:t>外贸高质量发展</w:t>
            </w:r>
          </w:p>
        </w:tc>
        <w:tc>
          <w:tcPr>
            <w:tcW w:w="2551" w:type="dxa"/>
            <w:vAlign w:val="center"/>
          </w:tcPr>
          <w:p>
            <w:pPr>
              <w:pStyle w:val="28"/>
            </w:pPr>
            <w:r>
              <w:t>≥90外贸高质量发展率</w:t>
            </w:r>
          </w:p>
        </w:tc>
        <w:tc>
          <w:tcPr>
            <w:tcW w:w="2268" w:type="dxa"/>
            <w:vAlign w:val="center"/>
          </w:tcPr>
          <w:p>
            <w:pPr>
              <w:pStyle w:val="28"/>
            </w:pPr>
            <w:r>
              <w:t>外贸高质量发展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获得奖补企业满意度</w:t>
            </w:r>
          </w:p>
        </w:tc>
        <w:tc>
          <w:tcPr>
            <w:tcW w:w="2835" w:type="dxa"/>
            <w:vAlign w:val="center"/>
          </w:tcPr>
          <w:p>
            <w:pPr>
              <w:pStyle w:val="28"/>
            </w:pPr>
            <w:r>
              <w:t>获得奖补企业满意度</w:t>
            </w:r>
          </w:p>
        </w:tc>
        <w:tc>
          <w:tcPr>
            <w:tcW w:w="2551" w:type="dxa"/>
            <w:vAlign w:val="center"/>
          </w:tcPr>
          <w:p>
            <w:pPr>
              <w:pStyle w:val="28"/>
            </w:pPr>
            <w:r>
              <w:t>≥90获得奖补企业满意度</w:t>
            </w:r>
          </w:p>
        </w:tc>
        <w:tc>
          <w:tcPr>
            <w:tcW w:w="2268" w:type="dxa"/>
            <w:vAlign w:val="center"/>
          </w:tcPr>
          <w:p>
            <w:pPr>
              <w:pStyle w:val="28"/>
            </w:pPr>
            <w:r>
              <w:t>获得奖补企业满意度</w:t>
            </w:r>
          </w:p>
        </w:tc>
      </w:tr>
    </w:tbl>
    <w:p>
      <w:pPr>
        <w:pStyle w:val="26"/>
      </w:pPr>
    </w:p>
    <w:p>
      <w:pPr>
        <w:pStyle w:val="26"/>
        <w:ind w:firstLine="560"/>
      </w:pPr>
      <w:r>
        <w:rPr>
          <w:rFonts w:ascii="方正仿宋_GBK" w:hAnsi="方正仿宋_GBK" w:eastAsia="方正仿宋_GBK" w:cs="方正仿宋_GBK"/>
          <w:b/>
          <w:color w:val="000000"/>
          <w:sz w:val="28"/>
        </w:rPr>
        <w:t>8、上年结转/冀财建【2021】95号/中央/2021年中央服务业发展资金/电子商务示范县绩效目标表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w:t>
            </w:r>
            <w:r>
              <w:rPr>
                <w:rFonts w:hint="eastAsia" w:ascii="宋体" w:hAnsi="宋体" w:eastAsia="宋体" w:cs="宋体"/>
              </w:rPr>
              <w:t xml:space="preserve"> </w:t>
            </w:r>
            <w:r>
              <w:rPr>
                <w:rFonts w:hint="eastAsia"/>
              </w:rPr>
              <w:t>打造电子商务示范县促进线上交易带动经济增长</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农村电商服务在行政村服务覆盖率</w:t>
            </w:r>
          </w:p>
        </w:tc>
        <w:tc>
          <w:tcPr>
            <w:tcW w:w="2835" w:type="dxa"/>
            <w:vAlign w:val="center"/>
          </w:tcPr>
          <w:p>
            <w:pPr>
              <w:pStyle w:val="28"/>
            </w:pPr>
            <w:r>
              <w:t>农村电商服务在行政村服务覆盖率</w:t>
            </w:r>
          </w:p>
        </w:tc>
        <w:tc>
          <w:tcPr>
            <w:tcW w:w="2551" w:type="dxa"/>
            <w:vAlign w:val="center"/>
          </w:tcPr>
          <w:p>
            <w:pPr>
              <w:pStyle w:val="28"/>
            </w:pPr>
            <w:r>
              <w:t>≥50个</w:t>
            </w:r>
          </w:p>
        </w:tc>
        <w:tc>
          <w:tcPr>
            <w:tcW w:w="2268" w:type="dxa"/>
            <w:vAlign w:val="center"/>
          </w:tcPr>
          <w:p>
            <w:pPr>
              <w:pStyle w:val="28"/>
            </w:pPr>
            <w:r>
              <w:t>农村电商服务是否达到要求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完善企业标准，提升农产品标准化程度</w:t>
            </w:r>
          </w:p>
        </w:tc>
        <w:tc>
          <w:tcPr>
            <w:tcW w:w="2835" w:type="dxa"/>
            <w:vAlign w:val="center"/>
          </w:tcPr>
          <w:p>
            <w:pPr>
              <w:pStyle w:val="28"/>
            </w:pPr>
            <w:r>
              <w:t>完善企业标准，提升农产品标准化程度</w:t>
            </w:r>
          </w:p>
        </w:tc>
        <w:tc>
          <w:tcPr>
            <w:tcW w:w="2551" w:type="dxa"/>
            <w:vAlign w:val="center"/>
          </w:tcPr>
          <w:p>
            <w:pPr>
              <w:pStyle w:val="28"/>
            </w:pPr>
            <w:r>
              <w:t>≥1个</w:t>
            </w:r>
          </w:p>
        </w:tc>
        <w:tc>
          <w:tcPr>
            <w:tcW w:w="2268" w:type="dxa"/>
            <w:vAlign w:val="center"/>
          </w:tcPr>
          <w:p>
            <w:pPr>
              <w:pStyle w:val="28"/>
            </w:pPr>
            <w:r>
              <w:t>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开展电商培训</w:t>
            </w:r>
          </w:p>
        </w:tc>
        <w:tc>
          <w:tcPr>
            <w:tcW w:w="2835" w:type="dxa"/>
            <w:vAlign w:val="center"/>
          </w:tcPr>
          <w:p>
            <w:pPr>
              <w:pStyle w:val="28"/>
            </w:pPr>
            <w:r>
              <w:t>开展电商培训</w:t>
            </w:r>
          </w:p>
        </w:tc>
        <w:tc>
          <w:tcPr>
            <w:tcW w:w="2551" w:type="dxa"/>
            <w:vAlign w:val="center"/>
          </w:tcPr>
          <w:p>
            <w:pPr>
              <w:pStyle w:val="28"/>
            </w:pPr>
            <w:r>
              <w:t>≥3000人</w:t>
            </w:r>
          </w:p>
        </w:tc>
        <w:tc>
          <w:tcPr>
            <w:tcW w:w="2268" w:type="dxa"/>
            <w:vAlign w:val="center"/>
          </w:tcPr>
          <w:p>
            <w:pPr>
              <w:pStyle w:val="28"/>
            </w:pPr>
            <w:r>
              <w:t>人数是否达标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w:t>
            </w:r>
          </w:p>
        </w:tc>
        <w:tc>
          <w:tcPr>
            <w:tcW w:w="2835" w:type="dxa"/>
            <w:vAlign w:val="center"/>
          </w:tcPr>
          <w:p>
            <w:pPr>
              <w:pStyle w:val="28"/>
            </w:pPr>
            <w:r>
              <w:t>预算</w:t>
            </w:r>
          </w:p>
        </w:tc>
        <w:tc>
          <w:tcPr>
            <w:tcW w:w="2551" w:type="dxa"/>
            <w:vAlign w:val="center"/>
          </w:tcPr>
          <w:p>
            <w:pPr>
              <w:pStyle w:val="28"/>
            </w:pPr>
            <w:r>
              <w:t>100执行率</w:t>
            </w:r>
          </w:p>
        </w:tc>
        <w:tc>
          <w:tcPr>
            <w:tcW w:w="2268" w:type="dxa"/>
            <w:vAlign w:val="center"/>
          </w:tcPr>
          <w:p>
            <w:pPr>
              <w:pStyle w:val="28"/>
            </w:pPr>
            <w:r>
              <w:t>是否超预算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农产品网络零售额同比增速</w:t>
            </w:r>
          </w:p>
        </w:tc>
        <w:tc>
          <w:tcPr>
            <w:tcW w:w="2835" w:type="dxa"/>
            <w:vAlign w:val="center"/>
          </w:tcPr>
          <w:p>
            <w:pPr>
              <w:pStyle w:val="28"/>
            </w:pPr>
            <w:r>
              <w:t>农产品网络零售额同比增速</w:t>
            </w:r>
          </w:p>
        </w:tc>
        <w:tc>
          <w:tcPr>
            <w:tcW w:w="2551" w:type="dxa"/>
            <w:vAlign w:val="center"/>
          </w:tcPr>
          <w:p>
            <w:pPr>
              <w:pStyle w:val="28"/>
            </w:pPr>
            <w:r>
              <w:t>≥10%</w:t>
            </w:r>
          </w:p>
        </w:tc>
        <w:tc>
          <w:tcPr>
            <w:tcW w:w="2268" w:type="dxa"/>
            <w:vAlign w:val="center"/>
          </w:tcPr>
          <w:p>
            <w:pPr>
              <w:pStyle w:val="28"/>
            </w:pPr>
            <w:r>
              <w:t>是否达到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促进电商精准帮扶，对接电商企业帮扶项目</w:t>
            </w:r>
          </w:p>
        </w:tc>
        <w:tc>
          <w:tcPr>
            <w:tcW w:w="2835" w:type="dxa"/>
            <w:vAlign w:val="center"/>
          </w:tcPr>
          <w:p>
            <w:pPr>
              <w:pStyle w:val="28"/>
            </w:pPr>
            <w:r>
              <w:t>促进电商精准帮扶对电商企业帮扶项目</w:t>
            </w:r>
          </w:p>
        </w:tc>
        <w:tc>
          <w:tcPr>
            <w:tcW w:w="2551" w:type="dxa"/>
            <w:vAlign w:val="center"/>
          </w:tcPr>
          <w:p>
            <w:pPr>
              <w:pStyle w:val="28"/>
            </w:pPr>
            <w:r>
              <w:t>≥2个</w:t>
            </w:r>
          </w:p>
        </w:tc>
        <w:tc>
          <w:tcPr>
            <w:tcW w:w="2268" w:type="dxa"/>
            <w:vAlign w:val="center"/>
          </w:tcPr>
          <w:p>
            <w:pPr>
              <w:pStyle w:val="28"/>
            </w:pPr>
            <w:r>
              <w:t>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生态效益指标</w:t>
            </w:r>
          </w:p>
        </w:tc>
        <w:tc>
          <w:tcPr>
            <w:tcW w:w="2835" w:type="dxa"/>
            <w:vAlign w:val="center"/>
          </w:tcPr>
          <w:p>
            <w:pPr>
              <w:pStyle w:val="28"/>
            </w:pPr>
            <w:r>
              <w:t>农村网络零售额同比增速</w:t>
            </w:r>
          </w:p>
        </w:tc>
        <w:tc>
          <w:tcPr>
            <w:tcW w:w="2835" w:type="dxa"/>
            <w:vAlign w:val="center"/>
          </w:tcPr>
          <w:p>
            <w:pPr>
              <w:pStyle w:val="28"/>
            </w:pPr>
            <w:r>
              <w:t>农村网络零售额同比增速</w:t>
            </w:r>
          </w:p>
        </w:tc>
        <w:tc>
          <w:tcPr>
            <w:tcW w:w="2551" w:type="dxa"/>
            <w:vAlign w:val="center"/>
          </w:tcPr>
          <w:p>
            <w:pPr>
              <w:pStyle w:val="28"/>
            </w:pPr>
            <w:r>
              <w:t>≥10%</w:t>
            </w:r>
          </w:p>
        </w:tc>
        <w:tc>
          <w:tcPr>
            <w:tcW w:w="2268" w:type="dxa"/>
            <w:vAlign w:val="center"/>
          </w:tcPr>
          <w:p>
            <w:pPr>
              <w:pStyle w:val="28"/>
            </w:pPr>
            <w:r>
              <w:t>增速是否达标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提升农产品品牌化程度</w:t>
            </w:r>
          </w:p>
        </w:tc>
        <w:tc>
          <w:tcPr>
            <w:tcW w:w="2835" w:type="dxa"/>
            <w:vAlign w:val="center"/>
          </w:tcPr>
          <w:p>
            <w:pPr>
              <w:pStyle w:val="28"/>
            </w:pPr>
            <w:r>
              <w:t>提升农产品品牌化程度</w:t>
            </w:r>
          </w:p>
        </w:tc>
        <w:tc>
          <w:tcPr>
            <w:tcW w:w="2551" w:type="dxa"/>
            <w:vAlign w:val="center"/>
          </w:tcPr>
          <w:p>
            <w:pPr>
              <w:pStyle w:val="28"/>
            </w:pPr>
            <w:r>
              <w:t>≥1个</w:t>
            </w:r>
          </w:p>
        </w:tc>
        <w:tc>
          <w:tcPr>
            <w:tcW w:w="2268" w:type="dxa"/>
            <w:vAlign w:val="center"/>
          </w:tcPr>
          <w:p>
            <w:pPr>
              <w:pStyle w:val="28"/>
            </w:pPr>
            <w:r>
              <w:t>能否提升产品品牌化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企业满意度</w:t>
            </w:r>
          </w:p>
        </w:tc>
        <w:tc>
          <w:tcPr>
            <w:tcW w:w="2835" w:type="dxa"/>
            <w:vAlign w:val="center"/>
          </w:tcPr>
          <w:p>
            <w:pPr>
              <w:pStyle w:val="28"/>
            </w:pPr>
            <w:r>
              <w:t>企业满意度</w:t>
            </w:r>
          </w:p>
        </w:tc>
        <w:tc>
          <w:tcPr>
            <w:tcW w:w="2551" w:type="dxa"/>
            <w:vAlign w:val="center"/>
          </w:tcPr>
          <w:p>
            <w:pPr>
              <w:pStyle w:val="28"/>
            </w:pPr>
            <w:r>
              <w:t>100满意度</w:t>
            </w:r>
          </w:p>
        </w:tc>
        <w:tc>
          <w:tcPr>
            <w:tcW w:w="2268" w:type="dxa"/>
            <w:vAlign w:val="center"/>
          </w:tcPr>
          <w:p>
            <w:pPr>
              <w:pStyle w:val="28"/>
            </w:pPr>
            <w:r>
              <w:t>服务企业是否满意</w:t>
            </w:r>
          </w:p>
        </w:tc>
      </w:tr>
    </w:tbl>
    <w:p>
      <w:pPr>
        <w:pStyle w:val="26"/>
      </w:pPr>
    </w:p>
    <w:p>
      <w:pPr>
        <w:pStyle w:val="26"/>
        <w:ind w:firstLine="560"/>
      </w:pPr>
      <w:r>
        <w:rPr>
          <w:rFonts w:ascii="方正仿宋_GBK" w:hAnsi="方正仿宋_GBK" w:eastAsia="方正仿宋_GBK" w:cs="方正仿宋_GBK"/>
          <w:b/>
          <w:color w:val="000000"/>
          <w:sz w:val="28"/>
        </w:rPr>
        <w:t>9、上年结转/邢财建【2021】106号/市级/2021年第三批省商贸流通发展专项资金绩效目标表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w:t>
            </w:r>
            <w:r>
              <w:rPr>
                <w:rFonts w:hint="eastAsia" w:ascii="宋体" w:hAnsi="宋体" w:eastAsia="宋体" w:cs="宋体"/>
              </w:rPr>
              <w:t xml:space="preserve"> </w:t>
            </w:r>
            <w:r>
              <w:rPr>
                <w:rFonts w:hint="eastAsia"/>
              </w:rPr>
              <w:t>推动在岸外包、离岸外包协调发展</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支持企业数量</w:t>
            </w:r>
          </w:p>
        </w:tc>
        <w:tc>
          <w:tcPr>
            <w:tcW w:w="2835" w:type="dxa"/>
            <w:vAlign w:val="center"/>
          </w:tcPr>
          <w:p>
            <w:pPr>
              <w:pStyle w:val="28"/>
            </w:pPr>
            <w:r>
              <w:t>支持企业数量</w:t>
            </w:r>
          </w:p>
        </w:tc>
        <w:tc>
          <w:tcPr>
            <w:tcW w:w="2551" w:type="dxa"/>
            <w:vAlign w:val="center"/>
          </w:tcPr>
          <w:p>
            <w:pPr>
              <w:pStyle w:val="28"/>
            </w:pPr>
            <w:r>
              <w:t>1支持企业数量</w:t>
            </w:r>
          </w:p>
        </w:tc>
        <w:tc>
          <w:tcPr>
            <w:tcW w:w="2268" w:type="dxa"/>
            <w:vAlign w:val="center"/>
          </w:tcPr>
          <w:p>
            <w:pPr>
              <w:pStyle w:val="28"/>
            </w:pPr>
            <w:r>
              <w:t>支持企业数量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推动在岸外包、离岸外包协调发展</w:t>
            </w:r>
          </w:p>
        </w:tc>
        <w:tc>
          <w:tcPr>
            <w:tcW w:w="2835" w:type="dxa"/>
            <w:vAlign w:val="center"/>
          </w:tcPr>
          <w:p>
            <w:pPr>
              <w:pStyle w:val="28"/>
            </w:pPr>
            <w:r>
              <w:t>推动在岸外包、离岸外包协调发展</w:t>
            </w:r>
          </w:p>
        </w:tc>
        <w:tc>
          <w:tcPr>
            <w:tcW w:w="2551" w:type="dxa"/>
            <w:vAlign w:val="center"/>
          </w:tcPr>
          <w:p>
            <w:pPr>
              <w:pStyle w:val="28"/>
            </w:pPr>
            <w:r>
              <w:t>≥90推动在岸外包、离岸外包协调发展</w:t>
            </w:r>
          </w:p>
        </w:tc>
        <w:tc>
          <w:tcPr>
            <w:tcW w:w="2268" w:type="dxa"/>
            <w:vAlign w:val="center"/>
          </w:tcPr>
          <w:p>
            <w:pPr>
              <w:pStyle w:val="28"/>
            </w:pPr>
            <w:r>
              <w:t>推动在岸外包、离岸外包协调发展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完成时限</w:t>
            </w:r>
          </w:p>
        </w:tc>
        <w:tc>
          <w:tcPr>
            <w:tcW w:w="2835" w:type="dxa"/>
            <w:vAlign w:val="center"/>
          </w:tcPr>
          <w:p>
            <w:pPr>
              <w:pStyle w:val="28"/>
            </w:pPr>
            <w:r>
              <w:t>完成时限</w:t>
            </w:r>
          </w:p>
        </w:tc>
        <w:tc>
          <w:tcPr>
            <w:tcW w:w="2551" w:type="dxa"/>
            <w:vAlign w:val="center"/>
          </w:tcPr>
          <w:p>
            <w:pPr>
              <w:pStyle w:val="28"/>
            </w:pPr>
            <w:r>
              <w:t>100按期完成</w:t>
            </w:r>
          </w:p>
        </w:tc>
        <w:tc>
          <w:tcPr>
            <w:tcW w:w="2268" w:type="dxa"/>
            <w:vAlign w:val="center"/>
          </w:tcPr>
          <w:p>
            <w:pPr>
              <w:pStyle w:val="28"/>
            </w:pPr>
            <w:r>
              <w:t>实际完成时间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 xml:space="preserve"> 奖励金额</w:t>
            </w:r>
          </w:p>
        </w:tc>
        <w:tc>
          <w:tcPr>
            <w:tcW w:w="2835" w:type="dxa"/>
            <w:vAlign w:val="center"/>
          </w:tcPr>
          <w:p>
            <w:pPr>
              <w:pStyle w:val="28"/>
            </w:pPr>
            <w:r>
              <w:t xml:space="preserve"> 奖励金额</w:t>
            </w:r>
          </w:p>
        </w:tc>
        <w:tc>
          <w:tcPr>
            <w:tcW w:w="2551" w:type="dxa"/>
            <w:vAlign w:val="center"/>
          </w:tcPr>
          <w:p>
            <w:pPr>
              <w:pStyle w:val="28"/>
            </w:pPr>
            <w:r>
              <w:t>5.99 奖励金额</w:t>
            </w:r>
          </w:p>
        </w:tc>
        <w:tc>
          <w:tcPr>
            <w:tcW w:w="2268" w:type="dxa"/>
            <w:vAlign w:val="center"/>
          </w:tcPr>
          <w:p>
            <w:pPr>
              <w:pStyle w:val="28"/>
            </w:pPr>
            <w:r>
              <w:t xml:space="preserve"> 奖励金额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全省服务外包执行额提升</w:t>
            </w:r>
          </w:p>
        </w:tc>
        <w:tc>
          <w:tcPr>
            <w:tcW w:w="2835" w:type="dxa"/>
            <w:vAlign w:val="center"/>
          </w:tcPr>
          <w:p>
            <w:pPr>
              <w:pStyle w:val="28"/>
            </w:pPr>
            <w:r>
              <w:t>服务外包执行额提升</w:t>
            </w:r>
          </w:p>
        </w:tc>
        <w:tc>
          <w:tcPr>
            <w:tcW w:w="2551" w:type="dxa"/>
            <w:vAlign w:val="center"/>
          </w:tcPr>
          <w:p>
            <w:pPr>
              <w:pStyle w:val="28"/>
            </w:pPr>
            <w:r>
              <w:t>≥5服务外包执行额提升率</w:t>
            </w:r>
          </w:p>
        </w:tc>
        <w:tc>
          <w:tcPr>
            <w:tcW w:w="2268" w:type="dxa"/>
            <w:vAlign w:val="center"/>
          </w:tcPr>
          <w:p>
            <w:pPr>
              <w:pStyle w:val="28"/>
            </w:pPr>
            <w:r>
              <w:t>服务外包执行额提升率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企业满意度</w:t>
            </w:r>
          </w:p>
        </w:tc>
        <w:tc>
          <w:tcPr>
            <w:tcW w:w="2835" w:type="dxa"/>
            <w:vAlign w:val="center"/>
          </w:tcPr>
          <w:p>
            <w:pPr>
              <w:pStyle w:val="28"/>
            </w:pPr>
            <w:r>
              <w:t>企业满意度</w:t>
            </w:r>
          </w:p>
        </w:tc>
        <w:tc>
          <w:tcPr>
            <w:tcW w:w="2551" w:type="dxa"/>
            <w:vAlign w:val="center"/>
          </w:tcPr>
          <w:p>
            <w:pPr>
              <w:pStyle w:val="28"/>
            </w:pPr>
            <w:r>
              <w:t>≥90企业满意度</w:t>
            </w:r>
          </w:p>
        </w:tc>
        <w:tc>
          <w:tcPr>
            <w:tcW w:w="2268" w:type="dxa"/>
            <w:vAlign w:val="center"/>
          </w:tcPr>
          <w:p>
            <w:pPr>
              <w:pStyle w:val="28"/>
            </w:pPr>
            <w:r>
              <w:t>企业满意度</w:t>
            </w:r>
          </w:p>
        </w:tc>
      </w:tr>
    </w:tbl>
    <w:p>
      <w:pPr>
        <w:pStyle w:val="26"/>
      </w:pPr>
    </w:p>
    <w:p>
      <w:pPr>
        <w:pStyle w:val="26"/>
        <w:ind w:firstLine="560"/>
      </w:pPr>
      <w:r>
        <w:rPr>
          <w:rFonts w:ascii="方正仿宋_GBK" w:hAnsi="方正仿宋_GBK" w:eastAsia="方正仿宋_GBK" w:cs="方正仿宋_GBK"/>
          <w:b/>
          <w:color w:val="000000"/>
          <w:sz w:val="28"/>
        </w:rPr>
        <w:t>10、上年结转/邢财建【2021】58号/市级/外贸发展专项资金绩效目标表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w:t>
            </w:r>
            <w:r>
              <w:rPr>
                <w:rFonts w:hint="eastAsia" w:ascii="宋体" w:hAnsi="宋体" w:eastAsia="宋体" w:cs="宋体"/>
              </w:rPr>
              <w:t xml:space="preserve"> </w:t>
            </w:r>
            <w:r>
              <w:rPr>
                <w:rFonts w:hint="eastAsia"/>
              </w:rPr>
              <w:t>促进外贸企业发展</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奖励企业个数</w:t>
            </w:r>
          </w:p>
        </w:tc>
        <w:tc>
          <w:tcPr>
            <w:tcW w:w="2835" w:type="dxa"/>
            <w:vAlign w:val="center"/>
          </w:tcPr>
          <w:p>
            <w:pPr>
              <w:pStyle w:val="28"/>
            </w:pPr>
            <w:r>
              <w:t>奖励企业个数</w:t>
            </w:r>
          </w:p>
        </w:tc>
        <w:tc>
          <w:tcPr>
            <w:tcW w:w="2551" w:type="dxa"/>
            <w:vAlign w:val="center"/>
          </w:tcPr>
          <w:p>
            <w:pPr>
              <w:pStyle w:val="28"/>
            </w:pPr>
            <w:r>
              <w:t>≥5个</w:t>
            </w:r>
          </w:p>
        </w:tc>
        <w:tc>
          <w:tcPr>
            <w:tcW w:w="2268" w:type="dxa"/>
            <w:vAlign w:val="center"/>
          </w:tcPr>
          <w:p>
            <w:pPr>
              <w:pStyle w:val="28"/>
            </w:pPr>
            <w:r>
              <w:t>是否达到指标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按照分配方案</w:t>
            </w:r>
          </w:p>
        </w:tc>
        <w:tc>
          <w:tcPr>
            <w:tcW w:w="2835" w:type="dxa"/>
            <w:vAlign w:val="center"/>
          </w:tcPr>
          <w:p>
            <w:pPr>
              <w:pStyle w:val="28"/>
            </w:pPr>
            <w:r>
              <w:t>按照分配方案奖励企业</w:t>
            </w:r>
          </w:p>
        </w:tc>
        <w:tc>
          <w:tcPr>
            <w:tcW w:w="2551" w:type="dxa"/>
            <w:vAlign w:val="center"/>
          </w:tcPr>
          <w:p>
            <w:pPr>
              <w:pStyle w:val="28"/>
            </w:pPr>
            <w:r>
              <w:t>≥5个</w:t>
            </w:r>
          </w:p>
        </w:tc>
        <w:tc>
          <w:tcPr>
            <w:tcW w:w="2268" w:type="dxa"/>
            <w:vAlign w:val="center"/>
          </w:tcPr>
          <w:p>
            <w:pPr>
              <w:pStyle w:val="28"/>
            </w:pPr>
            <w:r>
              <w:t>是否按照分配方案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及时发放到企业</w:t>
            </w:r>
          </w:p>
        </w:tc>
        <w:tc>
          <w:tcPr>
            <w:tcW w:w="2835" w:type="dxa"/>
            <w:vAlign w:val="center"/>
          </w:tcPr>
          <w:p>
            <w:pPr>
              <w:pStyle w:val="28"/>
            </w:pPr>
            <w:r>
              <w:t>及时发放到企业</w:t>
            </w:r>
          </w:p>
        </w:tc>
        <w:tc>
          <w:tcPr>
            <w:tcW w:w="2551" w:type="dxa"/>
            <w:vAlign w:val="center"/>
          </w:tcPr>
          <w:p>
            <w:pPr>
              <w:pStyle w:val="28"/>
            </w:pPr>
            <w:r>
              <w:t>100发放率</w:t>
            </w:r>
          </w:p>
        </w:tc>
        <w:tc>
          <w:tcPr>
            <w:tcW w:w="2268" w:type="dxa"/>
            <w:vAlign w:val="center"/>
          </w:tcPr>
          <w:p>
            <w:pPr>
              <w:pStyle w:val="28"/>
            </w:pPr>
            <w:r>
              <w:t>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按照预算数</w:t>
            </w:r>
          </w:p>
        </w:tc>
        <w:tc>
          <w:tcPr>
            <w:tcW w:w="2835" w:type="dxa"/>
            <w:vAlign w:val="center"/>
          </w:tcPr>
          <w:p>
            <w:pPr>
              <w:pStyle w:val="28"/>
            </w:pPr>
            <w:r>
              <w:t>按照预算数奖励企业</w:t>
            </w:r>
          </w:p>
        </w:tc>
        <w:tc>
          <w:tcPr>
            <w:tcW w:w="2551" w:type="dxa"/>
            <w:vAlign w:val="center"/>
          </w:tcPr>
          <w:p>
            <w:pPr>
              <w:pStyle w:val="28"/>
            </w:pPr>
            <w:r>
              <w:t>≥5个</w:t>
            </w:r>
          </w:p>
        </w:tc>
        <w:tc>
          <w:tcPr>
            <w:tcW w:w="2268" w:type="dxa"/>
            <w:vAlign w:val="center"/>
          </w:tcPr>
          <w:p>
            <w:pPr>
              <w:pStyle w:val="28"/>
            </w:pPr>
            <w:r>
              <w:t>是否超预算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帮助促进外贸发展</w:t>
            </w:r>
          </w:p>
        </w:tc>
        <w:tc>
          <w:tcPr>
            <w:tcW w:w="2835" w:type="dxa"/>
            <w:vAlign w:val="center"/>
          </w:tcPr>
          <w:p>
            <w:pPr>
              <w:pStyle w:val="28"/>
            </w:pPr>
            <w:r>
              <w:t>帮助企业促进外贸发展</w:t>
            </w:r>
          </w:p>
        </w:tc>
        <w:tc>
          <w:tcPr>
            <w:tcW w:w="2551" w:type="dxa"/>
            <w:vAlign w:val="center"/>
          </w:tcPr>
          <w:p>
            <w:pPr>
              <w:pStyle w:val="28"/>
            </w:pPr>
            <w:r>
              <w:t>≥5个</w:t>
            </w:r>
          </w:p>
        </w:tc>
        <w:tc>
          <w:tcPr>
            <w:tcW w:w="2268" w:type="dxa"/>
            <w:vAlign w:val="center"/>
          </w:tcPr>
          <w:p>
            <w:pPr>
              <w:pStyle w:val="28"/>
            </w:pPr>
            <w:r>
              <w:t>是否能帮助企业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奖励企业发放率</w:t>
            </w:r>
          </w:p>
        </w:tc>
        <w:tc>
          <w:tcPr>
            <w:tcW w:w="2835" w:type="dxa"/>
            <w:vAlign w:val="center"/>
          </w:tcPr>
          <w:p>
            <w:pPr>
              <w:pStyle w:val="28"/>
            </w:pPr>
            <w:r>
              <w:t>奖励企业发放率</w:t>
            </w:r>
          </w:p>
        </w:tc>
        <w:tc>
          <w:tcPr>
            <w:tcW w:w="2551" w:type="dxa"/>
            <w:vAlign w:val="center"/>
          </w:tcPr>
          <w:p>
            <w:pPr>
              <w:pStyle w:val="28"/>
            </w:pPr>
            <w:r>
              <w:t>≥95百分比</w:t>
            </w:r>
          </w:p>
        </w:tc>
        <w:tc>
          <w:tcPr>
            <w:tcW w:w="2268" w:type="dxa"/>
            <w:vAlign w:val="center"/>
          </w:tcPr>
          <w:p>
            <w:pPr>
              <w:pStyle w:val="28"/>
            </w:pPr>
            <w:r>
              <w:t>是否达到发放率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生态效益指标</w:t>
            </w:r>
          </w:p>
        </w:tc>
        <w:tc>
          <w:tcPr>
            <w:tcW w:w="2835" w:type="dxa"/>
            <w:vAlign w:val="center"/>
          </w:tcPr>
          <w:p>
            <w:pPr>
              <w:pStyle w:val="28"/>
            </w:pPr>
            <w:r>
              <w:t>促进外贸企业发展</w:t>
            </w:r>
          </w:p>
        </w:tc>
        <w:tc>
          <w:tcPr>
            <w:tcW w:w="2835" w:type="dxa"/>
            <w:vAlign w:val="center"/>
          </w:tcPr>
          <w:p>
            <w:pPr>
              <w:pStyle w:val="28"/>
            </w:pPr>
            <w:r>
              <w:t>促进外贸企业发展</w:t>
            </w:r>
          </w:p>
        </w:tc>
        <w:tc>
          <w:tcPr>
            <w:tcW w:w="2551" w:type="dxa"/>
            <w:vAlign w:val="center"/>
          </w:tcPr>
          <w:p>
            <w:pPr>
              <w:pStyle w:val="28"/>
            </w:pPr>
            <w:r>
              <w:t>≥5个</w:t>
            </w:r>
          </w:p>
        </w:tc>
        <w:tc>
          <w:tcPr>
            <w:tcW w:w="2268" w:type="dxa"/>
            <w:vAlign w:val="center"/>
          </w:tcPr>
          <w:p>
            <w:pPr>
              <w:pStyle w:val="28"/>
            </w:pPr>
            <w:r>
              <w:t>是否达到要求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促进贸易便利化效果提升</w:t>
            </w:r>
          </w:p>
        </w:tc>
        <w:tc>
          <w:tcPr>
            <w:tcW w:w="2835" w:type="dxa"/>
            <w:vAlign w:val="center"/>
          </w:tcPr>
          <w:p>
            <w:pPr>
              <w:pStyle w:val="28"/>
            </w:pPr>
            <w:r>
              <w:t>促进贸易便利化效果提升</w:t>
            </w:r>
          </w:p>
        </w:tc>
        <w:tc>
          <w:tcPr>
            <w:tcW w:w="2551" w:type="dxa"/>
            <w:vAlign w:val="center"/>
          </w:tcPr>
          <w:p>
            <w:pPr>
              <w:pStyle w:val="28"/>
            </w:pPr>
            <w:r>
              <w:t>≥90提升率</w:t>
            </w:r>
          </w:p>
        </w:tc>
        <w:tc>
          <w:tcPr>
            <w:tcW w:w="2268" w:type="dxa"/>
            <w:vAlign w:val="center"/>
          </w:tcPr>
          <w:p>
            <w:pPr>
              <w:pStyle w:val="28"/>
            </w:pPr>
            <w:r>
              <w:t>能否提升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企业满意度</w:t>
            </w:r>
          </w:p>
        </w:tc>
        <w:tc>
          <w:tcPr>
            <w:tcW w:w="2835" w:type="dxa"/>
            <w:vAlign w:val="center"/>
          </w:tcPr>
          <w:p>
            <w:pPr>
              <w:pStyle w:val="28"/>
            </w:pPr>
            <w:r>
              <w:t>企业满意度</w:t>
            </w:r>
          </w:p>
        </w:tc>
        <w:tc>
          <w:tcPr>
            <w:tcW w:w="2551" w:type="dxa"/>
            <w:vAlign w:val="center"/>
          </w:tcPr>
          <w:p>
            <w:pPr>
              <w:pStyle w:val="28"/>
            </w:pPr>
            <w:r>
              <w:t>≥95个</w:t>
            </w:r>
          </w:p>
        </w:tc>
        <w:tc>
          <w:tcPr>
            <w:tcW w:w="2268" w:type="dxa"/>
            <w:vAlign w:val="center"/>
          </w:tcPr>
          <w:p>
            <w:pPr>
              <w:pStyle w:val="28"/>
            </w:pPr>
            <w:r>
              <w:t>满意度</w:t>
            </w:r>
          </w:p>
        </w:tc>
      </w:tr>
    </w:tbl>
    <w:p>
      <w:pPr>
        <w:pStyle w:val="26"/>
      </w:pPr>
    </w:p>
    <w:p>
      <w:pPr>
        <w:pStyle w:val="26"/>
        <w:ind w:firstLine="560"/>
      </w:pPr>
      <w:r>
        <w:rPr>
          <w:rFonts w:ascii="方正仿宋_GBK" w:hAnsi="方正仿宋_GBK" w:eastAsia="方正仿宋_GBK" w:cs="方正仿宋_GBK"/>
          <w:b/>
          <w:color w:val="000000"/>
          <w:sz w:val="28"/>
        </w:rPr>
        <w:t>11、退役士兵公益岗位专项绩效目标表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w:t>
            </w:r>
            <w:r>
              <w:rPr>
                <w:rFonts w:hint="eastAsia" w:ascii="宋体" w:hAnsi="宋体" w:eastAsia="宋体" w:cs="宋体"/>
              </w:rPr>
              <w:t xml:space="preserve"> </w:t>
            </w:r>
            <w:r>
              <w:rPr>
                <w:rFonts w:hint="eastAsia"/>
              </w:rPr>
              <w:t>按时发放公益岗职工工资社保</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发放退役士兵工资人数</w:t>
            </w:r>
          </w:p>
        </w:tc>
        <w:tc>
          <w:tcPr>
            <w:tcW w:w="2835" w:type="dxa"/>
            <w:vAlign w:val="center"/>
          </w:tcPr>
          <w:p>
            <w:pPr>
              <w:pStyle w:val="28"/>
            </w:pPr>
            <w:r>
              <w:t>发放退役士兵工资人数</w:t>
            </w:r>
          </w:p>
        </w:tc>
        <w:tc>
          <w:tcPr>
            <w:tcW w:w="2551" w:type="dxa"/>
            <w:vAlign w:val="center"/>
          </w:tcPr>
          <w:p>
            <w:pPr>
              <w:pStyle w:val="28"/>
            </w:pPr>
            <w:r>
              <w:t>1发放退役士兵工资人数</w:t>
            </w:r>
          </w:p>
        </w:tc>
        <w:tc>
          <w:tcPr>
            <w:tcW w:w="2268" w:type="dxa"/>
            <w:vAlign w:val="center"/>
          </w:tcPr>
          <w:p>
            <w:pPr>
              <w:pStyle w:val="28"/>
            </w:pPr>
            <w:r>
              <w:t>退役士兵实际人数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发放完成率</w:t>
            </w:r>
          </w:p>
        </w:tc>
        <w:tc>
          <w:tcPr>
            <w:tcW w:w="2835" w:type="dxa"/>
            <w:vAlign w:val="center"/>
          </w:tcPr>
          <w:p>
            <w:pPr>
              <w:pStyle w:val="28"/>
            </w:pPr>
            <w:r>
              <w:t>按季度发放</w:t>
            </w:r>
          </w:p>
        </w:tc>
        <w:tc>
          <w:tcPr>
            <w:tcW w:w="2551" w:type="dxa"/>
            <w:vAlign w:val="center"/>
          </w:tcPr>
          <w:p>
            <w:pPr>
              <w:pStyle w:val="28"/>
            </w:pPr>
            <w:r>
              <w:t>100实际发放率</w:t>
            </w:r>
          </w:p>
        </w:tc>
        <w:tc>
          <w:tcPr>
            <w:tcW w:w="2268" w:type="dxa"/>
            <w:vAlign w:val="center"/>
          </w:tcPr>
          <w:p>
            <w:pPr>
              <w:pStyle w:val="28"/>
            </w:pPr>
            <w:r>
              <w:t>实际发放是否完成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按时发放工资</w:t>
            </w:r>
          </w:p>
        </w:tc>
        <w:tc>
          <w:tcPr>
            <w:tcW w:w="2835" w:type="dxa"/>
            <w:vAlign w:val="center"/>
          </w:tcPr>
          <w:p>
            <w:pPr>
              <w:pStyle w:val="28"/>
            </w:pPr>
            <w:r>
              <w:t>按时发放工资</w:t>
            </w:r>
          </w:p>
        </w:tc>
        <w:tc>
          <w:tcPr>
            <w:tcW w:w="2551" w:type="dxa"/>
            <w:vAlign w:val="center"/>
          </w:tcPr>
          <w:p>
            <w:pPr>
              <w:pStyle w:val="28"/>
            </w:pPr>
            <w:r>
              <w:t>100按时发放率</w:t>
            </w:r>
          </w:p>
        </w:tc>
        <w:tc>
          <w:tcPr>
            <w:tcW w:w="2268" w:type="dxa"/>
            <w:vAlign w:val="center"/>
          </w:tcPr>
          <w:p>
            <w:pPr>
              <w:pStyle w:val="28"/>
            </w:pPr>
            <w:r>
              <w:t>按时发放工资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经费预算</w:t>
            </w:r>
          </w:p>
        </w:tc>
        <w:tc>
          <w:tcPr>
            <w:tcW w:w="2835" w:type="dxa"/>
            <w:vAlign w:val="center"/>
          </w:tcPr>
          <w:p>
            <w:pPr>
              <w:pStyle w:val="28"/>
            </w:pPr>
            <w:r>
              <w:t>按应发数额发放</w:t>
            </w:r>
          </w:p>
        </w:tc>
        <w:tc>
          <w:tcPr>
            <w:tcW w:w="2551" w:type="dxa"/>
            <w:vAlign w:val="center"/>
          </w:tcPr>
          <w:p>
            <w:pPr>
              <w:pStyle w:val="28"/>
            </w:pPr>
            <w:r>
              <w:t>100应发率</w:t>
            </w:r>
          </w:p>
        </w:tc>
        <w:tc>
          <w:tcPr>
            <w:tcW w:w="2268" w:type="dxa"/>
            <w:vAlign w:val="center"/>
          </w:tcPr>
          <w:p>
            <w:pPr>
              <w:pStyle w:val="28"/>
            </w:pPr>
            <w:r>
              <w:t>按实际规定发放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促进退役士兵就业</w:t>
            </w:r>
          </w:p>
        </w:tc>
        <w:tc>
          <w:tcPr>
            <w:tcW w:w="2835" w:type="dxa"/>
            <w:vAlign w:val="center"/>
          </w:tcPr>
          <w:p>
            <w:pPr>
              <w:pStyle w:val="28"/>
            </w:pPr>
            <w:r>
              <w:t>促进退役士兵就业</w:t>
            </w:r>
          </w:p>
        </w:tc>
        <w:tc>
          <w:tcPr>
            <w:tcW w:w="2551" w:type="dxa"/>
            <w:vAlign w:val="center"/>
          </w:tcPr>
          <w:p>
            <w:pPr>
              <w:pStyle w:val="28"/>
            </w:pPr>
            <w:r>
              <w:t>100促进退役士兵就业</w:t>
            </w:r>
          </w:p>
        </w:tc>
        <w:tc>
          <w:tcPr>
            <w:tcW w:w="2268" w:type="dxa"/>
            <w:vAlign w:val="center"/>
          </w:tcPr>
          <w:p>
            <w:pPr>
              <w:pStyle w:val="28"/>
            </w:pPr>
            <w:r>
              <w:t>促进退役士兵就业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100服务对象满意度</w:t>
            </w:r>
          </w:p>
        </w:tc>
        <w:tc>
          <w:tcPr>
            <w:tcW w:w="2268" w:type="dxa"/>
            <w:vAlign w:val="center"/>
          </w:tcPr>
          <w:p>
            <w:pPr>
              <w:pStyle w:val="28"/>
            </w:pPr>
            <w:r>
              <w:t>服务对象满意度</w:t>
            </w:r>
          </w:p>
        </w:tc>
      </w:tr>
    </w:tbl>
    <w:p>
      <w:pPr>
        <w:pStyle w:val="26"/>
      </w:pPr>
    </w:p>
    <w:p>
      <w:pPr>
        <w:pStyle w:val="26"/>
        <w:ind w:firstLine="560"/>
      </w:pPr>
      <w:r>
        <w:rPr>
          <w:rFonts w:ascii="方正仿宋_GBK" w:hAnsi="方正仿宋_GBK" w:eastAsia="方正仿宋_GBK" w:cs="方正仿宋_GBK"/>
          <w:b/>
          <w:color w:val="000000"/>
          <w:sz w:val="28"/>
        </w:rPr>
        <w:t>12、外事专项绩效目标表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w:t>
            </w:r>
            <w:r>
              <w:rPr>
                <w:rFonts w:hint="eastAsia" w:ascii="宋体" w:hAnsi="宋体" w:eastAsia="宋体" w:cs="宋体"/>
              </w:rPr>
              <w:t xml:space="preserve"> </w:t>
            </w:r>
            <w:r>
              <w:rPr>
                <w:rFonts w:hint="eastAsia"/>
              </w:rPr>
              <w:t>做好我县境外人员引导和服务</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管理外籍人员</w:t>
            </w:r>
          </w:p>
        </w:tc>
        <w:tc>
          <w:tcPr>
            <w:tcW w:w="2835" w:type="dxa"/>
            <w:vAlign w:val="center"/>
          </w:tcPr>
          <w:p>
            <w:pPr>
              <w:pStyle w:val="28"/>
            </w:pPr>
            <w:r>
              <w:t>管理外籍人员</w:t>
            </w:r>
          </w:p>
        </w:tc>
        <w:tc>
          <w:tcPr>
            <w:tcW w:w="2551" w:type="dxa"/>
            <w:vAlign w:val="center"/>
          </w:tcPr>
          <w:p>
            <w:pPr>
              <w:pStyle w:val="28"/>
            </w:pPr>
            <w:r>
              <w:t>≥31全年管理在隆外籍人员个数</w:t>
            </w:r>
          </w:p>
        </w:tc>
        <w:tc>
          <w:tcPr>
            <w:tcW w:w="2268" w:type="dxa"/>
            <w:vAlign w:val="center"/>
          </w:tcPr>
          <w:p>
            <w:pPr>
              <w:pStyle w:val="28"/>
            </w:pPr>
            <w:r>
              <w:t>在隆外籍人员数量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提升外籍人员服务质量</w:t>
            </w:r>
          </w:p>
        </w:tc>
        <w:tc>
          <w:tcPr>
            <w:tcW w:w="2835" w:type="dxa"/>
            <w:vAlign w:val="center"/>
          </w:tcPr>
          <w:p>
            <w:pPr>
              <w:pStyle w:val="28"/>
            </w:pPr>
            <w:r>
              <w:t>提升外籍人员服务质量</w:t>
            </w:r>
          </w:p>
        </w:tc>
        <w:tc>
          <w:tcPr>
            <w:tcW w:w="2551" w:type="dxa"/>
            <w:vAlign w:val="center"/>
          </w:tcPr>
          <w:p>
            <w:pPr>
              <w:pStyle w:val="28"/>
            </w:pPr>
            <w:r>
              <w:t>≥90服务质量提升率</w:t>
            </w:r>
          </w:p>
        </w:tc>
        <w:tc>
          <w:tcPr>
            <w:tcW w:w="2268" w:type="dxa"/>
            <w:vAlign w:val="center"/>
          </w:tcPr>
          <w:p>
            <w:pPr>
              <w:pStyle w:val="28"/>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摸排在隆人员外籍人员</w:t>
            </w:r>
          </w:p>
        </w:tc>
        <w:tc>
          <w:tcPr>
            <w:tcW w:w="2835" w:type="dxa"/>
            <w:vAlign w:val="center"/>
          </w:tcPr>
          <w:p>
            <w:pPr>
              <w:pStyle w:val="28"/>
            </w:pPr>
            <w:r>
              <w:t>按时完成摸排任务</w:t>
            </w:r>
          </w:p>
        </w:tc>
        <w:tc>
          <w:tcPr>
            <w:tcW w:w="2551" w:type="dxa"/>
            <w:vAlign w:val="center"/>
          </w:tcPr>
          <w:p>
            <w:pPr>
              <w:pStyle w:val="28"/>
            </w:pPr>
            <w:r>
              <w:t>≥90摸排任务完成及时率</w:t>
            </w:r>
          </w:p>
        </w:tc>
        <w:tc>
          <w:tcPr>
            <w:tcW w:w="2268" w:type="dxa"/>
            <w:vAlign w:val="center"/>
          </w:tcPr>
          <w:p>
            <w:pPr>
              <w:pStyle w:val="28"/>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预算控制</w:t>
            </w:r>
          </w:p>
        </w:tc>
        <w:tc>
          <w:tcPr>
            <w:tcW w:w="2835" w:type="dxa"/>
            <w:vAlign w:val="center"/>
          </w:tcPr>
          <w:p>
            <w:pPr>
              <w:pStyle w:val="28"/>
            </w:pPr>
            <w:r>
              <w:t>按照预算严格支出</w:t>
            </w:r>
          </w:p>
        </w:tc>
        <w:tc>
          <w:tcPr>
            <w:tcW w:w="2551" w:type="dxa"/>
            <w:vAlign w:val="center"/>
          </w:tcPr>
          <w:p>
            <w:pPr>
              <w:pStyle w:val="28"/>
            </w:pPr>
            <w:r>
              <w:t>≥95按照预算严格支出</w:t>
            </w:r>
          </w:p>
        </w:tc>
        <w:tc>
          <w:tcPr>
            <w:tcW w:w="2268" w:type="dxa"/>
            <w:vAlign w:val="center"/>
          </w:tcPr>
          <w:p>
            <w:pPr>
              <w:pStyle w:val="28"/>
            </w:pPr>
            <w:r>
              <w:t>预算支出情况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建立国际友城</w:t>
            </w:r>
          </w:p>
        </w:tc>
        <w:tc>
          <w:tcPr>
            <w:tcW w:w="2835" w:type="dxa"/>
            <w:vAlign w:val="center"/>
          </w:tcPr>
          <w:p>
            <w:pPr>
              <w:pStyle w:val="28"/>
            </w:pPr>
            <w:r>
              <w:t>全年建立国际友城</w:t>
            </w:r>
          </w:p>
        </w:tc>
        <w:tc>
          <w:tcPr>
            <w:tcW w:w="2551" w:type="dxa"/>
            <w:vAlign w:val="center"/>
          </w:tcPr>
          <w:p>
            <w:pPr>
              <w:pStyle w:val="28"/>
            </w:pPr>
            <w:r>
              <w:t>≥1全年建立国际友城个数</w:t>
            </w:r>
          </w:p>
        </w:tc>
        <w:tc>
          <w:tcPr>
            <w:tcW w:w="2268" w:type="dxa"/>
            <w:vAlign w:val="center"/>
          </w:tcPr>
          <w:p>
            <w:pPr>
              <w:pStyle w:val="28"/>
            </w:pPr>
            <w:r>
              <w:t>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“三非”外国人涉外管理</w:t>
            </w:r>
          </w:p>
        </w:tc>
        <w:tc>
          <w:tcPr>
            <w:tcW w:w="2835" w:type="dxa"/>
            <w:vAlign w:val="center"/>
          </w:tcPr>
          <w:p>
            <w:pPr>
              <w:pStyle w:val="28"/>
            </w:pPr>
            <w:r>
              <w:t>协查“三非”人员签证事宜</w:t>
            </w:r>
          </w:p>
        </w:tc>
        <w:tc>
          <w:tcPr>
            <w:tcW w:w="2551" w:type="dxa"/>
            <w:vAlign w:val="center"/>
          </w:tcPr>
          <w:p>
            <w:pPr>
              <w:pStyle w:val="28"/>
            </w:pPr>
            <w:r>
              <w:t>≥90提升对外籍人员服务水平</w:t>
            </w:r>
          </w:p>
        </w:tc>
        <w:tc>
          <w:tcPr>
            <w:tcW w:w="2268" w:type="dxa"/>
            <w:vAlign w:val="center"/>
          </w:tcPr>
          <w:p>
            <w:pPr>
              <w:pStyle w:val="28"/>
            </w:pPr>
            <w:r>
              <w:t>提升对外籍人员服务水平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宣传国家相关政策</w:t>
            </w:r>
          </w:p>
        </w:tc>
        <w:tc>
          <w:tcPr>
            <w:tcW w:w="2835" w:type="dxa"/>
            <w:vAlign w:val="center"/>
          </w:tcPr>
          <w:p>
            <w:pPr>
              <w:pStyle w:val="28"/>
            </w:pPr>
            <w:r>
              <w:t>宣传国家相关政策</w:t>
            </w:r>
          </w:p>
        </w:tc>
        <w:tc>
          <w:tcPr>
            <w:tcW w:w="2551" w:type="dxa"/>
            <w:vAlign w:val="center"/>
          </w:tcPr>
          <w:p>
            <w:pPr>
              <w:pStyle w:val="28"/>
            </w:pPr>
            <w:r>
              <w:t>≥90宣传及时率</w:t>
            </w:r>
          </w:p>
        </w:tc>
        <w:tc>
          <w:tcPr>
            <w:tcW w:w="2268" w:type="dxa"/>
            <w:vAlign w:val="center"/>
          </w:tcPr>
          <w:p>
            <w:pPr>
              <w:pStyle w:val="28"/>
            </w:pPr>
            <w:r>
              <w:t>及时宣传外事方面相关政策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≥95服务对象满意度</w:t>
            </w:r>
          </w:p>
        </w:tc>
        <w:tc>
          <w:tcPr>
            <w:tcW w:w="2268" w:type="dxa"/>
            <w:vAlign w:val="center"/>
          </w:tcPr>
          <w:p>
            <w:pPr>
              <w:pStyle w:val="28"/>
            </w:pPr>
            <w:r>
              <w:t>服务对象满意度</w:t>
            </w:r>
          </w:p>
        </w:tc>
      </w:tr>
    </w:tbl>
    <w:p>
      <w:pPr>
        <w:pStyle w:val="26"/>
      </w:pPr>
    </w:p>
    <w:p>
      <w:pPr>
        <w:pStyle w:val="26"/>
        <w:ind w:firstLine="560"/>
      </w:pPr>
      <w:r>
        <w:rPr>
          <w:rFonts w:ascii="方正仿宋_GBK" w:hAnsi="方正仿宋_GBK" w:eastAsia="方正仿宋_GBK" w:cs="方正仿宋_GBK"/>
          <w:b/>
          <w:color w:val="000000"/>
          <w:sz w:val="28"/>
        </w:rPr>
        <w:t>13、外资外贸专项绩效目标表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w:t>
            </w:r>
            <w:r>
              <w:rPr>
                <w:rFonts w:hint="eastAsia" w:ascii="宋体" w:hAnsi="宋体" w:eastAsia="宋体" w:cs="宋体"/>
              </w:rPr>
              <w:t xml:space="preserve"> </w:t>
            </w:r>
            <w:r>
              <w:rPr>
                <w:rFonts w:hint="eastAsia"/>
              </w:rPr>
              <w:t>积极利用外贸扶持政策扶持企业发展，培育龙头出口企业</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重点支持企业个数</w:t>
            </w:r>
          </w:p>
        </w:tc>
        <w:tc>
          <w:tcPr>
            <w:tcW w:w="2835" w:type="dxa"/>
            <w:vAlign w:val="center"/>
          </w:tcPr>
          <w:p>
            <w:pPr>
              <w:pStyle w:val="28"/>
            </w:pPr>
            <w:r>
              <w:t>全年支持企业个数</w:t>
            </w:r>
          </w:p>
        </w:tc>
        <w:tc>
          <w:tcPr>
            <w:tcW w:w="2551" w:type="dxa"/>
            <w:vAlign w:val="center"/>
          </w:tcPr>
          <w:p>
            <w:pPr>
              <w:pStyle w:val="28"/>
            </w:pPr>
            <w:r>
              <w:t>≥2重点支持企业个数</w:t>
            </w:r>
          </w:p>
        </w:tc>
        <w:tc>
          <w:tcPr>
            <w:tcW w:w="2268" w:type="dxa"/>
            <w:vAlign w:val="center"/>
          </w:tcPr>
          <w:p>
            <w:pPr>
              <w:pStyle w:val="28"/>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外贸奖励金发放率</w:t>
            </w:r>
          </w:p>
        </w:tc>
        <w:tc>
          <w:tcPr>
            <w:tcW w:w="2835" w:type="dxa"/>
            <w:vAlign w:val="center"/>
          </w:tcPr>
          <w:p>
            <w:pPr>
              <w:pStyle w:val="28"/>
            </w:pPr>
            <w:r>
              <w:t>外贸奖励金发放率</w:t>
            </w:r>
          </w:p>
        </w:tc>
        <w:tc>
          <w:tcPr>
            <w:tcW w:w="2551" w:type="dxa"/>
            <w:vAlign w:val="center"/>
          </w:tcPr>
          <w:p>
            <w:pPr>
              <w:pStyle w:val="28"/>
            </w:pPr>
            <w:r>
              <w:t>≥90外贸奖励金发放率</w:t>
            </w:r>
          </w:p>
        </w:tc>
        <w:tc>
          <w:tcPr>
            <w:tcW w:w="2268" w:type="dxa"/>
            <w:vAlign w:val="center"/>
          </w:tcPr>
          <w:p>
            <w:pPr>
              <w:pStyle w:val="28"/>
            </w:pPr>
            <w:r>
              <w:t>实际发放率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按时发放奖励金</w:t>
            </w:r>
          </w:p>
        </w:tc>
        <w:tc>
          <w:tcPr>
            <w:tcW w:w="2835" w:type="dxa"/>
            <w:vAlign w:val="center"/>
          </w:tcPr>
          <w:p>
            <w:pPr>
              <w:pStyle w:val="28"/>
            </w:pPr>
            <w:r>
              <w:t>全年按时发放奖励金</w:t>
            </w:r>
          </w:p>
        </w:tc>
        <w:tc>
          <w:tcPr>
            <w:tcW w:w="2551" w:type="dxa"/>
            <w:vAlign w:val="center"/>
          </w:tcPr>
          <w:p>
            <w:pPr>
              <w:pStyle w:val="28"/>
            </w:pPr>
            <w:r>
              <w:t>≥90按规定时间发放奖励金</w:t>
            </w:r>
          </w:p>
        </w:tc>
        <w:tc>
          <w:tcPr>
            <w:tcW w:w="2268" w:type="dxa"/>
            <w:vAlign w:val="center"/>
          </w:tcPr>
          <w:p>
            <w:pPr>
              <w:pStyle w:val="28"/>
            </w:pPr>
            <w:r>
              <w:t>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为企业补助展位费情况</w:t>
            </w:r>
          </w:p>
        </w:tc>
        <w:tc>
          <w:tcPr>
            <w:tcW w:w="2835" w:type="dxa"/>
            <w:vAlign w:val="center"/>
          </w:tcPr>
          <w:p>
            <w:pPr>
              <w:pStyle w:val="28"/>
            </w:pPr>
            <w:r>
              <w:t>为企业补助展位费成本</w:t>
            </w:r>
          </w:p>
        </w:tc>
        <w:tc>
          <w:tcPr>
            <w:tcW w:w="2551" w:type="dxa"/>
            <w:vAlign w:val="center"/>
          </w:tcPr>
          <w:p>
            <w:pPr>
              <w:pStyle w:val="28"/>
            </w:pPr>
            <w:r>
              <w:t>≥90为企业补助展位费成本</w:t>
            </w:r>
          </w:p>
          <w:p>
            <w:pPr>
              <w:pStyle w:val="28"/>
            </w:pPr>
          </w:p>
        </w:tc>
        <w:tc>
          <w:tcPr>
            <w:tcW w:w="2268" w:type="dxa"/>
            <w:vAlign w:val="center"/>
          </w:tcPr>
          <w:p>
            <w:pPr>
              <w:pStyle w:val="28"/>
            </w:pPr>
            <w:r>
              <w:t>成本率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外贸进出口额增长率</w:t>
            </w:r>
          </w:p>
        </w:tc>
        <w:tc>
          <w:tcPr>
            <w:tcW w:w="2835" w:type="dxa"/>
            <w:vAlign w:val="center"/>
          </w:tcPr>
          <w:p>
            <w:pPr>
              <w:pStyle w:val="28"/>
            </w:pPr>
            <w:r>
              <w:t>全年外贸进出口增长率</w:t>
            </w:r>
          </w:p>
        </w:tc>
        <w:tc>
          <w:tcPr>
            <w:tcW w:w="2551" w:type="dxa"/>
            <w:vAlign w:val="center"/>
          </w:tcPr>
          <w:p>
            <w:pPr>
              <w:pStyle w:val="28"/>
            </w:pPr>
            <w:r>
              <w:t>≥10外贸进出口额增长率</w:t>
            </w:r>
          </w:p>
        </w:tc>
        <w:tc>
          <w:tcPr>
            <w:tcW w:w="2268" w:type="dxa"/>
            <w:vAlign w:val="center"/>
          </w:tcPr>
          <w:p>
            <w:pPr>
              <w:pStyle w:val="28"/>
            </w:pPr>
            <w:r>
              <w:t>平均增长率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拉动外贸企业开拓国际市场</w:t>
            </w:r>
          </w:p>
        </w:tc>
        <w:tc>
          <w:tcPr>
            <w:tcW w:w="2835" w:type="dxa"/>
            <w:vAlign w:val="center"/>
          </w:tcPr>
          <w:p>
            <w:pPr>
              <w:pStyle w:val="28"/>
            </w:pPr>
            <w:r>
              <w:t>拉动外贸企业开拓国际市场</w:t>
            </w:r>
          </w:p>
        </w:tc>
        <w:tc>
          <w:tcPr>
            <w:tcW w:w="2551" w:type="dxa"/>
            <w:vAlign w:val="center"/>
          </w:tcPr>
          <w:p>
            <w:pPr>
              <w:pStyle w:val="28"/>
            </w:pPr>
            <w:r>
              <w:t>≥5带动5家外贸企业开拓国际市场</w:t>
            </w:r>
          </w:p>
        </w:tc>
        <w:tc>
          <w:tcPr>
            <w:tcW w:w="2268" w:type="dxa"/>
            <w:vAlign w:val="center"/>
          </w:tcPr>
          <w:p>
            <w:pPr>
              <w:pStyle w:val="28"/>
            </w:pPr>
            <w:r>
              <w:t>预计测算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≥90服务对象满意度</w:t>
            </w:r>
          </w:p>
        </w:tc>
        <w:tc>
          <w:tcPr>
            <w:tcW w:w="2268" w:type="dxa"/>
            <w:vAlign w:val="center"/>
          </w:tcPr>
          <w:p>
            <w:pPr>
              <w:pStyle w:val="28"/>
            </w:pPr>
            <w:r>
              <w:t>服务对象满意度</w:t>
            </w:r>
          </w:p>
        </w:tc>
      </w:tr>
    </w:tbl>
    <w:p>
      <w:pPr>
        <w:pStyle w:val="26"/>
      </w:pPr>
    </w:p>
    <w:p>
      <w:pPr>
        <w:pStyle w:val="26"/>
        <w:ind w:firstLine="560"/>
      </w:pPr>
      <w:r>
        <w:rPr>
          <w:rFonts w:ascii="方正仿宋_GBK" w:hAnsi="方正仿宋_GBK" w:eastAsia="方正仿宋_GBK" w:cs="方正仿宋_GBK"/>
          <w:b/>
          <w:color w:val="000000"/>
          <w:sz w:val="28"/>
        </w:rPr>
        <w:t>14、再生资源专项绩效目标表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w:t>
            </w:r>
            <w:r>
              <w:rPr>
                <w:rFonts w:hint="eastAsia" w:ascii="宋体" w:hAnsi="宋体" w:eastAsia="宋体" w:cs="宋体"/>
              </w:rPr>
              <w:t xml:space="preserve"> </w:t>
            </w:r>
            <w:r>
              <w:rPr>
                <w:rFonts w:hint="eastAsia"/>
              </w:rPr>
              <w:t>开展废品收购站的清理治理</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巡查废品收购站</w:t>
            </w:r>
          </w:p>
        </w:tc>
        <w:tc>
          <w:tcPr>
            <w:tcW w:w="2835" w:type="dxa"/>
            <w:vAlign w:val="center"/>
          </w:tcPr>
          <w:p>
            <w:pPr>
              <w:pStyle w:val="28"/>
            </w:pPr>
            <w:r>
              <w:t>巡查废品收购站的个数</w:t>
            </w:r>
          </w:p>
        </w:tc>
        <w:tc>
          <w:tcPr>
            <w:tcW w:w="2551" w:type="dxa"/>
            <w:vAlign w:val="center"/>
          </w:tcPr>
          <w:p>
            <w:pPr>
              <w:pStyle w:val="28"/>
            </w:pPr>
            <w:r>
              <w:t>≥35巡查废品收购站的个数</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废品收购站提升整改</w:t>
            </w:r>
          </w:p>
        </w:tc>
        <w:tc>
          <w:tcPr>
            <w:tcW w:w="2835" w:type="dxa"/>
            <w:vAlign w:val="center"/>
          </w:tcPr>
          <w:p>
            <w:pPr>
              <w:pStyle w:val="28"/>
            </w:pPr>
            <w:r>
              <w:t>引导废品收购站提升</w:t>
            </w:r>
          </w:p>
        </w:tc>
        <w:tc>
          <w:tcPr>
            <w:tcW w:w="2551" w:type="dxa"/>
            <w:vAlign w:val="center"/>
          </w:tcPr>
          <w:p>
            <w:pPr>
              <w:pStyle w:val="28"/>
            </w:pPr>
            <w:r>
              <w:t>≥90提升改造率</w:t>
            </w:r>
          </w:p>
        </w:tc>
        <w:tc>
          <w:tcPr>
            <w:tcW w:w="2268" w:type="dxa"/>
            <w:vAlign w:val="center"/>
          </w:tcPr>
          <w:p>
            <w:pPr>
              <w:pStyle w:val="28"/>
            </w:pPr>
            <w:r>
              <w:t>预计改造效果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按期完成改造</w:t>
            </w:r>
          </w:p>
        </w:tc>
        <w:tc>
          <w:tcPr>
            <w:tcW w:w="2835" w:type="dxa"/>
            <w:vAlign w:val="center"/>
          </w:tcPr>
          <w:p>
            <w:pPr>
              <w:pStyle w:val="28"/>
            </w:pPr>
            <w:r>
              <w:t>按期完成改造</w:t>
            </w:r>
          </w:p>
        </w:tc>
        <w:tc>
          <w:tcPr>
            <w:tcW w:w="2551" w:type="dxa"/>
            <w:vAlign w:val="center"/>
          </w:tcPr>
          <w:p>
            <w:pPr>
              <w:pStyle w:val="28"/>
            </w:pPr>
            <w:r>
              <w:t>≥90按期完成率</w:t>
            </w:r>
          </w:p>
        </w:tc>
        <w:tc>
          <w:tcPr>
            <w:tcW w:w="2268"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预算不超标</w:t>
            </w:r>
          </w:p>
        </w:tc>
        <w:tc>
          <w:tcPr>
            <w:tcW w:w="2835" w:type="dxa"/>
            <w:vAlign w:val="center"/>
          </w:tcPr>
          <w:p>
            <w:pPr>
              <w:pStyle w:val="28"/>
            </w:pPr>
            <w:r>
              <w:t>严控成本支出</w:t>
            </w:r>
          </w:p>
        </w:tc>
        <w:tc>
          <w:tcPr>
            <w:tcW w:w="2551" w:type="dxa"/>
            <w:vAlign w:val="center"/>
          </w:tcPr>
          <w:p>
            <w:pPr>
              <w:pStyle w:val="28"/>
            </w:pPr>
            <w:r>
              <w:t>100预算控制率</w:t>
            </w:r>
          </w:p>
        </w:tc>
        <w:tc>
          <w:tcPr>
            <w:tcW w:w="2268" w:type="dxa"/>
            <w:vAlign w:val="center"/>
          </w:tcPr>
          <w:p>
            <w:pPr>
              <w:pStyle w:val="28"/>
            </w:pPr>
            <w:r>
              <w:t>按预算执行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维护废品回收市场稳定发展</w:t>
            </w:r>
          </w:p>
        </w:tc>
        <w:tc>
          <w:tcPr>
            <w:tcW w:w="2835" w:type="dxa"/>
            <w:vAlign w:val="center"/>
          </w:tcPr>
          <w:p>
            <w:pPr>
              <w:pStyle w:val="28"/>
            </w:pPr>
            <w:r>
              <w:t>维护废品回收市场稳定发展</w:t>
            </w:r>
          </w:p>
        </w:tc>
        <w:tc>
          <w:tcPr>
            <w:tcW w:w="2551" w:type="dxa"/>
            <w:vAlign w:val="center"/>
          </w:tcPr>
          <w:p>
            <w:pPr>
              <w:pStyle w:val="28"/>
            </w:pPr>
            <w:r>
              <w:t>≥90废品回收市场运行稳定率</w:t>
            </w:r>
          </w:p>
        </w:tc>
        <w:tc>
          <w:tcPr>
            <w:tcW w:w="2268" w:type="dxa"/>
            <w:vAlign w:val="center"/>
          </w:tcPr>
          <w:p>
            <w:pPr>
              <w:pStyle w:val="28"/>
            </w:pPr>
            <w:r>
              <w:t>预期运行情况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生态效益指标</w:t>
            </w:r>
          </w:p>
        </w:tc>
        <w:tc>
          <w:tcPr>
            <w:tcW w:w="2835" w:type="dxa"/>
            <w:vAlign w:val="center"/>
          </w:tcPr>
          <w:p>
            <w:pPr>
              <w:pStyle w:val="28"/>
            </w:pPr>
            <w:r>
              <w:t>环境质量改善</w:t>
            </w:r>
          </w:p>
        </w:tc>
        <w:tc>
          <w:tcPr>
            <w:tcW w:w="2835" w:type="dxa"/>
            <w:vAlign w:val="center"/>
          </w:tcPr>
          <w:p>
            <w:pPr>
              <w:pStyle w:val="28"/>
            </w:pPr>
            <w:r>
              <w:t>环境质量改善</w:t>
            </w:r>
          </w:p>
        </w:tc>
        <w:tc>
          <w:tcPr>
            <w:tcW w:w="2551" w:type="dxa"/>
            <w:vAlign w:val="center"/>
          </w:tcPr>
          <w:p>
            <w:pPr>
              <w:pStyle w:val="28"/>
            </w:pPr>
            <w:r>
              <w:t>≥90改善率</w:t>
            </w:r>
          </w:p>
        </w:tc>
        <w:tc>
          <w:tcPr>
            <w:tcW w:w="2268" w:type="dxa"/>
            <w:vAlign w:val="center"/>
          </w:tcPr>
          <w:p>
            <w:pPr>
              <w:pStyle w:val="28"/>
            </w:pPr>
            <w:r>
              <w:t>更好的改善环境质量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生态环境持续改善</w:t>
            </w:r>
          </w:p>
        </w:tc>
        <w:tc>
          <w:tcPr>
            <w:tcW w:w="2835" w:type="dxa"/>
            <w:vAlign w:val="center"/>
          </w:tcPr>
          <w:p>
            <w:pPr>
              <w:pStyle w:val="28"/>
            </w:pPr>
            <w:r>
              <w:t>生态环境持续改善</w:t>
            </w:r>
          </w:p>
        </w:tc>
        <w:tc>
          <w:tcPr>
            <w:tcW w:w="2551" w:type="dxa"/>
            <w:vAlign w:val="center"/>
          </w:tcPr>
          <w:p>
            <w:pPr>
              <w:pStyle w:val="28"/>
            </w:pPr>
            <w:r>
              <w:t>≥90生态环境持续改善率</w:t>
            </w:r>
          </w:p>
        </w:tc>
        <w:tc>
          <w:tcPr>
            <w:tcW w:w="2268" w:type="dxa"/>
            <w:vAlign w:val="center"/>
          </w:tcPr>
          <w:p>
            <w:pPr>
              <w:pStyle w:val="28"/>
            </w:pPr>
            <w:r>
              <w:t>更好的改善环境质量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群众满意度</w:t>
            </w:r>
          </w:p>
        </w:tc>
        <w:tc>
          <w:tcPr>
            <w:tcW w:w="2551" w:type="dxa"/>
            <w:vAlign w:val="center"/>
          </w:tcPr>
          <w:p>
            <w:pPr>
              <w:pStyle w:val="28"/>
            </w:pPr>
            <w:r>
              <w:t>≥90群众满意度</w:t>
            </w:r>
          </w:p>
        </w:tc>
        <w:tc>
          <w:tcPr>
            <w:tcW w:w="2268" w:type="dxa"/>
            <w:vAlign w:val="center"/>
          </w:tcPr>
          <w:p>
            <w:pPr>
              <w:pStyle w:val="28"/>
            </w:pPr>
            <w:r>
              <w:t>群众满意度</w:t>
            </w:r>
          </w:p>
        </w:tc>
      </w:tr>
    </w:tbl>
    <w:p>
      <w:pPr>
        <w:pStyle w:val="26"/>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2022年，隆尧县商务局本级安排政府采购预算36.80万元。具体内容见下表。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814001隆尧县商务局本级</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36.80</w:t>
            </w:r>
          </w:p>
        </w:tc>
        <w:tc>
          <w:tcPr>
            <w:tcW w:w="964" w:type="dxa"/>
            <w:vAlign w:val="center"/>
          </w:tcPr>
          <w:p>
            <w:pPr>
              <w:pStyle w:val="17"/>
            </w:pPr>
            <w:r>
              <w:t>36.80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隆尧县商务局本级小计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36.80</w:t>
            </w:r>
          </w:p>
        </w:tc>
        <w:tc>
          <w:tcPr>
            <w:tcW w:w="964" w:type="dxa"/>
            <w:vAlign w:val="center"/>
          </w:tcPr>
          <w:p>
            <w:pPr>
              <w:pStyle w:val="17"/>
            </w:pPr>
            <w:r>
              <w:t>36.80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跨境电商专项</w:t>
            </w:r>
          </w:p>
        </w:tc>
        <w:tc>
          <w:tcPr>
            <w:tcW w:w="964" w:type="dxa"/>
            <w:vAlign w:val="center"/>
          </w:tcPr>
          <w:p>
            <w:pPr>
              <w:pStyle w:val="13"/>
            </w:pPr>
            <w:r>
              <w:t>60.00</w:t>
            </w:r>
          </w:p>
        </w:tc>
        <w:tc>
          <w:tcPr>
            <w:tcW w:w="1134" w:type="dxa"/>
            <w:vAlign w:val="center"/>
          </w:tcPr>
          <w:p>
            <w:pPr>
              <w:pStyle w:val="14"/>
            </w:pPr>
            <w:r>
              <w:t>其他服务</w:t>
            </w:r>
          </w:p>
        </w:tc>
        <w:tc>
          <w:tcPr>
            <w:tcW w:w="1134" w:type="dxa"/>
            <w:vAlign w:val="center"/>
          </w:tcPr>
          <w:p>
            <w:pPr>
              <w:pStyle w:val="14"/>
            </w:pPr>
            <w:r>
              <w:t>C99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36.80</w:t>
            </w:r>
          </w:p>
        </w:tc>
        <w:tc>
          <w:tcPr>
            <w:tcW w:w="964" w:type="dxa"/>
            <w:vAlign w:val="center"/>
          </w:tcPr>
          <w:p>
            <w:pPr>
              <w:pStyle w:val="13"/>
            </w:pPr>
            <w:r>
              <w:t>36.80</w:t>
            </w:r>
          </w:p>
        </w:tc>
        <w:tc>
          <w:tcPr>
            <w:tcW w:w="964" w:type="dxa"/>
            <w:vAlign w:val="center"/>
          </w:tcPr>
          <w:p>
            <w:pPr>
              <w:pStyle w:val="13"/>
            </w:pPr>
            <w:r>
              <w:t>36.80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36.80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隆尧县商务局本级上年末固定资产金额为8.06万元（详见下表）。本年度拟购置固定资产总额为0.00万元，已按要求列入政府采购预算，详见政府采购预算表。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814001隆尧县商务局本级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281</w:t>
            </w:r>
          </w:p>
        </w:tc>
        <w:tc>
          <w:tcPr>
            <w:tcW w:w="2835" w:type="dxa"/>
            <w:vAlign w:val="center"/>
          </w:tcPr>
          <w:p>
            <w:pPr>
              <w:pStyle w:val="13"/>
            </w:pPr>
            <w:r>
              <w:t>8.06</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rPr>
          <w:rFonts w:eastAsia="方正仿宋_GBK"/>
          <w:color w:val="000000"/>
          <w:sz w:val="28"/>
        </w:rPr>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spacing w:line="500" w:lineRule="exact"/>
        <w:rPr>
          <w:rFonts w:eastAsia="方正仿宋_GBK"/>
          <w:color w:val="000000"/>
          <w:sz w:val="28"/>
        </w:rPr>
      </w:pPr>
    </w:p>
    <w:p>
      <w:pPr>
        <w:spacing w:line="500" w:lineRule="exact"/>
        <w:rPr>
          <w:rFonts w:eastAsia="方正仿宋_GBK"/>
          <w:color w:val="000000"/>
          <w:sz w:val="28"/>
        </w:rPr>
      </w:pPr>
    </w:p>
    <w:p>
      <w:pPr>
        <w:spacing w:line="500" w:lineRule="exact"/>
        <w:rPr>
          <w:rFonts w:eastAsia="方正仿宋_GBK"/>
          <w:color w:val="000000"/>
          <w:sz w:val="28"/>
        </w:rPr>
      </w:pPr>
    </w:p>
    <w:p>
      <w:pPr>
        <w:spacing w:line="500" w:lineRule="exact"/>
        <w:rPr>
          <w:rFonts w:eastAsia="方正仿宋_GBK"/>
          <w:color w:val="000000"/>
          <w:sz w:val="28"/>
        </w:rPr>
      </w:pPr>
    </w:p>
    <w:p>
      <w:pPr>
        <w:spacing w:line="500" w:lineRule="exact"/>
        <w:rPr>
          <w:rFonts w:eastAsia="方正仿宋_GBK"/>
          <w:color w:val="000000"/>
          <w:sz w:val="28"/>
        </w:rPr>
      </w:pPr>
    </w:p>
    <w:p>
      <w:pPr>
        <w:spacing w:line="500" w:lineRule="exact"/>
        <w:rPr>
          <w:rFonts w:eastAsia="方正仿宋_GBK"/>
          <w:color w:val="000000"/>
          <w:sz w:val="28"/>
        </w:rPr>
      </w:pPr>
    </w:p>
    <w:p>
      <w:pPr>
        <w:spacing w:line="500" w:lineRule="exact"/>
        <w:rPr>
          <w:rFonts w:eastAsia="方正仿宋_GBK"/>
          <w:color w:val="000000"/>
          <w:sz w:val="28"/>
        </w:rPr>
      </w:pPr>
    </w:p>
    <w:p>
      <w:pPr>
        <w:spacing w:line="500" w:lineRule="exact"/>
        <w:rPr>
          <w:rFonts w:eastAsia="方正仿宋_GBK"/>
          <w:color w:val="000000"/>
          <w:sz w:val="28"/>
        </w:rPr>
      </w:pPr>
    </w:p>
    <w:p>
      <w:pPr>
        <w:jc w:val="center"/>
        <w:outlineLvl w:val="3"/>
      </w:pPr>
      <w:r>
        <w:rPr>
          <w:rFonts w:ascii="方正小标宋_GBK" w:hAnsi="方正小标宋_GBK" w:eastAsia="方正小标宋_GBK" w:cs="方正小标宋_GBK"/>
          <w:color w:val="000000"/>
          <w:sz w:val="72"/>
        </w:rPr>
        <w:t>第</w:t>
      </w:r>
      <w:r>
        <w:rPr>
          <w:rFonts w:hint="eastAsia" w:ascii="方正小标宋_GBK" w:hAnsi="方正小标宋_GBK" w:eastAsia="方正小标宋_GBK" w:cs="方正小标宋_GBK"/>
          <w:color w:val="000000"/>
          <w:sz w:val="72"/>
          <w:lang w:val="en-US" w:eastAsia="zh-CN"/>
        </w:rPr>
        <w:t>二</w:t>
      </w:r>
      <w:r>
        <w:rPr>
          <w:rFonts w:ascii="方正小标宋_GBK" w:hAnsi="方正小标宋_GBK" w:eastAsia="方正小标宋_GBK" w:cs="方正小标宋_GBK"/>
          <w:color w:val="000000"/>
          <w:sz w:val="72"/>
        </w:rPr>
        <w:t>部分</w:t>
      </w:r>
      <w:r>
        <w:rPr>
          <w:rFonts w:hint="eastAsia" w:ascii="方正小标宋_GBK" w:hAnsi="方正小标宋_GBK" w:eastAsia="方正小标宋_GBK" w:cs="方正小标宋_GBK"/>
          <w:color w:val="000000"/>
          <w:sz w:val="72"/>
          <w:lang w:val="en-US" w:eastAsia="zh-CN"/>
        </w:rPr>
        <w:t xml:space="preserve">  </w:t>
      </w:r>
      <w:r>
        <w:rPr>
          <w:rFonts w:hint="eastAsia" w:ascii="方正小标宋_GBK" w:hAnsi="方正小标宋_GBK" w:eastAsia="方正小标宋_GBK" w:cs="方正小标宋_GBK"/>
          <w:color w:val="000000"/>
          <w:sz w:val="72"/>
        </w:rPr>
        <w:t>隆尧县招商服务中心</w:t>
      </w:r>
      <w:r>
        <w:rPr>
          <w:rFonts w:ascii="方正小标宋_GBK" w:hAnsi="方正小标宋_GBK" w:eastAsia="方正小标宋_GBK" w:cs="方正小标宋_GBK"/>
          <w:color w:val="000000"/>
          <w:sz w:val="72"/>
        </w:rPr>
        <w:t>收支预</w:t>
      </w:r>
      <w:r>
        <w:rPr>
          <w:rFonts w:hint="eastAsia" w:ascii="方正小标宋_GBK" w:hAnsi="方正小标宋_GBK" w:eastAsia="方正小标宋_GBK" w:cs="方正小标宋_GBK"/>
          <w:color w:val="000000"/>
          <w:sz w:val="72"/>
          <w:lang w:val="en-US" w:eastAsia="zh-CN"/>
        </w:rPr>
        <w:t>算</w:t>
      </w:r>
    </w:p>
    <w:p>
      <w:pPr>
        <w:spacing w:line="500" w:lineRule="exact"/>
        <w:rPr>
          <w:rFonts w:eastAsia="方正仿宋_GBK"/>
          <w:color w:val="000000"/>
          <w:sz w:val="28"/>
        </w:r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814003隆尧县招商服务中心</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572.90</w:t>
            </w:r>
          </w:p>
        </w:tc>
        <w:tc>
          <w:tcPr>
            <w:tcW w:w="4535" w:type="dxa"/>
            <w:vAlign w:val="center"/>
          </w:tcPr>
          <w:p>
            <w:pPr>
              <w:pStyle w:val="14"/>
            </w:pPr>
            <w:r>
              <w:t>一、一般公共服务支出</w:t>
            </w:r>
          </w:p>
        </w:tc>
        <w:tc>
          <w:tcPr>
            <w:tcW w:w="2126" w:type="dxa"/>
            <w:vAlign w:val="center"/>
          </w:tcPr>
          <w:p>
            <w:pPr>
              <w:pStyle w:val="13"/>
            </w:pPr>
            <w:r>
              <w:t>559.82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二十六、年初预留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572.90</w:t>
            </w:r>
          </w:p>
        </w:tc>
        <w:tc>
          <w:tcPr>
            <w:tcW w:w="4535" w:type="dxa"/>
            <w:vAlign w:val="center"/>
          </w:tcPr>
          <w:p>
            <w:pPr>
              <w:pStyle w:val="16"/>
            </w:pPr>
            <w:r>
              <w:t>本年支出合计</w:t>
            </w:r>
          </w:p>
        </w:tc>
        <w:tc>
          <w:tcPr>
            <w:tcW w:w="2126" w:type="dxa"/>
            <w:vAlign w:val="center"/>
          </w:tcPr>
          <w:p>
            <w:pPr>
              <w:pStyle w:val="17"/>
            </w:pPr>
            <w:r>
              <w:t>572.90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572.90</w:t>
            </w:r>
          </w:p>
        </w:tc>
        <w:tc>
          <w:tcPr>
            <w:tcW w:w="4535" w:type="dxa"/>
            <w:vAlign w:val="center"/>
          </w:tcPr>
          <w:p>
            <w:pPr>
              <w:pStyle w:val="16"/>
            </w:pPr>
            <w:r>
              <w:t>支出总计</w:t>
            </w:r>
          </w:p>
        </w:tc>
        <w:tc>
          <w:tcPr>
            <w:tcW w:w="2126" w:type="dxa"/>
            <w:vAlign w:val="center"/>
          </w:tcPr>
          <w:p>
            <w:pPr>
              <w:pStyle w:val="17"/>
            </w:pPr>
            <w:r>
              <w:t>572.90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814003隆尧县招商服务中心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572.90</w:t>
            </w:r>
          </w:p>
        </w:tc>
        <w:tc>
          <w:tcPr>
            <w:tcW w:w="1134" w:type="dxa"/>
            <w:vAlign w:val="center"/>
          </w:tcPr>
          <w:p>
            <w:pPr>
              <w:pStyle w:val="17"/>
            </w:pPr>
            <w:r>
              <w:t>572.90</w:t>
            </w:r>
          </w:p>
        </w:tc>
        <w:tc>
          <w:tcPr>
            <w:tcW w:w="1134" w:type="dxa"/>
            <w:vAlign w:val="center"/>
          </w:tcPr>
          <w:p>
            <w:pPr>
              <w:pStyle w:val="17"/>
            </w:pPr>
            <w:r>
              <w:t>572.90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559.82</w:t>
            </w:r>
          </w:p>
        </w:tc>
        <w:tc>
          <w:tcPr>
            <w:tcW w:w="1134" w:type="dxa"/>
            <w:vAlign w:val="center"/>
          </w:tcPr>
          <w:p>
            <w:pPr>
              <w:pStyle w:val="13"/>
            </w:pPr>
            <w:r>
              <w:t>559.82</w:t>
            </w:r>
          </w:p>
        </w:tc>
        <w:tc>
          <w:tcPr>
            <w:tcW w:w="1134" w:type="dxa"/>
            <w:vAlign w:val="center"/>
          </w:tcPr>
          <w:p>
            <w:pPr>
              <w:pStyle w:val="13"/>
            </w:pPr>
            <w:r>
              <w:t>559.82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20113</w:t>
            </w:r>
          </w:p>
        </w:tc>
        <w:tc>
          <w:tcPr>
            <w:tcW w:w="1559" w:type="dxa"/>
            <w:vAlign w:val="center"/>
          </w:tcPr>
          <w:p>
            <w:pPr>
              <w:pStyle w:val="14"/>
            </w:pPr>
            <w:r>
              <w:t>商贸事务</w:t>
            </w:r>
          </w:p>
        </w:tc>
        <w:tc>
          <w:tcPr>
            <w:tcW w:w="1134" w:type="dxa"/>
            <w:vAlign w:val="center"/>
          </w:tcPr>
          <w:p>
            <w:pPr>
              <w:pStyle w:val="13"/>
            </w:pPr>
            <w:r>
              <w:t>559.82</w:t>
            </w:r>
          </w:p>
        </w:tc>
        <w:tc>
          <w:tcPr>
            <w:tcW w:w="1134" w:type="dxa"/>
            <w:vAlign w:val="center"/>
          </w:tcPr>
          <w:p>
            <w:pPr>
              <w:pStyle w:val="13"/>
            </w:pPr>
            <w:r>
              <w:t>559.82</w:t>
            </w:r>
          </w:p>
        </w:tc>
        <w:tc>
          <w:tcPr>
            <w:tcW w:w="1134" w:type="dxa"/>
            <w:vAlign w:val="center"/>
          </w:tcPr>
          <w:p>
            <w:pPr>
              <w:pStyle w:val="13"/>
            </w:pPr>
            <w:r>
              <w:t>559.82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2011308</w:t>
            </w:r>
          </w:p>
        </w:tc>
        <w:tc>
          <w:tcPr>
            <w:tcW w:w="1559" w:type="dxa"/>
            <w:vAlign w:val="center"/>
          </w:tcPr>
          <w:p>
            <w:pPr>
              <w:pStyle w:val="14"/>
            </w:pPr>
            <w:r>
              <w:t>招商引资</w:t>
            </w:r>
          </w:p>
        </w:tc>
        <w:tc>
          <w:tcPr>
            <w:tcW w:w="1134" w:type="dxa"/>
            <w:vAlign w:val="center"/>
          </w:tcPr>
          <w:p>
            <w:pPr>
              <w:pStyle w:val="13"/>
            </w:pPr>
            <w:r>
              <w:t>559.82</w:t>
            </w:r>
          </w:p>
        </w:tc>
        <w:tc>
          <w:tcPr>
            <w:tcW w:w="1134" w:type="dxa"/>
            <w:vAlign w:val="center"/>
          </w:tcPr>
          <w:p>
            <w:pPr>
              <w:pStyle w:val="13"/>
            </w:pPr>
            <w:r>
              <w:t>559.82</w:t>
            </w:r>
          </w:p>
        </w:tc>
        <w:tc>
          <w:tcPr>
            <w:tcW w:w="1134" w:type="dxa"/>
            <w:vAlign w:val="center"/>
          </w:tcPr>
          <w:p>
            <w:pPr>
              <w:pStyle w:val="13"/>
            </w:pPr>
            <w:r>
              <w:t>559.82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5.52</w:t>
            </w:r>
          </w:p>
        </w:tc>
        <w:tc>
          <w:tcPr>
            <w:tcW w:w="1134" w:type="dxa"/>
            <w:vAlign w:val="center"/>
          </w:tcPr>
          <w:p>
            <w:pPr>
              <w:pStyle w:val="13"/>
            </w:pPr>
            <w:r>
              <w:t>5.52</w:t>
            </w:r>
          </w:p>
        </w:tc>
        <w:tc>
          <w:tcPr>
            <w:tcW w:w="1134" w:type="dxa"/>
            <w:vAlign w:val="center"/>
          </w:tcPr>
          <w:p>
            <w:pPr>
              <w:pStyle w:val="13"/>
            </w:pPr>
            <w:r>
              <w:t>5.52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5.52</w:t>
            </w:r>
          </w:p>
        </w:tc>
        <w:tc>
          <w:tcPr>
            <w:tcW w:w="1134" w:type="dxa"/>
            <w:vAlign w:val="center"/>
          </w:tcPr>
          <w:p>
            <w:pPr>
              <w:pStyle w:val="13"/>
            </w:pPr>
            <w:r>
              <w:t>5.52</w:t>
            </w:r>
          </w:p>
        </w:tc>
        <w:tc>
          <w:tcPr>
            <w:tcW w:w="1134" w:type="dxa"/>
            <w:vAlign w:val="center"/>
          </w:tcPr>
          <w:p>
            <w:pPr>
              <w:pStyle w:val="13"/>
            </w:pPr>
            <w:r>
              <w:t>5.52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5.52</w:t>
            </w:r>
          </w:p>
        </w:tc>
        <w:tc>
          <w:tcPr>
            <w:tcW w:w="1134" w:type="dxa"/>
            <w:vAlign w:val="center"/>
          </w:tcPr>
          <w:p>
            <w:pPr>
              <w:pStyle w:val="13"/>
            </w:pPr>
            <w:r>
              <w:t>5.52</w:t>
            </w:r>
          </w:p>
        </w:tc>
        <w:tc>
          <w:tcPr>
            <w:tcW w:w="1134" w:type="dxa"/>
            <w:vAlign w:val="center"/>
          </w:tcPr>
          <w:p>
            <w:pPr>
              <w:pStyle w:val="13"/>
            </w:pPr>
            <w:r>
              <w:t>5.52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2.82</w:t>
            </w:r>
          </w:p>
        </w:tc>
        <w:tc>
          <w:tcPr>
            <w:tcW w:w="1134" w:type="dxa"/>
            <w:vAlign w:val="center"/>
          </w:tcPr>
          <w:p>
            <w:pPr>
              <w:pStyle w:val="13"/>
            </w:pPr>
            <w:r>
              <w:t>2.82</w:t>
            </w:r>
          </w:p>
        </w:tc>
        <w:tc>
          <w:tcPr>
            <w:tcW w:w="1134" w:type="dxa"/>
            <w:vAlign w:val="center"/>
          </w:tcPr>
          <w:p>
            <w:pPr>
              <w:pStyle w:val="13"/>
            </w:pPr>
            <w:r>
              <w:t>2.82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2.82</w:t>
            </w:r>
          </w:p>
        </w:tc>
        <w:tc>
          <w:tcPr>
            <w:tcW w:w="1134" w:type="dxa"/>
            <w:vAlign w:val="center"/>
          </w:tcPr>
          <w:p>
            <w:pPr>
              <w:pStyle w:val="13"/>
            </w:pPr>
            <w:r>
              <w:t>2.82</w:t>
            </w:r>
          </w:p>
        </w:tc>
        <w:tc>
          <w:tcPr>
            <w:tcW w:w="1134" w:type="dxa"/>
            <w:vAlign w:val="center"/>
          </w:tcPr>
          <w:p>
            <w:pPr>
              <w:pStyle w:val="13"/>
            </w:pPr>
            <w:r>
              <w:t>2.82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2.82</w:t>
            </w:r>
          </w:p>
        </w:tc>
        <w:tc>
          <w:tcPr>
            <w:tcW w:w="1134" w:type="dxa"/>
            <w:vAlign w:val="center"/>
          </w:tcPr>
          <w:p>
            <w:pPr>
              <w:pStyle w:val="13"/>
            </w:pPr>
            <w:r>
              <w:t>2.82</w:t>
            </w:r>
          </w:p>
        </w:tc>
        <w:tc>
          <w:tcPr>
            <w:tcW w:w="1134" w:type="dxa"/>
            <w:vAlign w:val="center"/>
          </w:tcPr>
          <w:p>
            <w:pPr>
              <w:pStyle w:val="13"/>
            </w:pPr>
            <w:r>
              <w:t>2.82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4.75</w:t>
            </w:r>
          </w:p>
        </w:tc>
        <w:tc>
          <w:tcPr>
            <w:tcW w:w="1134" w:type="dxa"/>
            <w:vAlign w:val="center"/>
          </w:tcPr>
          <w:p>
            <w:pPr>
              <w:pStyle w:val="13"/>
            </w:pPr>
            <w:r>
              <w:t>4.75</w:t>
            </w:r>
          </w:p>
        </w:tc>
        <w:tc>
          <w:tcPr>
            <w:tcW w:w="1134" w:type="dxa"/>
            <w:vAlign w:val="center"/>
          </w:tcPr>
          <w:p>
            <w:pPr>
              <w:pStyle w:val="13"/>
            </w:pPr>
            <w:r>
              <w:t>4.75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4.75</w:t>
            </w:r>
          </w:p>
        </w:tc>
        <w:tc>
          <w:tcPr>
            <w:tcW w:w="1134" w:type="dxa"/>
            <w:vAlign w:val="center"/>
          </w:tcPr>
          <w:p>
            <w:pPr>
              <w:pStyle w:val="13"/>
            </w:pPr>
            <w:r>
              <w:t>4.75</w:t>
            </w:r>
          </w:p>
        </w:tc>
        <w:tc>
          <w:tcPr>
            <w:tcW w:w="1134" w:type="dxa"/>
            <w:vAlign w:val="center"/>
          </w:tcPr>
          <w:p>
            <w:pPr>
              <w:pStyle w:val="13"/>
            </w:pPr>
            <w:r>
              <w:t>4.75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4.75</w:t>
            </w:r>
          </w:p>
        </w:tc>
        <w:tc>
          <w:tcPr>
            <w:tcW w:w="1134" w:type="dxa"/>
            <w:vAlign w:val="center"/>
          </w:tcPr>
          <w:p>
            <w:pPr>
              <w:pStyle w:val="13"/>
            </w:pPr>
            <w:r>
              <w:t>4.75</w:t>
            </w:r>
          </w:p>
        </w:tc>
        <w:tc>
          <w:tcPr>
            <w:tcW w:w="1134" w:type="dxa"/>
            <w:vAlign w:val="center"/>
          </w:tcPr>
          <w:p>
            <w:pPr>
              <w:pStyle w:val="13"/>
            </w:pPr>
            <w:r>
              <w:t>4.75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814003隆尧县招商服务中心</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572.90</w:t>
            </w:r>
          </w:p>
        </w:tc>
        <w:tc>
          <w:tcPr>
            <w:tcW w:w="1361" w:type="dxa"/>
            <w:vAlign w:val="center"/>
          </w:tcPr>
          <w:p>
            <w:pPr>
              <w:pStyle w:val="17"/>
            </w:pPr>
            <w:r>
              <w:t>64.90</w:t>
            </w:r>
          </w:p>
        </w:tc>
        <w:tc>
          <w:tcPr>
            <w:tcW w:w="1361" w:type="dxa"/>
            <w:vAlign w:val="center"/>
          </w:tcPr>
          <w:p>
            <w:pPr>
              <w:pStyle w:val="17"/>
            </w:pPr>
            <w:r>
              <w:t>508.00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559.82</w:t>
            </w:r>
          </w:p>
        </w:tc>
        <w:tc>
          <w:tcPr>
            <w:tcW w:w="1361" w:type="dxa"/>
            <w:vAlign w:val="center"/>
          </w:tcPr>
          <w:p>
            <w:pPr>
              <w:pStyle w:val="13"/>
            </w:pPr>
            <w:r>
              <w:t>51.82</w:t>
            </w:r>
          </w:p>
        </w:tc>
        <w:tc>
          <w:tcPr>
            <w:tcW w:w="1361" w:type="dxa"/>
            <w:vAlign w:val="center"/>
          </w:tcPr>
          <w:p>
            <w:pPr>
              <w:pStyle w:val="13"/>
            </w:pPr>
            <w:r>
              <w:t>508.00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20113</w:t>
            </w:r>
          </w:p>
        </w:tc>
        <w:tc>
          <w:tcPr>
            <w:tcW w:w="4535" w:type="dxa"/>
            <w:vAlign w:val="center"/>
          </w:tcPr>
          <w:p>
            <w:pPr>
              <w:pStyle w:val="14"/>
            </w:pPr>
            <w:r>
              <w:t>商贸事务</w:t>
            </w:r>
          </w:p>
        </w:tc>
        <w:tc>
          <w:tcPr>
            <w:tcW w:w="1361" w:type="dxa"/>
            <w:vAlign w:val="center"/>
          </w:tcPr>
          <w:p>
            <w:pPr>
              <w:pStyle w:val="13"/>
            </w:pPr>
            <w:r>
              <w:t>559.82</w:t>
            </w:r>
          </w:p>
        </w:tc>
        <w:tc>
          <w:tcPr>
            <w:tcW w:w="1361" w:type="dxa"/>
            <w:vAlign w:val="center"/>
          </w:tcPr>
          <w:p>
            <w:pPr>
              <w:pStyle w:val="13"/>
            </w:pPr>
            <w:r>
              <w:t>51.82</w:t>
            </w:r>
          </w:p>
        </w:tc>
        <w:tc>
          <w:tcPr>
            <w:tcW w:w="1361" w:type="dxa"/>
            <w:vAlign w:val="center"/>
          </w:tcPr>
          <w:p>
            <w:pPr>
              <w:pStyle w:val="13"/>
            </w:pPr>
            <w:r>
              <w:t>508.00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2011308</w:t>
            </w:r>
          </w:p>
        </w:tc>
        <w:tc>
          <w:tcPr>
            <w:tcW w:w="4535" w:type="dxa"/>
            <w:vAlign w:val="center"/>
          </w:tcPr>
          <w:p>
            <w:pPr>
              <w:pStyle w:val="14"/>
            </w:pPr>
            <w:r>
              <w:t>招商引资</w:t>
            </w:r>
          </w:p>
        </w:tc>
        <w:tc>
          <w:tcPr>
            <w:tcW w:w="1361" w:type="dxa"/>
            <w:vAlign w:val="center"/>
          </w:tcPr>
          <w:p>
            <w:pPr>
              <w:pStyle w:val="13"/>
            </w:pPr>
            <w:r>
              <w:t>559.82</w:t>
            </w:r>
          </w:p>
        </w:tc>
        <w:tc>
          <w:tcPr>
            <w:tcW w:w="1361" w:type="dxa"/>
            <w:vAlign w:val="center"/>
          </w:tcPr>
          <w:p>
            <w:pPr>
              <w:pStyle w:val="13"/>
            </w:pPr>
            <w:r>
              <w:t>51.82</w:t>
            </w:r>
          </w:p>
        </w:tc>
        <w:tc>
          <w:tcPr>
            <w:tcW w:w="1361" w:type="dxa"/>
            <w:vAlign w:val="center"/>
          </w:tcPr>
          <w:p>
            <w:pPr>
              <w:pStyle w:val="13"/>
            </w:pPr>
            <w:r>
              <w:t>508.00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5.52</w:t>
            </w:r>
          </w:p>
        </w:tc>
        <w:tc>
          <w:tcPr>
            <w:tcW w:w="1361" w:type="dxa"/>
            <w:vAlign w:val="center"/>
          </w:tcPr>
          <w:p>
            <w:pPr>
              <w:pStyle w:val="13"/>
            </w:pPr>
            <w:r>
              <w:t>5.52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5.52</w:t>
            </w:r>
          </w:p>
        </w:tc>
        <w:tc>
          <w:tcPr>
            <w:tcW w:w="1361" w:type="dxa"/>
            <w:vAlign w:val="center"/>
          </w:tcPr>
          <w:p>
            <w:pPr>
              <w:pStyle w:val="13"/>
            </w:pPr>
            <w:r>
              <w:t>5.52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5.52</w:t>
            </w:r>
          </w:p>
        </w:tc>
        <w:tc>
          <w:tcPr>
            <w:tcW w:w="1361" w:type="dxa"/>
            <w:vAlign w:val="center"/>
          </w:tcPr>
          <w:p>
            <w:pPr>
              <w:pStyle w:val="13"/>
            </w:pPr>
            <w:r>
              <w:t>5.52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2.82</w:t>
            </w:r>
          </w:p>
        </w:tc>
        <w:tc>
          <w:tcPr>
            <w:tcW w:w="1361" w:type="dxa"/>
            <w:vAlign w:val="center"/>
          </w:tcPr>
          <w:p>
            <w:pPr>
              <w:pStyle w:val="13"/>
            </w:pPr>
            <w:r>
              <w:t>2.82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2.82</w:t>
            </w:r>
          </w:p>
        </w:tc>
        <w:tc>
          <w:tcPr>
            <w:tcW w:w="1361" w:type="dxa"/>
            <w:vAlign w:val="center"/>
          </w:tcPr>
          <w:p>
            <w:pPr>
              <w:pStyle w:val="13"/>
            </w:pPr>
            <w:r>
              <w:t>2.82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2.82</w:t>
            </w:r>
          </w:p>
        </w:tc>
        <w:tc>
          <w:tcPr>
            <w:tcW w:w="1361" w:type="dxa"/>
            <w:vAlign w:val="center"/>
          </w:tcPr>
          <w:p>
            <w:pPr>
              <w:pStyle w:val="13"/>
            </w:pPr>
            <w:r>
              <w:t>2.82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4.75</w:t>
            </w:r>
          </w:p>
        </w:tc>
        <w:tc>
          <w:tcPr>
            <w:tcW w:w="1361" w:type="dxa"/>
            <w:vAlign w:val="center"/>
          </w:tcPr>
          <w:p>
            <w:pPr>
              <w:pStyle w:val="13"/>
            </w:pPr>
            <w:r>
              <w:t>4.75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4.75</w:t>
            </w:r>
          </w:p>
        </w:tc>
        <w:tc>
          <w:tcPr>
            <w:tcW w:w="1361" w:type="dxa"/>
            <w:vAlign w:val="center"/>
          </w:tcPr>
          <w:p>
            <w:pPr>
              <w:pStyle w:val="13"/>
            </w:pPr>
            <w:r>
              <w:t>4.75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4.75</w:t>
            </w:r>
          </w:p>
        </w:tc>
        <w:tc>
          <w:tcPr>
            <w:tcW w:w="1361" w:type="dxa"/>
            <w:vAlign w:val="center"/>
          </w:tcPr>
          <w:p>
            <w:pPr>
              <w:pStyle w:val="13"/>
            </w:pPr>
            <w:r>
              <w:t>4.75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814003隆尧县招商服务中心</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572.90</w:t>
            </w:r>
          </w:p>
        </w:tc>
        <w:tc>
          <w:tcPr>
            <w:tcW w:w="3402" w:type="dxa"/>
            <w:vAlign w:val="center"/>
          </w:tcPr>
          <w:p>
            <w:pPr>
              <w:pStyle w:val="14"/>
            </w:pPr>
            <w:r>
              <w:t>一、一般公共服务支出</w:t>
            </w:r>
          </w:p>
        </w:tc>
        <w:tc>
          <w:tcPr>
            <w:tcW w:w="1474" w:type="dxa"/>
            <w:vAlign w:val="center"/>
          </w:tcPr>
          <w:p>
            <w:pPr>
              <w:pStyle w:val="13"/>
            </w:pPr>
            <w:r>
              <w:t>559.82</w:t>
            </w:r>
          </w:p>
        </w:tc>
        <w:tc>
          <w:tcPr>
            <w:tcW w:w="1474" w:type="dxa"/>
            <w:vAlign w:val="center"/>
          </w:tcPr>
          <w:p>
            <w:pPr>
              <w:pStyle w:val="13"/>
            </w:pPr>
            <w:r>
              <w:t>559.82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5.52</w:t>
            </w:r>
          </w:p>
        </w:tc>
        <w:tc>
          <w:tcPr>
            <w:tcW w:w="1474" w:type="dxa"/>
            <w:vAlign w:val="center"/>
          </w:tcPr>
          <w:p>
            <w:pPr>
              <w:pStyle w:val="13"/>
            </w:pPr>
            <w:r>
              <w:t>5.52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2.82</w:t>
            </w:r>
          </w:p>
        </w:tc>
        <w:tc>
          <w:tcPr>
            <w:tcW w:w="1474" w:type="dxa"/>
            <w:vAlign w:val="center"/>
          </w:tcPr>
          <w:p>
            <w:pPr>
              <w:pStyle w:val="13"/>
            </w:pPr>
            <w:r>
              <w:t>2.82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4.75</w:t>
            </w:r>
          </w:p>
        </w:tc>
        <w:tc>
          <w:tcPr>
            <w:tcW w:w="1474" w:type="dxa"/>
            <w:vAlign w:val="center"/>
          </w:tcPr>
          <w:p>
            <w:pPr>
              <w:pStyle w:val="13"/>
            </w:pPr>
            <w:r>
              <w:t>4.75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二十六、年初预留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572.90</w:t>
            </w:r>
          </w:p>
        </w:tc>
        <w:tc>
          <w:tcPr>
            <w:tcW w:w="3402" w:type="dxa"/>
            <w:vAlign w:val="center"/>
          </w:tcPr>
          <w:p>
            <w:pPr>
              <w:pStyle w:val="16"/>
            </w:pPr>
            <w:r>
              <w:t>本年支出合计</w:t>
            </w:r>
          </w:p>
        </w:tc>
        <w:tc>
          <w:tcPr>
            <w:tcW w:w="1474" w:type="dxa"/>
            <w:vAlign w:val="center"/>
          </w:tcPr>
          <w:p>
            <w:pPr>
              <w:pStyle w:val="17"/>
            </w:pPr>
            <w:r>
              <w:t>572.90</w:t>
            </w:r>
          </w:p>
        </w:tc>
        <w:tc>
          <w:tcPr>
            <w:tcW w:w="1474" w:type="dxa"/>
            <w:vAlign w:val="center"/>
          </w:tcPr>
          <w:p>
            <w:pPr>
              <w:pStyle w:val="17"/>
            </w:pPr>
            <w:r>
              <w:t>572.90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572.90</w:t>
            </w:r>
          </w:p>
        </w:tc>
        <w:tc>
          <w:tcPr>
            <w:tcW w:w="3402" w:type="dxa"/>
            <w:vAlign w:val="center"/>
          </w:tcPr>
          <w:p>
            <w:pPr>
              <w:pStyle w:val="16"/>
            </w:pPr>
            <w:r>
              <w:t>支出总计</w:t>
            </w:r>
          </w:p>
        </w:tc>
        <w:tc>
          <w:tcPr>
            <w:tcW w:w="1474" w:type="dxa"/>
            <w:vAlign w:val="center"/>
          </w:tcPr>
          <w:p>
            <w:pPr>
              <w:pStyle w:val="17"/>
            </w:pPr>
            <w:r>
              <w:t>572.90</w:t>
            </w:r>
          </w:p>
        </w:tc>
        <w:tc>
          <w:tcPr>
            <w:tcW w:w="1474" w:type="dxa"/>
            <w:vAlign w:val="center"/>
          </w:tcPr>
          <w:p>
            <w:pPr>
              <w:pStyle w:val="17"/>
            </w:pPr>
            <w:r>
              <w:t>572.90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814003隆尧县招商服务中心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572.90</w:t>
            </w:r>
          </w:p>
        </w:tc>
        <w:tc>
          <w:tcPr>
            <w:tcW w:w="2551" w:type="dxa"/>
            <w:vAlign w:val="center"/>
          </w:tcPr>
          <w:p>
            <w:pPr>
              <w:pStyle w:val="17"/>
            </w:pPr>
            <w:r>
              <w:t>64.90</w:t>
            </w:r>
          </w:p>
        </w:tc>
        <w:tc>
          <w:tcPr>
            <w:tcW w:w="2551" w:type="dxa"/>
            <w:vAlign w:val="center"/>
          </w:tcPr>
          <w:p>
            <w:pPr>
              <w:pStyle w:val="17"/>
            </w:pPr>
            <w:r>
              <w:t>508.00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559.82</w:t>
            </w:r>
          </w:p>
        </w:tc>
        <w:tc>
          <w:tcPr>
            <w:tcW w:w="2551" w:type="dxa"/>
            <w:vAlign w:val="center"/>
          </w:tcPr>
          <w:p>
            <w:pPr>
              <w:pStyle w:val="13"/>
            </w:pPr>
            <w:r>
              <w:t>51.82</w:t>
            </w:r>
          </w:p>
        </w:tc>
        <w:tc>
          <w:tcPr>
            <w:tcW w:w="2551" w:type="dxa"/>
            <w:vAlign w:val="center"/>
          </w:tcPr>
          <w:p>
            <w:pPr>
              <w:pStyle w:val="13"/>
            </w:pPr>
            <w:r>
              <w:t>508.00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20113</w:t>
            </w:r>
          </w:p>
        </w:tc>
        <w:tc>
          <w:tcPr>
            <w:tcW w:w="4535" w:type="dxa"/>
            <w:vAlign w:val="center"/>
          </w:tcPr>
          <w:p>
            <w:pPr>
              <w:pStyle w:val="14"/>
            </w:pPr>
            <w:r>
              <w:t>商贸事务</w:t>
            </w:r>
          </w:p>
        </w:tc>
        <w:tc>
          <w:tcPr>
            <w:tcW w:w="2551" w:type="dxa"/>
            <w:vAlign w:val="center"/>
          </w:tcPr>
          <w:p>
            <w:pPr>
              <w:pStyle w:val="13"/>
            </w:pPr>
            <w:r>
              <w:t>559.82</w:t>
            </w:r>
          </w:p>
        </w:tc>
        <w:tc>
          <w:tcPr>
            <w:tcW w:w="2551" w:type="dxa"/>
            <w:vAlign w:val="center"/>
          </w:tcPr>
          <w:p>
            <w:pPr>
              <w:pStyle w:val="13"/>
            </w:pPr>
            <w:r>
              <w:t>51.82</w:t>
            </w:r>
          </w:p>
        </w:tc>
        <w:tc>
          <w:tcPr>
            <w:tcW w:w="2551" w:type="dxa"/>
            <w:vAlign w:val="center"/>
          </w:tcPr>
          <w:p>
            <w:pPr>
              <w:pStyle w:val="13"/>
            </w:pPr>
            <w:r>
              <w:t>508.00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2011308</w:t>
            </w:r>
          </w:p>
        </w:tc>
        <w:tc>
          <w:tcPr>
            <w:tcW w:w="4535" w:type="dxa"/>
            <w:vAlign w:val="center"/>
          </w:tcPr>
          <w:p>
            <w:pPr>
              <w:pStyle w:val="14"/>
            </w:pPr>
            <w:r>
              <w:t>招商引资</w:t>
            </w:r>
          </w:p>
        </w:tc>
        <w:tc>
          <w:tcPr>
            <w:tcW w:w="2551" w:type="dxa"/>
            <w:vAlign w:val="center"/>
          </w:tcPr>
          <w:p>
            <w:pPr>
              <w:pStyle w:val="13"/>
            </w:pPr>
            <w:r>
              <w:t>559.82</w:t>
            </w:r>
          </w:p>
        </w:tc>
        <w:tc>
          <w:tcPr>
            <w:tcW w:w="2551" w:type="dxa"/>
            <w:vAlign w:val="center"/>
          </w:tcPr>
          <w:p>
            <w:pPr>
              <w:pStyle w:val="13"/>
            </w:pPr>
            <w:r>
              <w:t>51.82</w:t>
            </w:r>
          </w:p>
        </w:tc>
        <w:tc>
          <w:tcPr>
            <w:tcW w:w="2551" w:type="dxa"/>
            <w:vAlign w:val="center"/>
          </w:tcPr>
          <w:p>
            <w:pPr>
              <w:pStyle w:val="13"/>
            </w:pPr>
            <w:r>
              <w:t>508.00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5.52</w:t>
            </w:r>
          </w:p>
        </w:tc>
        <w:tc>
          <w:tcPr>
            <w:tcW w:w="2551" w:type="dxa"/>
            <w:vAlign w:val="center"/>
          </w:tcPr>
          <w:p>
            <w:pPr>
              <w:pStyle w:val="13"/>
            </w:pPr>
            <w:r>
              <w:t>5.52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5.52</w:t>
            </w:r>
          </w:p>
        </w:tc>
        <w:tc>
          <w:tcPr>
            <w:tcW w:w="2551" w:type="dxa"/>
            <w:vAlign w:val="center"/>
          </w:tcPr>
          <w:p>
            <w:pPr>
              <w:pStyle w:val="13"/>
            </w:pPr>
            <w:r>
              <w:t>5.52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5.52</w:t>
            </w:r>
          </w:p>
        </w:tc>
        <w:tc>
          <w:tcPr>
            <w:tcW w:w="2551" w:type="dxa"/>
            <w:vAlign w:val="center"/>
          </w:tcPr>
          <w:p>
            <w:pPr>
              <w:pStyle w:val="13"/>
            </w:pPr>
            <w:r>
              <w:t>5.52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2.82</w:t>
            </w:r>
          </w:p>
        </w:tc>
        <w:tc>
          <w:tcPr>
            <w:tcW w:w="2551" w:type="dxa"/>
            <w:vAlign w:val="center"/>
          </w:tcPr>
          <w:p>
            <w:pPr>
              <w:pStyle w:val="13"/>
            </w:pPr>
            <w:r>
              <w:t>2.82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2.82</w:t>
            </w:r>
          </w:p>
        </w:tc>
        <w:tc>
          <w:tcPr>
            <w:tcW w:w="2551" w:type="dxa"/>
            <w:vAlign w:val="center"/>
          </w:tcPr>
          <w:p>
            <w:pPr>
              <w:pStyle w:val="13"/>
            </w:pPr>
            <w:r>
              <w:t>2.82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2.82</w:t>
            </w:r>
          </w:p>
        </w:tc>
        <w:tc>
          <w:tcPr>
            <w:tcW w:w="2551" w:type="dxa"/>
            <w:vAlign w:val="center"/>
          </w:tcPr>
          <w:p>
            <w:pPr>
              <w:pStyle w:val="13"/>
            </w:pPr>
            <w:r>
              <w:t>2.82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4.75</w:t>
            </w:r>
          </w:p>
        </w:tc>
        <w:tc>
          <w:tcPr>
            <w:tcW w:w="2551" w:type="dxa"/>
            <w:vAlign w:val="center"/>
          </w:tcPr>
          <w:p>
            <w:pPr>
              <w:pStyle w:val="13"/>
            </w:pPr>
            <w:r>
              <w:t>4.75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4.75</w:t>
            </w:r>
          </w:p>
        </w:tc>
        <w:tc>
          <w:tcPr>
            <w:tcW w:w="2551" w:type="dxa"/>
            <w:vAlign w:val="center"/>
          </w:tcPr>
          <w:p>
            <w:pPr>
              <w:pStyle w:val="13"/>
            </w:pPr>
            <w:r>
              <w:t>4.75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4.75</w:t>
            </w:r>
          </w:p>
        </w:tc>
        <w:tc>
          <w:tcPr>
            <w:tcW w:w="2551" w:type="dxa"/>
            <w:vAlign w:val="center"/>
          </w:tcPr>
          <w:p>
            <w:pPr>
              <w:pStyle w:val="13"/>
            </w:pPr>
            <w:r>
              <w:t>4.75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814003隆尧县招商服务中心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64.90</w:t>
            </w:r>
          </w:p>
        </w:tc>
        <w:tc>
          <w:tcPr>
            <w:tcW w:w="2551" w:type="dxa"/>
            <w:vAlign w:val="center"/>
          </w:tcPr>
          <w:p>
            <w:pPr>
              <w:pStyle w:val="17"/>
            </w:pPr>
            <w:r>
              <w:t>57.80</w:t>
            </w:r>
          </w:p>
        </w:tc>
        <w:tc>
          <w:tcPr>
            <w:tcW w:w="2551" w:type="dxa"/>
            <w:vAlign w:val="center"/>
          </w:tcPr>
          <w:p>
            <w:pPr>
              <w:pStyle w:val="17"/>
            </w:pPr>
            <w: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57.80</w:t>
            </w:r>
          </w:p>
        </w:tc>
        <w:tc>
          <w:tcPr>
            <w:tcW w:w="2551" w:type="dxa"/>
            <w:vAlign w:val="center"/>
          </w:tcPr>
          <w:p>
            <w:pPr>
              <w:pStyle w:val="13"/>
            </w:pPr>
            <w:r>
              <w:t>57.80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23.30</w:t>
            </w:r>
          </w:p>
        </w:tc>
        <w:tc>
          <w:tcPr>
            <w:tcW w:w="2551" w:type="dxa"/>
            <w:vAlign w:val="center"/>
          </w:tcPr>
          <w:p>
            <w:pPr>
              <w:pStyle w:val="13"/>
            </w:pPr>
            <w:r>
              <w:t>23.30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9.32</w:t>
            </w:r>
          </w:p>
        </w:tc>
        <w:tc>
          <w:tcPr>
            <w:tcW w:w="2551" w:type="dxa"/>
            <w:vAlign w:val="center"/>
          </w:tcPr>
          <w:p>
            <w:pPr>
              <w:pStyle w:val="13"/>
            </w:pPr>
            <w:r>
              <w:t>9.32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1.94</w:t>
            </w:r>
          </w:p>
        </w:tc>
        <w:tc>
          <w:tcPr>
            <w:tcW w:w="2551" w:type="dxa"/>
            <w:vAlign w:val="center"/>
          </w:tcPr>
          <w:p>
            <w:pPr>
              <w:pStyle w:val="13"/>
            </w:pPr>
            <w:r>
              <w:t>1.94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10.01</w:t>
            </w:r>
          </w:p>
        </w:tc>
        <w:tc>
          <w:tcPr>
            <w:tcW w:w="2551" w:type="dxa"/>
            <w:vAlign w:val="center"/>
          </w:tcPr>
          <w:p>
            <w:pPr>
              <w:pStyle w:val="13"/>
            </w:pPr>
            <w:r>
              <w:t>10.01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5.52</w:t>
            </w:r>
          </w:p>
        </w:tc>
        <w:tc>
          <w:tcPr>
            <w:tcW w:w="2551" w:type="dxa"/>
            <w:vAlign w:val="center"/>
          </w:tcPr>
          <w:p>
            <w:pPr>
              <w:pStyle w:val="13"/>
            </w:pPr>
            <w:r>
              <w:t>5.52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2.82</w:t>
            </w:r>
          </w:p>
        </w:tc>
        <w:tc>
          <w:tcPr>
            <w:tcW w:w="2551" w:type="dxa"/>
            <w:vAlign w:val="center"/>
          </w:tcPr>
          <w:p>
            <w:pPr>
              <w:pStyle w:val="13"/>
            </w:pPr>
            <w:r>
              <w:t>2.82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0.15</w:t>
            </w:r>
          </w:p>
        </w:tc>
        <w:tc>
          <w:tcPr>
            <w:tcW w:w="2551" w:type="dxa"/>
            <w:vAlign w:val="center"/>
          </w:tcPr>
          <w:p>
            <w:pPr>
              <w:pStyle w:val="13"/>
            </w:pPr>
            <w:r>
              <w:t>0.15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4.75</w:t>
            </w:r>
          </w:p>
        </w:tc>
        <w:tc>
          <w:tcPr>
            <w:tcW w:w="2551" w:type="dxa"/>
            <w:vAlign w:val="center"/>
          </w:tcPr>
          <w:p>
            <w:pPr>
              <w:pStyle w:val="13"/>
            </w:pPr>
            <w:r>
              <w:t>4.75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7.10</w:t>
            </w:r>
          </w:p>
        </w:tc>
        <w:tc>
          <w:tcPr>
            <w:tcW w:w="2551" w:type="dxa"/>
            <w:vAlign w:val="center"/>
          </w:tcPr>
          <w:p>
            <w:pPr>
              <w:pStyle w:val="13"/>
            </w:pPr>
          </w:p>
        </w:tc>
        <w:tc>
          <w:tcPr>
            <w:tcW w:w="2551" w:type="dxa"/>
            <w:vAlign w:val="center"/>
          </w:tcPr>
          <w:p>
            <w:pPr>
              <w:pStyle w:val="13"/>
            </w:pPr>
            <w: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2.80</w:t>
            </w:r>
          </w:p>
        </w:tc>
        <w:tc>
          <w:tcPr>
            <w:tcW w:w="2551" w:type="dxa"/>
            <w:vAlign w:val="center"/>
          </w:tcPr>
          <w:p>
            <w:pPr>
              <w:pStyle w:val="13"/>
            </w:pPr>
          </w:p>
        </w:tc>
        <w:tc>
          <w:tcPr>
            <w:tcW w:w="2551" w:type="dxa"/>
            <w:vAlign w:val="center"/>
          </w:tcPr>
          <w:p>
            <w:pPr>
              <w:pStyle w:val="13"/>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0.28</w:t>
            </w:r>
          </w:p>
        </w:tc>
        <w:tc>
          <w:tcPr>
            <w:tcW w:w="2551" w:type="dxa"/>
            <w:vAlign w:val="center"/>
          </w:tcPr>
          <w:p>
            <w:pPr>
              <w:pStyle w:val="13"/>
            </w:pPr>
          </w:p>
        </w:tc>
        <w:tc>
          <w:tcPr>
            <w:tcW w:w="2551" w:type="dxa"/>
            <w:vAlign w:val="center"/>
          </w:tcPr>
          <w:p>
            <w:pPr>
              <w:pStyle w:val="13"/>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0.28</w:t>
            </w:r>
          </w:p>
        </w:tc>
        <w:tc>
          <w:tcPr>
            <w:tcW w:w="2551" w:type="dxa"/>
            <w:vAlign w:val="center"/>
          </w:tcPr>
          <w:p>
            <w:pPr>
              <w:pStyle w:val="13"/>
            </w:pPr>
          </w:p>
        </w:tc>
        <w:tc>
          <w:tcPr>
            <w:tcW w:w="2551" w:type="dxa"/>
            <w:vAlign w:val="center"/>
          </w:tcPr>
          <w:p>
            <w:pPr>
              <w:pStyle w:val="13"/>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3.60</w:t>
            </w:r>
          </w:p>
        </w:tc>
        <w:tc>
          <w:tcPr>
            <w:tcW w:w="2551" w:type="dxa"/>
            <w:vAlign w:val="center"/>
          </w:tcPr>
          <w:p>
            <w:pPr>
              <w:pStyle w:val="13"/>
            </w:pPr>
          </w:p>
        </w:tc>
        <w:tc>
          <w:tcPr>
            <w:tcW w:w="2551" w:type="dxa"/>
            <w:vAlign w:val="center"/>
          </w:tcPr>
          <w:p>
            <w:pPr>
              <w:pStyle w:val="13"/>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0.14</w:t>
            </w:r>
          </w:p>
        </w:tc>
        <w:tc>
          <w:tcPr>
            <w:tcW w:w="2551" w:type="dxa"/>
            <w:vAlign w:val="center"/>
          </w:tcPr>
          <w:p>
            <w:pPr>
              <w:pStyle w:val="13"/>
            </w:pPr>
          </w:p>
        </w:tc>
        <w:tc>
          <w:tcPr>
            <w:tcW w:w="2551" w:type="dxa"/>
            <w:vAlign w:val="center"/>
          </w:tcPr>
          <w:p>
            <w:pPr>
              <w:pStyle w:val="13"/>
            </w:pPr>
            <w:r>
              <w:t>0.14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814003隆尧县招商服务中心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814003隆尧县招商服务中心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814003隆尧县招商服务中心</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rFonts w:hint="default" w:eastAsia="方正书宋_GBK"/>
                <w:lang w:val="en-US" w:eastAsia="zh-CN"/>
              </w:rPr>
            </w:pPr>
            <w:r>
              <w:rPr>
                <w:rFonts w:hint="eastAsia"/>
                <w:lang w:val="en-US" w:eastAsia="zh-CN"/>
              </w:rPr>
              <w:t>30.00</w:t>
            </w:r>
          </w:p>
        </w:tc>
        <w:tc>
          <w:tcPr>
            <w:tcW w:w="2381" w:type="dxa"/>
            <w:vAlign w:val="center"/>
          </w:tcPr>
          <w:p>
            <w:pPr>
              <w:pStyle w:val="17"/>
              <w:rPr>
                <w:rFonts w:hint="default" w:eastAsia="方正书宋_GBK"/>
                <w:lang w:val="en-US" w:eastAsia="zh-CN"/>
              </w:rPr>
            </w:pPr>
            <w:r>
              <w:rPr>
                <w:rFonts w:hint="eastAsia"/>
                <w:lang w:val="en-US" w:eastAsia="zh-CN"/>
              </w:rPr>
              <w:t>30.00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rPr>
                <w:rFonts w:hint="default" w:eastAsia="方正书宋_GBK"/>
                <w:lang w:val="en-US" w:eastAsia="zh-CN"/>
              </w:rPr>
            </w:pPr>
            <w:r>
              <w:rPr>
                <w:rFonts w:hint="eastAsia"/>
                <w:lang w:val="en-US" w:eastAsia="zh-CN"/>
              </w:rPr>
              <w:t>30.00</w:t>
            </w:r>
          </w:p>
        </w:tc>
        <w:tc>
          <w:tcPr>
            <w:tcW w:w="2381" w:type="dxa"/>
            <w:vAlign w:val="center"/>
          </w:tcPr>
          <w:p>
            <w:pPr>
              <w:pStyle w:val="13"/>
              <w:rPr>
                <w:rFonts w:hint="default" w:eastAsia="方正书宋_GBK"/>
                <w:lang w:val="en-US" w:eastAsia="zh-CN"/>
              </w:rPr>
            </w:pPr>
            <w:r>
              <w:rPr>
                <w:rFonts w:hint="eastAsia"/>
                <w:lang w:val="en-US" w:eastAsia="zh-CN"/>
              </w:rPr>
              <w:t>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r>
              <w:t>30.00</w:t>
            </w:r>
          </w:p>
        </w:tc>
        <w:tc>
          <w:tcPr>
            <w:tcW w:w="2381" w:type="dxa"/>
            <w:vAlign w:val="center"/>
          </w:tcPr>
          <w:p>
            <w:pPr>
              <w:pStyle w:val="13"/>
            </w:pPr>
            <w:r>
              <w:t>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隆尧县招商服务中心2022年单位预算信息公开情况说明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按照《预算法》、《地方预决算公开操作规程》和《关于进一步推进预算公开工作的实施意见》规定，现将隆尧县招商服务中心2022年单位预算公开如下：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1"/>
      </w:pPr>
      <w:r>
        <w:t>单位职责：贯彻执行国家、省、市招商引资有关政策法规，参与研究制定全县招商引资工作规划和年度计划，整理、发布招商信息，为招商项目和入驻企业提供帮办服务。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隆尧县招商服务中心</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单位预算的编制实行综合预算管理，即全部收入和支出都反映在预算中。</w:t>
      </w:r>
    </w:p>
    <w:p>
      <w:pPr>
        <w:pStyle w:val="32"/>
      </w:pPr>
      <w:r>
        <w:t>1、收入说明</w:t>
      </w:r>
    </w:p>
    <w:p>
      <w:pPr>
        <w:pStyle w:val="32"/>
      </w:pPr>
      <w:r>
        <w:t>反映本单位当年全部收入。2022年预算收入572.9万元，其中：一般公共预算收入572.9万元，基金预算收入0万元，财政专户核拨收入0万元，其他来源收入0万元。</w:t>
      </w:r>
    </w:p>
    <w:p>
      <w:pPr>
        <w:pStyle w:val="32"/>
      </w:pPr>
      <w:r>
        <w:t>2、支出说明</w:t>
      </w:r>
    </w:p>
    <w:p>
      <w:pPr>
        <w:pStyle w:val="32"/>
      </w:pPr>
      <w:r>
        <w:t>收支预算总表支出栏、基本支出表、项目支出表按经济分类和支出功能分类科目编制，反映隆尧县招商服务中心年度预算中支出预算的总体情况。2022年单位支出预算为572.9万元。其中基本支出64.9万元，包括人员经费57.8万元和日常公用经费7.1万元；项目支出508万元，主要为招商局招商经费10万元，重大招商专项30万元，驻点招商250万元，委托招商服务经费218万元。</w:t>
      </w:r>
    </w:p>
    <w:p>
      <w:pPr>
        <w:spacing w:before="10" w:after="10"/>
        <w:ind w:firstLine="640"/>
        <w:outlineLvl w:val="5"/>
      </w:pPr>
      <w:r>
        <w:rPr>
          <w:rFonts w:ascii="黑体" w:hAnsi="黑体" w:eastAsia="黑体" w:cs="黑体"/>
          <w:color w:val="000000"/>
          <w:sz w:val="32"/>
        </w:rPr>
        <w:t>三、机关运行经费安排情况</w:t>
      </w:r>
    </w:p>
    <w:p>
      <w:pPr>
        <w:pStyle w:val="33"/>
      </w:pPr>
      <w:r>
        <w:t>机关运行经费7.1万元。其中：办公费2.8万元，公务交通补贴3.6万元，职工福利费0.28万元，工会经费0.28万元，党组织活动费0.14万元。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4"/>
      </w:pPr>
      <w:r>
        <w:rPr>
          <w:rFonts w:hint="eastAsia"/>
        </w:rPr>
        <w:t>202</w:t>
      </w:r>
      <w:r>
        <w:rPr>
          <w:rFonts w:hint="eastAsia"/>
          <w:lang w:val="en-US" w:eastAsia="zh-CN"/>
        </w:rPr>
        <w:t>2</w:t>
      </w:r>
      <w:r>
        <w:rPr>
          <w:rFonts w:hint="eastAsia"/>
        </w:rPr>
        <w:t>年，我</w:t>
      </w:r>
      <w:r>
        <w:rPr>
          <w:rFonts w:hint="eastAsia"/>
          <w:lang w:val="en-US" w:eastAsia="zh-CN"/>
        </w:rPr>
        <w:t>单位</w:t>
      </w:r>
      <w:r>
        <w:rPr>
          <w:rFonts w:hint="eastAsia"/>
        </w:rPr>
        <w:t>财政拨款“三公”经费预算安排</w:t>
      </w:r>
      <w:r>
        <w:rPr>
          <w:rFonts w:hint="eastAsia"/>
          <w:lang w:val="en-US" w:eastAsia="zh-CN"/>
        </w:rPr>
        <w:t>30</w:t>
      </w:r>
      <w:r>
        <w:rPr>
          <w:rFonts w:hint="eastAsia"/>
        </w:rPr>
        <w:t>万元，其中因公出国（境）费</w:t>
      </w:r>
      <w:r>
        <w:rPr>
          <w:rFonts w:hint="eastAsia"/>
          <w:lang w:val="en-US" w:eastAsia="zh-CN"/>
        </w:rPr>
        <w:t>0</w:t>
      </w:r>
      <w:r>
        <w:rPr>
          <w:rFonts w:hint="eastAsia"/>
        </w:rPr>
        <w:t>万元；公务用车购置及运维费</w:t>
      </w:r>
      <w:r>
        <w:rPr>
          <w:rFonts w:hint="eastAsia"/>
          <w:lang w:val="en-US" w:eastAsia="zh-CN"/>
        </w:rPr>
        <w:t>0</w:t>
      </w:r>
      <w:r>
        <w:rPr>
          <w:rFonts w:hint="eastAsia"/>
        </w:rPr>
        <w:t>万元（其中：公务用车购置费为</w:t>
      </w:r>
      <w:r>
        <w:rPr>
          <w:rFonts w:hint="eastAsia"/>
          <w:lang w:val="en-US" w:eastAsia="zh-CN"/>
        </w:rPr>
        <w:t>0</w:t>
      </w:r>
      <w:r>
        <w:rPr>
          <w:rFonts w:hint="eastAsia"/>
        </w:rPr>
        <w:t>万元，公务用车运行维护费</w:t>
      </w:r>
      <w:r>
        <w:rPr>
          <w:rFonts w:hint="eastAsia"/>
          <w:lang w:val="en-US" w:eastAsia="zh-CN"/>
        </w:rPr>
        <w:t>0</w:t>
      </w:r>
      <w:r>
        <w:rPr>
          <w:rFonts w:hint="eastAsia"/>
        </w:rPr>
        <w:t>万元)；公务接待费</w:t>
      </w:r>
      <w:r>
        <w:rPr>
          <w:rFonts w:hint="eastAsia"/>
          <w:lang w:val="en-US" w:eastAsia="zh-CN"/>
        </w:rPr>
        <w:t>30</w:t>
      </w:r>
      <w:r>
        <w:rPr>
          <w:rFonts w:hint="eastAsia"/>
        </w:rPr>
        <w:t>万元。公务接待费与202</w:t>
      </w:r>
      <w:r>
        <w:rPr>
          <w:rFonts w:hint="eastAsia"/>
          <w:lang w:val="en-US" w:eastAsia="zh-CN"/>
        </w:rPr>
        <w:t>1</w:t>
      </w:r>
      <w:r>
        <w:rPr>
          <w:rFonts w:hint="eastAsia"/>
        </w:rPr>
        <w:t>年相比减少</w:t>
      </w:r>
      <w:r>
        <w:rPr>
          <w:rFonts w:hint="eastAsia"/>
          <w:lang w:val="en-US" w:eastAsia="zh-CN"/>
        </w:rPr>
        <w:t>10</w:t>
      </w:r>
      <w:r>
        <w:rPr>
          <w:rFonts w:hint="eastAsia"/>
        </w:rPr>
        <w:t>万元，减少的主要原因是：</w:t>
      </w:r>
      <w:r>
        <w:t>我单位本着厉行节约原则，在做好客商接待工作的同时，不搞铺张浪费，减少“三公”经费的支出。</w:t>
      </w:r>
    </w:p>
    <w:p>
      <w:pPr>
        <w:spacing w:before="10" w:after="10"/>
        <w:ind w:firstLine="640"/>
        <w:outlineLvl w:val="5"/>
      </w:pPr>
      <w:r>
        <w:rPr>
          <w:rFonts w:ascii="黑体" w:hAnsi="黑体" w:eastAsia="黑体" w:cs="黑体"/>
          <w:color w:val="000000"/>
          <w:sz w:val="32"/>
        </w:rPr>
        <w:t>五、预算绩效信息</w:t>
      </w:r>
    </w:p>
    <w:p>
      <w:pPr>
        <w:pStyle w:val="26"/>
        <w:ind w:firstLine="560"/>
      </w:pPr>
      <w:r>
        <w:rPr>
          <w:rFonts w:ascii="方正仿宋_GBK" w:hAnsi="方正仿宋_GBK" w:eastAsia="方正仿宋_GBK" w:cs="方正仿宋_GBK"/>
          <w:b/>
          <w:color w:val="000000"/>
          <w:sz w:val="28"/>
        </w:rPr>
        <w:t>1、委托招商服务经费绩效目标表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1.招商机构为我县招引符合我县主导产业的3个亿元项目或1个超10亿元的项目</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联系企业数量</w:t>
            </w:r>
          </w:p>
        </w:tc>
        <w:tc>
          <w:tcPr>
            <w:tcW w:w="2835" w:type="dxa"/>
            <w:vAlign w:val="center"/>
          </w:tcPr>
          <w:p>
            <w:pPr>
              <w:pStyle w:val="28"/>
            </w:pPr>
            <w:r>
              <w:t>联系企业数量</w:t>
            </w:r>
          </w:p>
        </w:tc>
        <w:tc>
          <w:tcPr>
            <w:tcW w:w="2551" w:type="dxa"/>
            <w:vAlign w:val="center"/>
          </w:tcPr>
          <w:p>
            <w:pPr>
              <w:pStyle w:val="28"/>
            </w:pPr>
            <w:r>
              <w:t>≥30家</w:t>
            </w:r>
          </w:p>
        </w:tc>
        <w:tc>
          <w:tcPr>
            <w:tcW w:w="2268" w:type="dxa"/>
            <w:vAlign w:val="center"/>
          </w:tcPr>
          <w:p>
            <w:pPr>
              <w:pStyle w:val="28"/>
            </w:pPr>
            <w:r>
              <w:t>符合对接条件的企业个数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超亿元项目</w:t>
            </w:r>
          </w:p>
        </w:tc>
        <w:tc>
          <w:tcPr>
            <w:tcW w:w="2835" w:type="dxa"/>
            <w:vAlign w:val="center"/>
          </w:tcPr>
          <w:p>
            <w:pPr>
              <w:pStyle w:val="28"/>
            </w:pPr>
            <w:r>
              <w:t>超亿元项目</w:t>
            </w:r>
          </w:p>
        </w:tc>
        <w:tc>
          <w:tcPr>
            <w:tcW w:w="2551" w:type="dxa"/>
            <w:vAlign w:val="center"/>
          </w:tcPr>
          <w:p>
            <w:pPr>
              <w:pStyle w:val="28"/>
            </w:pPr>
            <w:r>
              <w:t>3个</w:t>
            </w:r>
          </w:p>
        </w:tc>
        <w:tc>
          <w:tcPr>
            <w:tcW w:w="2268" w:type="dxa"/>
            <w:vAlign w:val="center"/>
          </w:tcPr>
          <w:p>
            <w:pPr>
              <w:pStyle w:val="28"/>
            </w:pPr>
            <w:r>
              <w:t>超亿元项目3个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完成时间</w:t>
            </w:r>
          </w:p>
        </w:tc>
        <w:tc>
          <w:tcPr>
            <w:tcW w:w="2835" w:type="dxa"/>
            <w:vAlign w:val="center"/>
          </w:tcPr>
          <w:p>
            <w:pPr>
              <w:pStyle w:val="28"/>
            </w:pPr>
            <w:r>
              <w:t>合同完成时间</w:t>
            </w:r>
          </w:p>
        </w:tc>
        <w:tc>
          <w:tcPr>
            <w:tcW w:w="2551" w:type="dxa"/>
            <w:vAlign w:val="center"/>
          </w:tcPr>
          <w:p>
            <w:pPr>
              <w:pStyle w:val="28"/>
            </w:pPr>
            <w:r>
              <w:t>100百分百</w:t>
            </w:r>
          </w:p>
        </w:tc>
        <w:tc>
          <w:tcPr>
            <w:tcW w:w="2268" w:type="dxa"/>
            <w:vAlign w:val="center"/>
          </w:tcPr>
          <w:p>
            <w:pPr>
              <w:pStyle w:val="28"/>
            </w:pPr>
            <w:r>
              <w:t>委托招商合作协议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日常工作成本率</w:t>
            </w:r>
          </w:p>
        </w:tc>
        <w:tc>
          <w:tcPr>
            <w:tcW w:w="2835" w:type="dxa"/>
            <w:vAlign w:val="center"/>
          </w:tcPr>
          <w:p>
            <w:pPr>
              <w:pStyle w:val="28"/>
            </w:pPr>
            <w:r>
              <w:t>能够控制合同成本</w:t>
            </w:r>
          </w:p>
        </w:tc>
        <w:tc>
          <w:tcPr>
            <w:tcW w:w="2551" w:type="dxa"/>
            <w:vAlign w:val="center"/>
          </w:tcPr>
          <w:p>
            <w:pPr>
              <w:pStyle w:val="28"/>
            </w:pPr>
            <w:r>
              <w:t>100百分百</w:t>
            </w:r>
          </w:p>
        </w:tc>
        <w:tc>
          <w:tcPr>
            <w:tcW w:w="2268" w:type="dxa"/>
            <w:vAlign w:val="center"/>
          </w:tcPr>
          <w:p>
            <w:pPr>
              <w:pStyle w:val="28"/>
            </w:pPr>
            <w:r>
              <w:t>委托招商合作协议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 xml:space="preserve"> 对经济发展带来效果</w:t>
            </w:r>
          </w:p>
        </w:tc>
        <w:tc>
          <w:tcPr>
            <w:tcW w:w="2835" w:type="dxa"/>
            <w:vAlign w:val="center"/>
          </w:tcPr>
          <w:p>
            <w:pPr>
              <w:pStyle w:val="28"/>
            </w:pPr>
            <w:r>
              <w:t>经济稳定发展</w:t>
            </w:r>
          </w:p>
        </w:tc>
        <w:tc>
          <w:tcPr>
            <w:tcW w:w="2551" w:type="dxa"/>
            <w:vAlign w:val="center"/>
          </w:tcPr>
          <w:p>
            <w:pPr>
              <w:pStyle w:val="28"/>
            </w:pPr>
            <w:r>
              <w:t>≥3个</w:t>
            </w:r>
          </w:p>
        </w:tc>
        <w:tc>
          <w:tcPr>
            <w:tcW w:w="2268" w:type="dxa"/>
            <w:vAlign w:val="center"/>
          </w:tcPr>
          <w:p>
            <w:pPr>
              <w:pStyle w:val="28"/>
            </w:pPr>
            <w:r>
              <w:t>招引超亿元项目个数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pPr>
            <w:r>
              <w:t>为我县推介符合精准对接条件的企业</w:t>
            </w:r>
          </w:p>
        </w:tc>
        <w:tc>
          <w:tcPr>
            <w:tcW w:w="2551" w:type="dxa"/>
            <w:vAlign w:val="center"/>
          </w:tcPr>
          <w:p>
            <w:pPr>
              <w:pStyle w:val="28"/>
            </w:pPr>
            <w:r>
              <w:t>≥30家</w:t>
            </w:r>
          </w:p>
        </w:tc>
        <w:tc>
          <w:tcPr>
            <w:tcW w:w="2268" w:type="dxa"/>
            <w:vAlign w:val="center"/>
          </w:tcPr>
          <w:p>
            <w:pPr>
              <w:pStyle w:val="28"/>
            </w:pPr>
            <w:r>
              <w:t>符合对接条件的企业个数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精准定位、宣传推介我县招商环境</w:t>
            </w:r>
          </w:p>
        </w:tc>
        <w:tc>
          <w:tcPr>
            <w:tcW w:w="2835" w:type="dxa"/>
            <w:vAlign w:val="center"/>
          </w:tcPr>
          <w:p>
            <w:pPr>
              <w:pStyle w:val="28"/>
            </w:pPr>
            <w:r>
              <w:t>精准定位、宣传推介我县招商环境</w:t>
            </w:r>
          </w:p>
        </w:tc>
        <w:tc>
          <w:tcPr>
            <w:tcW w:w="2551" w:type="dxa"/>
            <w:vAlign w:val="center"/>
          </w:tcPr>
          <w:p>
            <w:pPr>
              <w:pStyle w:val="28"/>
            </w:pPr>
            <w:r>
              <w:t>≥1年</w:t>
            </w:r>
          </w:p>
        </w:tc>
        <w:tc>
          <w:tcPr>
            <w:tcW w:w="2268" w:type="dxa"/>
            <w:vAlign w:val="center"/>
          </w:tcPr>
          <w:p>
            <w:pPr>
              <w:pStyle w:val="28"/>
            </w:pPr>
            <w:r>
              <w:t>委托招商合作协议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来隆考察投资企业家的满意度</w:t>
            </w:r>
          </w:p>
        </w:tc>
        <w:tc>
          <w:tcPr>
            <w:tcW w:w="2835" w:type="dxa"/>
            <w:vAlign w:val="center"/>
          </w:tcPr>
          <w:p>
            <w:pPr>
              <w:pStyle w:val="28"/>
            </w:pPr>
            <w:r>
              <w:t>来隆考察、投资企业家的满意度</w:t>
            </w:r>
          </w:p>
        </w:tc>
        <w:tc>
          <w:tcPr>
            <w:tcW w:w="2551" w:type="dxa"/>
            <w:vAlign w:val="center"/>
          </w:tcPr>
          <w:p>
            <w:pPr>
              <w:pStyle w:val="28"/>
            </w:pPr>
            <w:r>
              <w:t>100百分百</w:t>
            </w:r>
          </w:p>
        </w:tc>
        <w:tc>
          <w:tcPr>
            <w:tcW w:w="2268" w:type="dxa"/>
            <w:vAlign w:val="center"/>
          </w:tcPr>
          <w:p>
            <w:pPr>
              <w:pStyle w:val="28"/>
            </w:pPr>
            <w:r>
              <w:t>来隆考察、投资企业家的满意度</w:t>
            </w:r>
          </w:p>
        </w:tc>
      </w:tr>
    </w:tbl>
    <w:p>
      <w:pPr>
        <w:pStyle w:val="26"/>
      </w:pPr>
    </w:p>
    <w:p>
      <w:pPr>
        <w:pStyle w:val="26"/>
        <w:ind w:firstLine="560"/>
      </w:pPr>
      <w:r>
        <w:rPr>
          <w:rFonts w:ascii="方正仿宋_GBK" w:hAnsi="方正仿宋_GBK" w:eastAsia="方正仿宋_GBK" w:cs="方正仿宋_GBK"/>
          <w:b/>
          <w:color w:val="000000"/>
          <w:sz w:val="28"/>
        </w:rPr>
        <w:t>2、招商局招商经费绩效目标表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1.参与研究制定我县招商引资政策和招商工作年度计划，整理发布招商信息为招商项目和入驻企业提供帮办服务</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联系企业数量</w:t>
            </w:r>
          </w:p>
        </w:tc>
        <w:tc>
          <w:tcPr>
            <w:tcW w:w="2835" w:type="dxa"/>
            <w:vAlign w:val="center"/>
          </w:tcPr>
          <w:p>
            <w:pPr>
              <w:pStyle w:val="28"/>
            </w:pPr>
            <w:r>
              <w:t>联系企业数量</w:t>
            </w:r>
          </w:p>
        </w:tc>
        <w:tc>
          <w:tcPr>
            <w:tcW w:w="2551" w:type="dxa"/>
            <w:vAlign w:val="center"/>
          </w:tcPr>
          <w:p>
            <w:pPr>
              <w:pStyle w:val="28"/>
            </w:pPr>
            <w:r>
              <w:t>≥35个</w:t>
            </w:r>
          </w:p>
        </w:tc>
        <w:tc>
          <w:tcPr>
            <w:tcW w:w="2268" w:type="dxa"/>
            <w:vAlign w:val="center"/>
          </w:tcPr>
          <w:p>
            <w:pPr>
              <w:pStyle w:val="28"/>
            </w:pPr>
            <w:r>
              <w:t>对接企业数量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各项综合工作的完成率</w:t>
            </w:r>
          </w:p>
        </w:tc>
        <w:tc>
          <w:tcPr>
            <w:tcW w:w="2835" w:type="dxa"/>
            <w:vAlign w:val="center"/>
          </w:tcPr>
          <w:p>
            <w:pPr>
              <w:pStyle w:val="28"/>
            </w:pPr>
            <w:r>
              <w:t>每项工作的综合完成率</w:t>
            </w:r>
          </w:p>
        </w:tc>
        <w:tc>
          <w:tcPr>
            <w:tcW w:w="2551" w:type="dxa"/>
            <w:vAlign w:val="center"/>
          </w:tcPr>
          <w:p>
            <w:pPr>
              <w:pStyle w:val="28"/>
            </w:pPr>
            <w:r>
              <w:t>100百分百</w:t>
            </w:r>
          </w:p>
        </w:tc>
        <w:tc>
          <w:tcPr>
            <w:tcW w:w="2268" w:type="dxa"/>
            <w:vAlign w:val="center"/>
          </w:tcPr>
          <w:p>
            <w:pPr>
              <w:pStyle w:val="28"/>
            </w:pPr>
            <w:r>
              <w:t>2022年工作计划书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完成时间</w:t>
            </w:r>
          </w:p>
        </w:tc>
        <w:tc>
          <w:tcPr>
            <w:tcW w:w="2835" w:type="dxa"/>
            <w:vAlign w:val="center"/>
          </w:tcPr>
          <w:p>
            <w:pPr>
              <w:pStyle w:val="28"/>
            </w:pPr>
            <w:r>
              <w:t>各项工作的完成时间</w:t>
            </w:r>
          </w:p>
        </w:tc>
        <w:tc>
          <w:tcPr>
            <w:tcW w:w="2551" w:type="dxa"/>
            <w:vAlign w:val="center"/>
          </w:tcPr>
          <w:p>
            <w:pPr>
              <w:pStyle w:val="28"/>
            </w:pPr>
            <w:r>
              <w:t>100百分百</w:t>
            </w:r>
          </w:p>
        </w:tc>
        <w:tc>
          <w:tcPr>
            <w:tcW w:w="2268" w:type="dxa"/>
            <w:vAlign w:val="center"/>
          </w:tcPr>
          <w:p>
            <w:pPr>
              <w:pStyle w:val="28"/>
            </w:pPr>
            <w:r>
              <w:t>2022年工作计划书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日常工作成本率</w:t>
            </w:r>
          </w:p>
        </w:tc>
        <w:tc>
          <w:tcPr>
            <w:tcW w:w="2835" w:type="dxa"/>
            <w:vAlign w:val="center"/>
          </w:tcPr>
          <w:p>
            <w:pPr>
              <w:pStyle w:val="28"/>
            </w:pPr>
            <w:r>
              <w:t>能够控制日常工作成本</w:t>
            </w:r>
          </w:p>
        </w:tc>
        <w:tc>
          <w:tcPr>
            <w:tcW w:w="2551" w:type="dxa"/>
            <w:vAlign w:val="center"/>
          </w:tcPr>
          <w:p>
            <w:pPr>
              <w:pStyle w:val="28"/>
            </w:pPr>
            <w:r>
              <w:t>100百分百</w:t>
            </w:r>
          </w:p>
        </w:tc>
        <w:tc>
          <w:tcPr>
            <w:tcW w:w="2268" w:type="dxa"/>
            <w:vAlign w:val="center"/>
          </w:tcPr>
          <w:p>
            <w:pPr>
              <w:pStyle w:val="28"/>
            </w:pPr>
            <w:r>
              <w:t>2022年工作计划书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对经济发展带来效果</w:t>
            </w:r>
          </w:p>
        </w:tc>
        <w:tc>
          <w:tcPr>
            <w:tcW w:w="2835" w:type="dxa"/>
            <w:vAlign w:val="center"/>
          </w:tcPr>
          <w:p>
            <w:pPr>
              <w:pStyle w:val="28"/>
            </w:pPr>
            <w:r>
              <w:t>经济稳定发展</w:t>
            </w:r>
          </w:p>
        </w:tc>
        <w:tc>
          <w:tcPr>
            <w:tcW w:w="2551" w:type="dxa"/>
            <w:vAlign w:val="center"/>
          </w:tcPr>
          <w:p>
            <w:pPr>
              <w:pStyle w:val="28"/>
            </w:pPr>
            <w:r>
              <w:t>≥4招引项目个数</w:t>
            </w:r>
          </w:p>
        </w:tc>
        <w:tc>
          <w:tcPr>
            <w:tcW w:w="2268" w:type="dxa"/>
            <w:vAlign w:val="center"/>
          </w:tcPr>
          <w:p>
            <w:pPr>
              <w:pStyle w:val="28"/>
            </w:pPr>
            <w:r>
              <w:t>2022年工作计划书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pPr>
            <w:r>
              <w:t>我县招商投资环境对外宣传推广情况</w:t>
            </w:r>
          </w:p>
        </w:tc>
        <w:tc>
          <w:tcPr>
            <w:tcW w:w="2551" w:type="dxa"/>
            <w:vAlign w:val="center"/>
          </w:tcPr>
          <w:p>
            <w:pPr>
              <w:pStyle w:val="28"/>
            </w:pPr>
            <w:r>
              <w:t>≥3次</w:t>
            </w:r>
          </w:p>
        </w:tc>
        <w:tc>
          <w:tcPr>
            <w:tcW w:w="2268" w:type="dxa"/>
            <w:vAlign w:val="center"/>
          </w:tcPr>
          <w:p>
            <w:pPr>
              <w:pStyle w:val="28"/>
            </w:pPr>
            <w:r>
              <w:t>举办招商推介会次数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宣传资料长期使用性</w:t>
            </w:r>
          </w:p>
        </w:tc>
        <w:tc>
          <w:tcPr>
            <w:tcW w:w="2835" w:type="dxa"/>
            <w:vAlign w:val="center"/>
          </w:tcPr>
          <w:p>
            <w:pPr>
              <w:pStyle w:val="28"/>
            </w:pPr>
            <w:r>
              <w:t>精准定位，宣传推介我县招商环境</w:t>
            </w:r>
          </w:p>
        </w:tc>
        <w:tc>
          <w:tcPr>
            <w:tcW w:w="2551" w:type="dxa"/>
            <w:vAlign w:val="center"/>
          </w:tcPr>
          <w:p>
            <w:pPr>
              <w:pStyle w:val="28"/>
            </w:pPr>
            <w:r>
              <w:t>≥1年</w:t>
            </w:r>
          </w:p>
        </w:tc>
        <w:tc>
          <w:tcPr>
            <w:tcW w:w="2268" w:type="dxa"/>
            <w:vAlign w:val="center"/>
          </w:tcPr>
          <w:p>
            <w:pPr>
              <w:pStyle w:val="28"/>
            </w:pPr>
            <w:r>
              <w:t>宣传资料的使用时长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 xml:space="preserve">来隆考察投资企业的满意度 </w:t>
            </w:r>
          </w:p>
        </w:tc>
        <w:tc>
          <w:tcPr>
            <w:tcW w:w="2835" w:type="dxa"/>
            <w:vAlign w:val="center"/>
          </w:tcPr>
          <w:p>
            <w:pPr>
              <w:pStyle w:val="28"/>
            </w:pPr>
            <w:r>
              <w:t>来隆考察投资企业的满意度</w:t>
            </w:r>
          </w:p>
        </w:tc>
        <w:tc>
          <w:tcPr>
            <w:tcW w:w="2551" w:type="dxa"/>
            <w:vAlign w:val="center"/>
          </w:tcPr>
          <w:p>
            <w:pPr>
              <w:pStyle w:val="28"/>
            </w:pPr>
            <w:r>
              <w:t>100百分百</w:t>
            </w:r>
          </w:p>
        </w:tc>
        <w:tc>
          <w:tcPr>
            <w:tcW w:w="2268" w:type="dxa"/>
            <w:vAlign w:val="center"/>
          </w:tcPr>
          <w:p>
            <w:pPr>
              <w:pStyle w:val="28"/>
            </w:pPr>
            <w:r>
              <w:t>来隆考察投资企业的满意度</w:t>
            </w:r>
          </w:p>
        </w:tc>
      </w:tr>
    </w:tbl>
    <w:p>
      <w:pPr>
        <w:pStyle w:val="26"/>
      </w:pPr>
    </w:p>
    <w:p>
      <w:pPr>
        <w:pStyle w:val="26"/>
        <w:ind w:firstLine="560"/>
      </w:pPr>
      <w:r>
        <w:rPr>
          <w:rFonts w:ascii="方正仿宋_GBK" w:hAnsi="方正仿宋_GBK" w:eastAsia="方正仿宋_GBK" w:cs="方正仿宋_GBK"/>
          <w:b/>
          <w:color w:val="000000"/>
          <w:sz w:val="28"/>
        </w:rPr>
        <w:t>3、重大招商专项绩效目标表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1.举办招商选资大型活动，参加大型商会展会，完善招商资料宣传推介我县县情，增加我县美誉度。</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联系企业数量</w:t>
            </w:r>
          </w:p>
        </w:tc>
        <w:tc>
          <w:tcPr>
            <w:tcW w:w="2835" w:type="dxa"/>
            <w:vAlign w:val="center"/>
          </w:tcPr>
          <w:p>
            <w:pPr>
              <w:pStyle w:val="28"/>
            </w:pPr>
            <w:r>
              <w:t>联系企业数量</w:t>
            </w:r>
          </w:p>
        </w:tc>
        <w:tc>
          <w:tcPr>
            <w:tcW w:w="2551" w:type="dxa"/>
            <w:vAlign w:val="center"/>
          </w:tcPr>
          <w:p>
            <w:pPr>
              <w:pStyle w:val="28"/>
            </w:pPr>
            <w:r>
              <w:t>≥30家</w:t>
            </w:r>
          </w:p>
        </w:tc>
        <w:tc>
          <w:tcPr>
            <w:tcW w:w="2268" w:type="dxa"/>
            <w:vAlign w:val="center"/>
          </w:tcPr>
          <w:p>
            <w:pPr>
              <w:pStyle w:val="28"/>
            </w:pPr>
            <w:r>
              <w:t>对接企业数量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各项工作的完成率</w:t>
            </w:r>
          </w:p>
        </w:tc>
        <w:tc>
          <w:tcPr>
            <w:tcW w:w="2835" w:type="dxa"/>
            <w:vAlign w:val="center"/>
          </w:tcPr>
          <w:p>
            <w:pPr>
              <w:pStyle w:val="28"/>
            </w:pPr>
            <w:r>
              <w:t>每项工作的综合完成率</w:t>
            </w:r>
          </w:p>
        </w:tc>
        <w:tc>
          <w:tcPr>
            <w:tcW w:w="2551" w:type="dxa"/>
            <w:vAlign w:val="center"/>
          </w:tcPr>
          <w:p>
            <w:pPr>
              <w:pStyle w:val="28"/>
            </w:pPr>
            <w:r>
              <w:t>100百分百</w:t>
            </w:r>
          </w:p>
        </w:tc>
        <w:tc>
          <w:tcPr>
            <w:tcW w:w="2268" w:type="dxa"/>
            <w:vAlign w:val="center"/>
          </w:tcPr>
          <w:p>
            <w:pPr>
              <w:pStyle w:val="28"/>
            </w:pPr>
            <w:r>
              <w:t>2022年工作计划书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完成时间</w:t>
            </w:r>
          </w:p>
        </w:tc>
        <w:tc>
          <w:tcPr>
            <w:tcW w:w="2835" w:type="dxa"/>
            <w:vAlign w:val="center"/>
          </w:tcPr>
          <w:p>
            <w:pPr>
              <w:pStyle w:val="28"/>
            </w:pPr>
            <w:r>
              <w:t>上级安排工作的完成情况</w:t>
            </w:r>
          </w:p>
        </w:tc>
        <w:tc>
          <w:tcPr>
            <w:tcW w:w="2551" w:type="dxa"/>
            <w:vAlign w:val="center"/>
          </w:tcPr>
          <w:p>
            <w:pPr>
              <w:pStyle w:val="28"/>
            </w:pPr>
            <w:r>
              <w:t>100百分百</w:t>
            </w:r>
          </w:p>
        </w:tc>
        <w:tc>
          <w:tcPr>
            <w:tcW w:w="2268" w:type="dxa"/>
            <w:vAlign w:val="center"/>
          </w:tcPr>
          <w:p>
            <w:pPr>
              <w:pStyle w:val="28"/>
            </w:pPr>
            <w:r>
              <w:t>2022年工作计划书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日常工作成本率</w:t>
            </w:r>
          </w:p>
        </w:tc>
        <w:tc>
          <w:tcPr>
            <w:tcW w:w="2835" w:type="dxa"/>
            <w:vAlign w:val="center"/>
          </w:tcPr>
          <w:p>
            <w:pPr>
              <w:pStyle w:val="28"/>
            </w:pPr>
            <w:r>
              <w:t>是否能够控制日常工作成本</w:t>
            </w:r>
          </w:p>
        </w:tc>
        <w:tc>
          <w:tcPr>
            <w:tcW w:w="2551" w:type="dxa"/>
            <w:vAlign w:val="center"/>
          </w:tcPr>
          <w:p>
            <w:pPr>
              <w:pStyle w:val="28"/>
            </w:pPr>
            <w:r>
              <w:t>100百分百</w:t>
            </w:r>
          </w:p>
        </w:tc>
        <w:tc>
          <w:tcPr>
            <w:tcW w:w="2268" w:type="dxa"/>
            <w:vAlign w:val="center"/>
          </w:tcPr>
          <w:p>
            <w:pPr>
              <w:pStyle w:val="28"/>
            </w:pPr>
            <w:r>
              <w:t>2022年工作计划书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对经济发展带来效果</w:t>
            </w:r>
          </w:p>
        </w:tc>
        <w:tc>
          <w:tcPr>
            <w:tcW w:w="2835" w:type="dxa"/>
            <w:vAlign w:val="center"/>
          </w:tcPr>
          <w:p>
            <w:pPr>
              <w:pStyle w:val="28"/>
            </w:pPr>
            <w:r>
              <w:t>经济稳定发展</w:t>
            </w:r>
          </w:p>
        </w:tc>
        <w:tc>
          <w:tcPr>
            <w:tcW w:w="2551" w:type="dxa"/>
            <w:vAlign w:val="center"/>
          </w:tcPr>
          <w:p>
            <w:pPr>
              <w:pStyle w:val="28"/>
            </w:pPr>
            <w:r>
              <w:t>≥4个</w:t>
            </w:r>
          </w:p>
        </w:tc>
        <w:tc>
          <w:tcPr>
            <w:tcW w:w="2268" w:type="dxa"/>
            <w:vAlign w:val="center"/>
          </w:tcPr>
          <w:p>
            <w:pPr>
              <w:pStyle w:val="28"/>
            </w:pPr>
            <w:r>
              <w:t>招引项目个数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pPr>
            <w:r>
              <w:t>我县招商投资环境对外宣传推广情况</w:t>
            </w:r>
          </w:p>
        </w:tc>
        <w:tc>
          <w:tcPr>
            <w:tcW w:w="2551" w:type="dxa"/>
            <w:vAlign w:val="center"/>
          </w:tcPr>
          <w:p>
            <w:pPr>
              <w:pStyle w:val="28"/>
            </w:pPr>
            <w:r>
              <w:t>≥3次</w:t>
            </w:r>
          </w:p>
        </w:tc>
        <w:tc>
          <w:tcPr>
            <w:tcW w:w="2268" w:type="dxa"/>
            <w:vAlign w:val="center"/>
          </w:tcPr>
          <w:p>
            <w:pPr>
              <w:pStyle w:val="28"/>
            </w:pPr>
            <w:r>
              <w:t>举办招商推介会次数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宣传资料的长期使用性</w:t>
            </w:r>
          </w:p>
        </w:tc>
        <w:tc>
          <w:tcPr>
            <w:tcW w:w="2835" w:type="dxa"/>
            <w:vAlign w:val="center"/>
          </w:tcPr>
          <w:p>
            <w:pPr>
              <w:pStyle w:val="28"/>
            </w:pPr>
            <w:r>
              <w:t>精准定位、宣传推介我县招商环境</w:t>
            </w:r>
          </w:p>
        </w:tc>
        <w:tc>
          <w:tcPr>
            <w:tcW w:w="2551" w:type="dxa"/>
            <w:vAlign w:val="center"/>
          </w:tcPr>
          <w:p>
            <w:pPr>
              <w:pStyle w:val="28"/>
            </w:pPr>
            <w:r>
              <w:t>≥1年</w:t>
            </w:r>
          </w:p>
        </w:tc>
        <w:tc>
          <w:tcPr>
            <w:tcW w:w="2268" w:type="dxa"/>
            <w:vAlign w:val="center"/>
          </w:tcPr>
          <w:p>
            <w:pPr>
              <w:pStyle w:val="28"/>
            </w:pPr>
            <w:r>
              <w:t>宣传资料使用1年以上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参会企业和客商满意度</w:t>
            </w:r>
          </w:p>
        </w:tc>
        <w:tc>
          <w:tcPr>
            <w:tcW w:w="2835" w:type="dxa"/>
            <w:vAlign w:val="center"/>
          </w:tcPr>
          <w:p>
            <w:pPr>
              <w:pStyle w:val="28"/>
            </w:pPr>
            <w:r>
              <w:t>参会企业和客商满意度</w:t>
            </w:r>
          </w:p>
        </w:tc>
        <w:tc>
          <w:tcPr>
            <w:tcW w:w="2551" w:type="dxa"/>
            <w:vAlign w:val="center"/>
          </w:tcPr>
          <w:p>
            <w:pPr>
              <w:pStyle w:val="28"/>
            </w:pPr>
            <w:r>
              <w:t>100百分百</w:t>
            </w:r>
          </w:p>
        </w:tc>
        <w:tc>
          <w:tcPr>
            <w:tcW w:w="2268" w:type="dxa"/>
            <w:vAlign w:val="center"/>
          </w:tcPr>
          <w:p>
            <w:pPr>
              <w:pStyle w:val="28"/>
            </w:pPr>
            <w:r>
              <w:t>参会企业和客商满意度</w:t>
            </w:r>
          </w:p>
        </w:tc>
      </w:tr>
    </w:tbl>
    <w:p>
      <w:pPr>
        <w:pStyle w:val="26"/>
      </w:pPr>
    </w:p>
    <w:p>
      <w:pPr>
        <w:pStyle w:val="26"/>
        <w:ind w:firstLine="560"/>
      </w:pPr>
      <w:r>
        <w:rPr>
          <w:rFonts w:ascii="方正仿宋_GBK" w:hAnsi="方正仿宋_GBK" w:eastAsia="方正仿宋_GBK" w:cs="方正仿宋_GBK"/>
          <w:b/>
          <w:color w:val="000000"/>
          <w:sz w:val="28"/>
        </w:rPr>
        <w:t>4、驻点招商绩效目标表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1.充分发挥驻外招商办事处桥头堡作用，积极对接先进地区，摸排搜集有效招商线索，推动和引领我县招商工作，力争引进一批有战略意义的龙头企业。</w:t>
            </w:r>
          </w:p>
        </w:tc>
      </w:tr>
    </w:tbl>
    <w:p>
      <w:pPr>
        <w:pStyle w:val="26"/>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联系企业数量</w:t>
            </w:r>
          </w:p>
        </w:tc>
        <w:tc>
          <w:tcPr>
            <w:tcW w:w="2835" w:type="dxa"/>
            <w:vAlign w:val="center"/>
          </w:tcPr>
          <w:p>
            <w:pPr>
              <w:pStyle w:val="28"/>
            </w:pPr>
            <w:r>
              <w:t>联系企业数量</w:t>
            </w:r>
          </w:p>
        </w:tc>
        <w:tc>
          <w:tcPr>
            <w:tcW w:w="2551" w:type="dxa"/>
            <w:vAlign w:val="center"/>
          </w:tcPr>
          <w:p>
            <w:pPr>
              <w:pStyle w:val="28"/>
            </w:pPr>
            <w:r>
              <w:t>≥30家</w:t>
            </w:r>
          </w:p>
        </w:tc>
        <w:tc>
          <w:tcPr>
            <w:tcW w:w="2268" w:type="dxa"/>
            <w:vAlign w:val="center"/>
          </w:tcPr>
          <w:p>
            <w:pPr>
              <w:pStyle w:val="28"/>
            </w:pPr>
            <w:r>
              <w:t>联系企业数量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各项综合工作的完成率</w:t>
            </w:r>
          </w:p>
        </w:tc>
        <w:tc>
          <w:tcPr>
            <w:tcW w:w="2835" w:type="dxa"/>
            <w:vAlign w:val="center"/>
          </w:tcPr>
          <w:p>
            <w:pPr>
              <w:pStyle w:val="28"/>
            </w:pPr>
            <w:r>
              <w:t>各项综合工作的完成率</w:t>
            </w:r>
          </w:p>
        </w:tc>
        <w:tc>
          <w:tcPr>
            <w:tcW w:w="2551" w:type="dxa"/>
            <w:vAlign w:val="center"/>
          </w:tcPr>
          <w:p>
            <w:pPr>
              <w:pStyle w:val="28"/>
            </w:pPr>
            <w:r>
              <w:t>100百分百</w:t>
            </w:r>
          </w:p>
        </w:tc>
        <w:tc>
          <w:tcPr>
            <w:tcW w:w="2268" w:type="dxa"/>
            <w:vAlign w:val="center"/>
          </w:tcPr>
          <w:p>
            <w:pPr>
              <w:pStyle w:val="28"/>
            </w:pPr>
            <w:r>
              <w:t>2022年工作计划书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完成时间</w:t>
            </w:r>
          </w:p>
        </w:tc>
        <w:tc>
          <w:tcPr>
            <w:tcW w:w="2835" w:type="dxa"/>
            <w:vAlign w:val="center"/>
          </w:tcPr>
          <w:p>
            <w:pPr>
              <w:pStyle w:val="28"/>
            </w:pPr>
            <w:r>
              <w:t>上级安排工作的完成时间</w:t>
            </w:r>
          </w:p>
        </w:tc>
        <w:tc>
          <w:tcPr>
            <w:tcW w:w="2551" w:type="dxa"/>
            <w:vAlign w:val="center"/>
          </w:tcPr>
          <w:p>
            <w:pPr>
              <w:pStyle w:val="28"/>
            </w:pPr>
            <w:r>
              <w:t>100按时完成</w:t>
            </w:r>
          </w:p>
        </w:tc>
        <w:tc>
          <w:tcPr>
            <w:tcW w:w="2268" w:type="dxa"/>
            <w:vAlign w:val="center"/>
          </w:tcPr>
          <w:p>
            <w:pPr>
              <w:pStyle w:val="28"/>
            </w:pPr>
            <w:r>
              <w:t>2022年工作计划书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日常工作成本率</w:t>
            </w:r>
          </w:p>
        </w:tc>
        <w:tc>
          <w:tcPr>
            <w:tcW w:w="2835" w:type="dxa"/>
            <w:vAlign w:val="center"/>
          </w:tcPr>
          <w:p>
            <w:pPr>
              <w:pStyle w:val="28"/>
            </w:pPr>
            <w:r>
              <w:t>是否能够控制日常工作成本</w:t>
            </w:r>
          </w:p>
        </w:tc>
        <w:tc>
          <w:tcPr>
            <w:tcW w:w="2551" w:type="dxa"/>
            <w:vAlign w:val="center"/>
          </w:tcPr>
          <w:p>
            <w:pPr>
              <w:pStyle w:val="28"/>
            </w:pPr>
            <w:r>
              <w:t>100百分百控制</w:t>
            </w:r>
          </w:p>
        </w:tc>
        <w:tc>
          <w:tcPr>
            <w:tcW w:w="2268" w:type="dxa"/>
            <w:vAlign w:val="center"/>
          </w:tcPr>
          <w:p>
            <w:pPr>
              <w:pStyle w:val="28"/>
            </w:pPr>
            <w:r>
              <w:t>2022年工作计划书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对经济发展带来效果</w:t>
            </w:r>
          </w:p>
        </w:tc>
        <w:tc>
          <w:tcPr>
            <w:tcW w:w="2835" w:type="dxa"/>
            <w:vAlign w:val="center"/>
          </w:tcPr>
          <w:p>
            <w:pPr>
              <w:pStyle w:val="28"/>
            </w:pPr>
            <w:r>
              <w:t>经济稳定发展</w:t>
            </w:r>
          </w:p>
        </w:tc>
        <w:tc>
          <w:tcPr>
            <w:tcW w:w="2551" w:type="dxa"/>
            <w:vAlign w:val="center"/>
          </w:tcPr>
          <w:p>
            <w:pPr>
              <w:pStyle w:val="28"/>
            </w:pPr>
            <w:r>
              <w:t>≥4家</w:t>
            </w:r>
          </w:p>
        </w:tc>
        <w:tc>
          <w:tcPr>
            <w:tcW w:w="2268" w:type="dxa"/>
            <w:vAlign w:val="center"/>
          </w:tcPr>
          <w:p>
            <w:pPr>
              <w:pStyle w:val="28"/>
            </w:pPr>
            <w:r>
              <w:t>招引项目个数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pPr>
            <w:r>
              <w:t>我县招商环境对外宣传推广情况</w:t>
            </w:r>
          </w:p>
        </w:tc>
        <w:tc>
          <w:tcPr>
            <w:tcW w:w="2551" w:type="dxa"/>
            <w:vAlign w:val="center"/>
          </w:tcPr>
          <w:p>
            <w:pPr>
              <w:pStyle w:val="28"/>
            </w:pPr>
            <w:r>
              <w:t>≥3次</w:t>
            </w:r>
          </w:p>
        </w:tc>
        <w:tc>
          <w:tcPr>
            <w:tcW w:w="2268" w:type="dxa"/>
            <w:vAlign w:val="center"/>
          </w:tcPr>
          <w:p>
            <w:pPr>
              <w:pStyle w:val="28"/>
            </w:pPr>
            <w:r>
              <w:t>举办招商推介会次数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可持续影响指标</w:t>
            </w:r>
          </w:p>
        </w:tc>
        <w:tc>
          <w:tcPr>
            <w:tcW w:w="2835" w:type="dxa"/>
            <w:vAlign w:val="center"/>
          </w:tcPr>
          <w:p>
            <w:pPr>
              <w:pStyle w:val="28"/>
            </w:pPr>
            <w:r>
              <w:t>招商宣传资料的长期使用性</w:t>
            </w:r>
          </w:p>
        </w:tc>
        <w:tc>
          <w:tcPr>
            <w:tcW w:w="2835" w:type="dxa"/>
            <w:vAlign w:val="center"/>
          </w:tcPr>
          <w:p>
            <w:pPr>
              <w:pStyle w:val="28"/>
            </w:pPr>
            <w:r>
              <w:t>精准定位，宣传推介我县招商环境</w:t>
            </w:r>
          </w:p>
        </w:tc>
        <w:tc>
          <w:tcPr>
            <w:tcW w:w="2551" w:type="dxa"/>
            <w:vAlign w:val="center"/>
          </w:tcPr>
          <w:p>
            <w:pPr>
              <w:pStyle w:val="28"/>
            </w:pPr>
            <w:r>
              <w:t>≥1年</w:t>
            </w:r>
          </w:p>
        </w:tc>
        <w:tc>
          <w:tcPr>
            <w:tcW w:w="2268" w:type="dxa"/>
            <w:vAlign w:val="center"/>
          </w:tcPr>
          <w:p>
            <w:pPr>
              <w:pStyle w:val="28"/>
            </w:pPr>
            <w:r>
              <w:t>招商宣传资料使用时长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来隆考察投资企业的满意度</w:t>
            </w:r>
          </w:p>
        </w:tc>
        <w:tc>
          <w:tcPr>
            <w:tcW w:w="2835" w:type="dxa"/>
            <w:vAlign w:val="center"/>
          </w:tcPr>
          <w:p>
            <w:pPr>
              <w:pStyle w:val="28"/>
            </w:pPr>
            <w:r>
              <w:t>来隆考察投资企业的满意度</w:t>
            </w:r>
          </w:p>
        </w:tc>
        <w:tc>
          <w:tcPr>
            <w:tcW w:w="2551" w:type="dxa"/>
            <w:vAlign w:val="center"/>
          </w:tcPr>
          <w:p>
            <w:pPr>
              <w:pStyle w:val="28"/>
            </w:pPr>
            <w:r>
              <w:t>100百分百</w:t>
            </w:r>
          </w:p>
        </w:tc>
        <w:tc>
          <w:tcPr>
            <w:tcW w:w="2268" w:type="dxa"/>
            <w:vAlign w:val="center"/>
          </w:tcPr>
          <w:p>
            <w:pPr>
              <w:pStyle w:val="28"/>
            </w:pPr>
            <w:r>
              <w:t>来隆考察投资企业的满意度</w:t>
            </w:r>
          </w:p>
        </w:tc>
      </w:tr>
    </w:tbl>
    <w:p>
      <w:pPr>
        <w:pStyle w:val="26"/>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2022年，隆尧县招商服务中心安排政府采购预算218.00万元。具体内容见下表。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814003隆尧县招商服务中心</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218.00</w:t>
            </w:r>
          </w:p>
        </w:tc>
        <w:tc>
          <w:tcPr>
            <w:tcW w:w="964" w:type="dxa"/>
            <w:vAlign w:val="center"/>
          </w:tcPr>
          <w:p>
            <w:pPr>
              <w:pStyle w:val="17"/>
            </w:pPr>
            <w:r>
              <w:t>218.00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隆尧县招商服务中心小计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218.00</w:t>
            </w:r>
          </w:p>
        </w:tc>
        <w:tc>
          <w:tcPr>
            <w:tcW w:w="964" w:type="dxa"/>
            <w:vAlign w:val="center"/>
          </w:tcPr>
          <w:p>
            <w:pPr>
              <w:pStyle w:val="17"/>
            </w:pPr>
            <w:r>
              <w:t>218.00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委托招商服务经费</w:t>
            </w:r>
          </w:p>
        </w:tc>
        <w:tc>
          <w:tcPr>
            <w:tcW w:w="964" w:type="dxa"/>
            <w:vAlign w:val="center"/>
          </w:tcPr>
          <w:p>
            <w:pPr>
              <w:pStyle w:val="13"/>
            </w:pPr>
            <w:r>
              <w:t>218.00</w:t>
            </w:r>
          </w:p>
        </w:tc>
        <w:tc>
          <w:tcPr>
            <w:tcW w:w="1134" w:type="dxa"/>
            <w:vAlign w:val="center"/>
          </w:tcPr>
          <w:p>
            <w:pPr>
              <w:pStyle w:val="14"/>
            </w:pPr>
            <w:r>
              <w:t>其他服务</w:t>
            </w:r>
          </w:p>
        </w:tc>
        <w:tc>
          <w:tcPr>
            <w:tcW w:w="1134" w:type="dxa"/>
            <w:vAlign w:val="center"/>
          </w:tcPr>
          <w:p>
            <w:pPr>
              <w:pStyle w:val="14"/>
            </w:pPr>
            <w:r>
              <w:t>C99</w:t>
            </w:r>
          </w:p>
        </w:tc>
        <w:tc>
          <w:tcPr>
            <w:tcW w:w="709" w:type="dxa"/>
            <w:vAlign w:val="center"/>
          </w:tcPr>
          <w:p>
            <w:pPr>
              <w:pStyle w:val="15"/>
            </w:pPr>
            <w:r>
              <w:t>次</w:t>
            </w:r>
          </w:p>
        </w:tc>
        <w:tc>
          <w:tcPr>
            <w:tcW w:w="850" w:type="dxa"/>
            <w:vAlign w:val="center"/>
          </w:tcPr>
          <w:p>
            <w:pPr>
              <w:pStyle w:val="13"/>
            </w:pPr>
            <w:r>
              <w:t>1</w:t>
            </w:r>
          </w:p>
        </w:tc>
        <w:tc>
          <w:tcPr>
            <w:tcW w:w="850" w:type="dxa"/>
            <w:vAlign w:val="center"/>
          </w:tcPr>
          <w:p>
            <w:pPr>
              <w:pStyle w:val="13"/>
            </w:pPr>
            <w:r>
              <w:t>218.00</w:t>
            </w:r>
          </w:p>
        </w:tc>
        <w:tc>
          <w:tcPr>
            <w:tcW w:w="964" w:type="dxa"/>
            <w:vAlign w:val="center"/>
          </w:tcPr>
          <w:p>
            <w:pPr>
              <w:pStyle w:val="13"/>
            </w:pPr>
            <w:r>
              <w:t>218.00</w:t>
            </w:r>
          </w:p>
        </w:tc>
        <w:tc>
          <w:tcPr>
            <w:tcW w:w="964" w:type="dxa"/>
            <w:vAlign w:val="center"/>
          </w:tcPr>
          <w:p>
            <w:pPr>
              <w:pStyle w:val="13"/>
            </w:pPr>
            <w:r>
              <w:t>218.00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隆尧县招商服务中心上年末固定资产金额为23.65万元（详见下表）。本年度拟购置固定资产总额为0.00万元，已按要求列入政府采购预算，详见政府采购预算表。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814003隆尧县招商服务中心</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208</w:t>
            </w:r>
          </w:p>
        </w:tc>
        <w:tc>
          <w:tcPr>
            <w:tcW w:w="2835" w:type="dxa"/>
            <w:vAlign w:val="center"/>
          </w:tcPr>
          <w:p>
            <w:pPr>
              <w:pStyle w:val="13"/>
            </w:pPr>
            <w:r>
              <w:t>23.65</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90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jcyZjg5MDk4YmQyNWYwZDdkMDk4NDQyMTI4ODVkOTAifQ=="/>
  </w:docVars>
  <w:rsids>
    <w:rsidRoot w:val="00A82458"/>
    <w:rsid w:val="0065691A"/>
    <w:rsid w:val="007D1BC2"/>
    <w:rsid w:val="00961683"/>
    <w:rsid w:val="00A82458"/>
    <w:rsid w:val="00B2686E"/>
    <w:rsid w:val="00C06E85"/>
    <w:rsid w:val="00E24FA2"/>
    <w:rsid w:val="00F317D9"/>
    <w:rsid w:val="02375564"/>
    <w:rsid w:val="06387418"/>
    <w:rsid w:val="0CC60C94"/>
    <w:rsid w:val="14C3780A"/>
    <w:rsid w:val="1D837088"/>
    <w:rsid w:val="22577640"/>
    <w:rsid w:val="244F0582"/>
    <w:rsid w:val="2FDF1E96"/>
    <w:rsid w:val="443219C0"/>
    <w:rsid w:val="45B97CAD"/>
    <w:rsid w:val="4BE71438"/>
    <w:rsid w:val="51A4249C"/>
    <w:rsid w:val="53A4713A"/>
    <w:rsid w:val="54310060"/>
    <w:rsid w:val="5CF542FE"/>
    <w:rsid w:val="635B7FF2"/>
    <w:rsid w:val="635F7193"/>
    <w:rsid w:val="63E9020D"/>
    <w:rsid w:val="68650419"/>
    <w:rsid w:val="692E44AA"/>
    <w:rsid w:val="75E97CB5"/>
    <w:rsid w:val="7C7C35AB"/>
    <w:rsid w:val="7E325A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Normal_02ea5c7d-d318-4777-aae4-a8ecf1784a0e"/>
    <w:qFormat/>
    <w:uiPriority w:val="0"/>
    <w:rPr>
      <w:rFonts w:ascii="Times New Roman" w:hAnsi="Times New Roman" w:eastAsia="Times New Roman" w:cs="Times New Roman"/>
      <w:sz w:val="24"/>
      <w:szCs w:val="24"/>
      <w:lang w:val="en-US" w:eastAsia="uk-UA" w:bidi="ar-SA"/>
    </w:rPr>
  </w:style>
  <w:style w:type="paragraph" w:customStyle="1" w:styleId="27">
    <w:name w:val="单元格样式1_c6dccc3e-1f7d-4c29-b421-a0052de69c12"/>
    <w:basedOn w:val="1"/>
    <w:qFormat/>
    <w:uiPriority w:val="0"/>
    <w:pPr>
      <w:jc w:val="center"/>
    </w:pPr>
    <w:rPr>
      <w:rFonts w:ascii="方正书宋_GBK" w:hAnsi="方正书宋_GBK" w:eastAsia="方正书宋_GBK" w:cs="方正书宋_GBK"/>
      <w:b/>
      <w:sz w:val="21"/>
    </w:rPr>
  </w:style>
  <w:style w:type="paragraph" w:customStyle="1" w:styleId="28">
    <w:name w:val="单元格样式2_e37a9758-86a8-43dd-9f28-a83750ba3abf"/>
    <w:basedOn w:val="1"/>
    <w:qFormat/>
    <w:uiPriority w:val="0"/>
    <w:rPr>
      <w:rFonts w:ascii="方正书宋_GBK" w:hAnsi="方正书宋_GBK" w:eastAsia="方正书宋_GBK" w:cs="方正书宋_GBK"/>
      <w:sz w:val="21"/>
    </w:rPr>
  </w:style>
  <w:style w:type="paragraph" w:customStyle="1" w:styleId="29">
    <w:name w:val="单元格样式3_4f234b92-ab91-41f0-837a-03e59da125ca"/>
    <w:basedOn w:val="1"/>
    <w:qFormat/>
    <w:uiPriority w:val="0"/>
    <w:pPr>
      <w:jc w:val="center"/>
    </w:pPr>
    <w:rPr>
      <w:rFonts w:ascii="方正书宋_GBK" w:hAnsi="方正书宋_GBK" w:eastAsia="方正书宋_GBK" w:cs="方正书宋_GBK"/>
      <w:sz w:val="21"/>
    </w:rPr>
  </w:style>
  <w:style w:type="paragraph" w:customStyle="1" w:styleId="30">
    <w:name w:val="单元格样式23"/>
    <w:basedOn w:val="1"/>
    <w:qFormat/>
    <w:uiPriority w:val="0"/>
    <w:pPr>
      <w:jc w:val="right"/>
    </w:pPr>
    <w:rPr>
      <w:rFonts w:ascii="方正书宋_GBK" w:hAnsi="方正书宋_GBK" w:eastAsia="方正书宋_GBK" w:cs="方正书宋_GBK"/>
    </w:rPr>
  </w:style>
  <w:style w:type="paragraph" w:customStyle="1" w:styleId="31">
    <w:name w:val="插入文本样式-插入单位职责文件"/>
    <w:basedOn w:val="1"/>
    <w:qFormat/>
    <w:uiPriority w:val="0"/>
    <w:pPr>
      <w:spacing w:line="500" w:lineRule="exact"/>
      <w:ind w:firstLine="560"/>
    </w:pPr>
    <w:rPr>
      <w:rFonts w:eastAsia="方正仿宋_GBK"/>
      <w:sz w:val="28"/>
    </w:rPr>
  </w:style>
  <w:style w:type="paragraph" w:customStyle="1" w:styleId="32">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3">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4">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2022-02-15T10:07:19Z</dcterms:created>
  <dcterms:modified xsi:type="dcterms:W3CDTF">2022-02-15T02:07:19Z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2022-02-15T10:07:23Z</dcterms:created>
  <dcterms:modified xsi:type="dcterms:W3CDTF">2022-02-15T02:07:23Z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2022-02-15T10:07:15Z</dcterms:created>
  <dcterms:modified xsi:type="dcterms:W3CDTF">2022-02-15T02:07:15Z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2022-02-15T10:07:21Z</dcterms:created>
  <dcterms:modified xsi:type="dcterms:W3CDTF">2022-02-15T02:07:21Z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2022-02-15T10:07:17Z</dcterms:created>
  <dcterms:modified xsi:type="dcterms:W3CDTF">2022-02-15T02:07:17Z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2022-02-15T10:07:23Z</dcterms:created>
  <dcterms:modified xsi:type="dcterms:W3CDTF">2022-02-15T02:07:23Z</dcterms:modified>
</cp:coreProperties>
</file>

<file path=customXml/itemProps1.xml><?xml version="1.0" encoding="utf-8"?>
<ds:datastoreItem xmlns:ds="http://schemas.openxmlformats.org/officeDocument/2006/customXml" ds:itemID="{0D23ABC3-B542-435D-897C-6014101D0DFD}">
  <ds:schemaRefs/>
</ds:datastoreItem>
</file>

<file path=customXml/itemProps10.xml><?xml version="1.0" encoding="utf-8"?>
<ds:datastoreItem xmlns:ds="http://schemas.openxmlformats.org/officeDocument/2006/customXml" ds:itemID="{FFA49C3B-22ED-426A-8A47-C1626F02E048}">
  <ds:schemaRefs/>
</ds:datastoreItem>
</file>

<file path=customXml/itemProps11.xml><?xml version="1.0" encoding="utf-8"?>
<ds:datastoreItem xmlns:ds="http://schemas.openxmlformats.org/officeDocument/2006/customXml" ds:itemID="{26C9ADF1-E256-4164-BFD4-89B6212DC4BD}">
  <ds:schemaRefs/>
</ds:datastoreItem>
</file>

<file path=customXml/itemProps12.xml><?xml version="1.0" encoding="utf-8"?>
<ds:datastoreItem xmlns:ds="http://schemas.openxmlformats.org/officeDocument/2006/customXml" ds:itemID="{67E7C514-476A-4BC1-959A-1E2C199C0303}">
  <ds:schemaRefs/>
</ds:datastoreItem>
</file>

<file path=customXml/itemProps2.xml><?xml version="1.0" encoding="utf-8"?>
<ds:datastoreItem xmlns:ds="http://schemas.openxmlformats.org/officeDocument/2006/customXml" ds:itemID="{C4AE77C3-9DDD-4B9B-9B9C-0291B97918D8}">
  <ds:schemaRefs/>
</ds:datastoreItem>
</file>

<file path=customXml/itemProps3.xml><?xml version="1.0" encoding="utf-8"?>
<ds:datastoreItem xmlns:ds="http://schemas.openxmlformats.org/officeDocument/2006/customXml" ds:itemID="{0189A2F6-780B-4B98-9AC5-D07571A4B87E}">
  <ds:schemaRefs/>
</ds:datastoreItem>
</file>

<file path=customXml/itemProps4.xml><?xml version="1.0" encoding="utf-8"?>
<ds:datastoreItem xmlns:ds="http://schemas.openxmlformats.org/officeDocument/2006/customXml" ds:itemID="{3B85F8BB-337E-40B1-BE51-F9C9FFD8AED4}">
  <ds:schemaRefs/>
</ds:datastoreItem>
</file>

<file path=customXml/itemProps5.xml><?xml version="1.0" encoding="utf-8"?>
<ds:datastoreItem xmlns:ds="http://schemas.openxmlformats.org/officeDocument/2006/customXml" ds:itemID="{F4421A02-D8A2-4444-9877-BE028CB4A248}">
  <ds:schemaRefs/>
</ds:datastoreItem>
</file>

<file path=customXml/itemProps6.xml><?xml version="1.0" encoding="utf-8"?>
<ds:datastoreItem xmlns:ds="http://schemas.openxmlformats.org/officeDocument/2006/customXml" ds:itemID="{815CFECF-6E4A-41F9-9EC7-DC23EACC88CA}">
  <ds:schemaRefs/>
</ds:datastoreItem>
</file>

<file path=customXml/itemProps7.xml><?xml version="1.0" encoding="utf-8"?>
<ds:datastoreItem xmlns:ds="http://schemas.openxmlformats.org/officeDocument/2006/customXml" ds:itemID="{06325A76-EF64-4D46-AAFB-90B1786D1A9B}">
  <ds:schemaRefs/>
</ds:datastoreItem>
</file>

<file path=customXml/itemProps8.xml><?xml version="1.0" encoding="utf-8"?>
<ds:datastoreItem xmlns:ds="http://schemas.openxmlformats.org/officeDocument/2006/customXml" ds:itemID="{9D51A77F-8879-4D8B-8942-B3C73AF6EF28}">
  <ds:schemaRefs/>
</ds:datastoreItem>
</file>

<file path=customXml/itemProps9.xml><?xml version="1.0" encoding="utf-8"?>
<ds:datastoreItem xmlns:ds="http://schemas.openxmlformats.org/officeDocument/2006/customXml" ds:itemID="{64712C18-67A7-4DC7-9235-FE9A3CBB7224}">
  <ds:schemaRefs/>
</ds:datastoreItem>
</file>

<file path=docProps/app.xml><?xml version="1.0" encoding="utf-8"?>
<Properties xmlns="http://schemas.openxmlformats.org/officeDocument/2006/extended-properties" xmlns:vt="http://schemas.openxmlformats.org/officeDocument/2006/docPropsVTypes">
  <Template>Normal</Template>
  <Pages>55</Pages>
  <Words>18383</Words>
  <Characters>21594</Characters>
  <Lines>357</Lines>
  <Paragraphs>100</Paragraphs>
  <TotalTime>7</TotalTime>
  <ScaleCrop>false</ScaleCrop>
  <LinksUpToDate>false</LinksUpToDate>
  <CharactersWithSpaces>23268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2022-02-15T10:07:00Z</dcterms:created>
  <dc:creator>Administrator</dc:creator>
  <cp:lastModifiedBy>心向往新期待</cp:lastModifiedBy>
  <dcterms:modified xsi:type="dcterms:W3CDTF">2023-09-06T01:55:01Z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3400E094062644EFAE2494FC5FE5AEFD</vt:lpwstr>
  </property>
</Properties>
</file>