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814隆尧县商务局</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1985.60</w:t>
            </w:r>
          </w:p>
        </w:tc>
        <w:tc>
          <w:tcPr>
            <w:tcW w:w="4535" w:type="dxa"/>
            <w:vAlign w:val="center"/>
          </w:tcPr>
          <w:p>
            <w:pPr>
              <w:pStyle w:val="14"/>
            </w:pPr>
            <w:r>
              <w:t>一、一般公共服务支出</w:t>
            </w:r>
          </w:p>
        </w:tc>
        <w:tc>
          <w:tcPr>
            <w:tcW w:w="2126" w:type="dxa"/>
            <w:vAlign w:val="center"/>
          </w:tcPr>
          <w:p>
            <w:pPr>
              <w:pStyle w:val="13"/>
            </w:pPr>
            <w:r>
              <w:t>942.89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1461.97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1985.60</w:t>
            </w:r>
          </w:p>
        </w:tc>
        <w:tc>
          <w:tcPr>
            <w:tcW w:w="4535" w:type="dxa"/>
            <w:vAlign w:val="center"/>
          </w:tcPr>
          <w:p>
            <w:pPr>
              <w:pStyle w:val="16"/>
            </w:pPr>
            <w:r>
              <w:t>本年支出合计</w:t>
            </w:r>
          </w:p>
        </w:tc>
        <w:tc>
          <w:tcPr>
            <w:tcW w:w="2126" w:type="dxa"/>
            <w:vAlign w:val="center"/>
          </w:tcPr>
          <w:p>
            <w:pPr>
              <w:pStyle w:val="17"/>
            </w:pPr>
            <w:r>
              <w:t>2447.57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461.97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2447.57</w:t>
            </w:r>
          </w:p>
        </w:tc>
        <w:tc>
          <w:tcPr>
            <w:tcW w:w="4535" w:type="dxa"/>
            <w:vAlign w:val="center"/>
          </w:tcPr>
          <w:p>
            <w:pPr>
              <w:pStyle w:val="16"/>
            </w:pPr>
            <w:r>
              <w:t>支出总计</w:t>
            </w:r>
          </w:p>
        </w:tc>
        <w:tc>
          <w:tcPr>
            <w:tcW w:w="2126" w:type="dxa"/>
            <w:vAlign w:val="center"/>
          </w:tcPr>
          <w:p>
            <w:pPr>
              <w:pStyle w:val="17"/>
            </w:pPr>
            <w:r>
              <w:t>2447.57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814隆尧县商务局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2447.57</w:t>
            </w:r>
          </w:p>
        </w:tc>
        <w:tc>
          <w:tcPr>
            <w:tcW w:w="1134" w:type="dxa"/>
            <w:vAlign w:val="center"/>
          </w:tcPr>
          <w:p>
            <w:pPr>
              <w:pStyle w:val="17"/>
            </w:pPr>
            <w:r>
              <w:t>1985.60</w:t>
            </w:r>
          </w:p>
        </w:tc>
        <w:tc>
          <w:tcPr>
            <w:tcW w:w="1134" w:type="dxa"/>
            <w:vAlign w:val="center"/>
          </w:tcPr>
          <w:p>
            <w:pPr>
              <w:pStyle w:val="17"/>
            </w:pPr>
            <w:r>
              <w:t>1985.60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942.89</w:t>
            </w:r>
          </w:p>
        </w:tc>
        <w:tc>
          <w:tcPr>
            <w:tcW w:w="1134" w:type="dxa"/>
            <w:vAlign w:val="center"/>
          </w:tcPr>
          <w:p>
            <w:pPr>
              <w:pStyle w:val="13"/>
            </w:pPr>
            <w:r>
              <w:t>942.89</w:t>
            </w:r>
          </w:p>
        </w:tc>
        <w:tc>
          <w:tcPr>
            <w:tcW w:w="1134" w:type="dxa"/>
            <w:vAlign w:val="center"/>
          </w:tcPr>
          <w:p>
            <w:pPr>
              <w:pStyle w:val="13"/>
            </w:pPr>
            <w:r>
              <w:t>942.89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942.89</w:t>
            </w:r>
          </w:p>
        </w:tc>
        <w:tc>
          <w:tcPr>
            <w:tcW w:w="1134" w:type="dxa"/>
            <w:vAlign w:val="center"/>
          </w:tcPr>
          <w:p>
            <w:pPr>
              <w:pStyle w:val="13"/>
            </w:pPr>
            <w:r>
              <w:t>942.89</w:t>
            </w:r>
          </w:p>
        </w:tc>
        <w:tc>
          <w:tcPr>
            <w:tcW w:w="1134" w:type="dxa"/>
            <w:vAlign w:val="center"/>
          </w:tcPr>
          <w:p>
            <w:pPr>
              <w:pStyle w:val="13"/>
            </w:pPr>
            <w:r>
              <w:t>942.89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2011301</w:t>
            </w:r>
          </w:p>
        </w:tc>
        <w:tc>
          <w:tcPr>
            <w:tcW w:w="1559" w:type="dxa"/>
            <w:vAlign w:val="center"/>
          </w:tcPr>
          <w:p>
            <w:pPr>
              <w:pStyle w:val="14"/>
            </w:pPr>
            <w:r>
              <w:t>行政运行</w:t>
            </w:r>
          </w:p>
        </w:tc>
        <w:tc>
          <w:tcPr>
            <w:tcW w:w="1134" w:type="dxa"/>
            <w:vAlign w:val="center"/>
          </w:tcPr>
          <w:p>
            <w:pPr>
              <w:pStyle w:val="13"/>
            </w:pPr>
            <w:r>
              <w:t>146.07</w:t>
            </w:r>
          </w:p>
        </w:tc>
        <w:tc>
          <w:tcPr>
            <w:tcW w:w="1134" w:type="dxa"/>
            <w:vAlign w:val="center"/>
          </w:tcPr>
          <w:p>
            <w:pPr>
              <w:pStyle w:val="13"/>
            </w:pPr>
            <w:r>
              <w:t>146.07</w:t>
            </w:r>
          </w:p>
        </w:tc>
        <w:tc>
          <w:tcPr>
            <w:tcW w:w="1134" w:type="dxa"/>
            <w:vAlign w:val="center"/>
          </w:tcPr>
          <w:p>
            <w:pPr>
              <w:pStyle w:val="13"/>
            </w:pPr>
            <w:r>
              <w:t>146.07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2011306</w:t>
            </w:r>
          </w:p>
        </w:tc>
        <w:tc>
          <w:tcPr>
            <w:tcW w:w="1559" w:type="dxa"/>
            <w:vAlign w:val="center"/>
          </w:tcPr>
          <w:p>
            <w:pPr>
              <w:pStyle w:val="14"/>
            </w:pPr>
            <w:r>
              <w:t>外资管理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2011307</w:t>
            </w:r>
          </w:p>
        </w:tc>
        <w:tc>
          <w:tcPr>
            <w:tcW w:w="1559" w:type="dxa"/>
            <w:vAlign w:val="center"/>
          </w:tcPr>
          <w:p>
            <w:pPr>
              <w:pStyle w:val="14"/>
            </w:pPr>
            <w:r>
              <w:t>国内贸易管理</w:t>
            </w:r>
          </w:p>
        </w:tc>
        <w:tc>
          <w:tcPr>
            <w:tcW w:w="1134" w:type="dxa"/>
            <w:vAlign w:val="center"/>
          </w:tcPr>
          <w:p>
            <w:pPr>
              <w:pStyle w:val="13"/>
            </w:pPr>
            <w:r>
              <w:t>168.00</w:t>
            </w:r>
          </w:p>
        </w:tc>
        <w:tc>
          <w:tcPr>
            <w:tcW w:w="1134" w:type="dxa"/>
            <w:vAlign w:val="center"/>
          </w:tcPr>
          <w:p>
            <w:pPr>
              <w:pStyle w:val="13"/>
            </w:pPr>
            <w:r>
              <w:t>168.00</w:t>
            </w:r>
          </w:p>
        </w:tc>
        <w:tc>
          <w:tcPr>
            <w:tcW w:w="1134" w:type="dxa"/>
            <w:vAlign w:val="center"/>
          </w:tcPr>
          <w:p>
            <w:pPr>
              <w:pStyle w:val="13"/>
            </w:pPr>
            <w:r>
              <w:t>168.00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2011399</w:t>
            </w:r>
          </w:p>
        </w:tc>
        <w:tc>
          <w:tcPr>
            <w:tcW w:w="1559" w:type="dxa"/>
            <w:vAlign w:val="center"/>
          </w:tcPr>
          <w:p>
            <w:pPr>
              <w:pStyle w:val="14"/>
            </w:pPr>
            <w:r>
              <w:t>其他商贸事务支出</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17.41</w:t>
            </w:r>
          </w:p>
        </w:tc>
        <w:tc>
          <w:tcPr>
            <w:tcW w:w="1134" w:type="dxa"/>
            <w:vAlign w:val="center"/>
          </w:tcPr>
          <w:p>
            <w:pPr>
              <w:pStyle w:val="13"/>
            </w:pPr>
            <w:r>
              <w:t>17.41</w:t>
            </w:r>
          </w:p>
        </w:tc>
        <w:tc>
          <w:tcPr>
            <w:tcW w:w="1134" w:type="dxa"/>
            <w:vAlign w:val="center"/>
          </w:tcPr>
          <w:p>
            <w:pPr>
              <w:pStyle w:val="13"/>
            </w:pPr>
            <w:r>
              <w:t>17.41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17.41</w:t>
            </w:r>
          </w:p>
        </w:tc>
        <w:tc>
          <w:tcPr>
            <w:tcW w:w="1134" w:type="dxa"/>
            <w:vAlign w:val="center"/>
          </w:tcPr>
          <w:p>
            <w:pPr>
              <w:pStyle w:val="13"/>
            </w:pPr>
            <w:r>
              <w:t>17.41</w:t>
            </w:r>
          </w:p>
        </w:tc>
        <w:tc>
          <w:tcPr>
            <w:tcW w:w="1134" w:type="dxa"/>
            <w:vAlign w:val="center"/>
          </w:tcPr>
          <w:p>
            <w:pPr>
              <w:pStyle w:val="13"/>
            </w:pPr>
            <w:r>
              <w:t>17.41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17.41</w:t>
            </w:r>
          </w:p>
        </w:tc>
        <w:tc>
          <w:tcPr>
            <w:tcW w:w="1134" w:type="dxa"/>
            <w:vAlign w:val="center"/>
          </w:tcPr>
          <w:p>
            <w:pPr>
              <w:pStyle w:val="13"/>
            </w:pPr>
            <w:r>
              <w:t>17.41</w:t>
            </w:r>
          </w:p>
        </w:tc>
        <w:tc>
          <w:tcPr>
            <w:tcW w:w="1134" w:type="dxa"/>
            <w:vAlign w:val="center"/>
          </w:tcPr>
          <w:p>
            <w:pPr>
              <w:pStyle w:val="13"/>
            </w:pPr>
            <w:r>
              <w:t>17.41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10.49</w:t>
            </w:r>
          </w:p>
        </w:tc>
        <w:tc>
          <w:tcPr>
            <w:tcW w:w="1134" w:type="dxa"/>
            <w:vAlign w:val="center"/>
          </w:tcPr>
          <w:p>
            <w:pPr>
              <w:pStyle w:val="13"/>
            </w:pPr>
            <w:r>
              <w:t>10.49</w:t>
            </w:r>
          </w:p>
        </w:tc>
        <w:tc>
          <w:tcPr>
            <w:tcW w:w="1134" w:type="dxa"/>
            <w:vAlign w:val="center"/>
          </w:tcPr>
          <w:p>
            <w:pPr>
              <w:pStyle w:val="13"/>
            </w:pPr>
            <w:r>
              <w:t>10.49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10.49</w:t>
            </w:r>
          </w:p>
        </w:tc>
        <w:tc>
          <w:tcPr>
            <w:tcW w:w="1134" w:type="dxa"/>
            <w:vAlign w:val="center"/>
          </w:tcPr>
          <w:p>
            <w:pPr>
              <w:pStyle w:val="13"/>
            </w:pPr>
            <w:r>
              <w:t>10.49</w:t>
            </w:r>
          </w:p>
        </w:tc>
        <w:tc>
          <w:tcPr>
            <w:tcW w:w="1134" w:type="dxa"/>
            <w:vAlign w:val="center"/>
          </w:tcPr>
          <w:p>
            <w:pPr>
              <w:pStyle w:val="13"/>
            </w:pPr>
            <w:r>
              <w:t>10.49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1461.97</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2160299</w:t>
            </w:r>
          </w:p>
        </w:tc>
        <w:tc>
          <w:tcPr>
            <w:tcW w:w="1559" w:type="dxa"/>
            <w:vAlign w:val="center"/>
          </w:tcPr>
          <w:p>
            <w:pPr>
              <w:pStyle w:val="14"/>
            </w:pPr>
            <w:r>
              <w:t>其他商业流通事务支出</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21606</w:t>
            </w:r>
          </w:p>
        </w:tc>
        <w:tc>
          <w:tcPr>
            <w:tcW w:w="1559" w:type="dxa"/>
            <w:vAlign w:val="center"/>
          </w:tcPr>
          <w:p>
            <w:pPr>
              <w:pStyle w:val="14"/>
            </w:pPr>
            <w:r>
              <w:t>涉外发展服务支出</w:t>
            </w:r>
          </w:p>
        </w:tc>
        <w:tc>
          <w:tcPr>
            <w:tcW w:w="1134" w:type="dxa"/>
            <w:vAlign w:val="center"/>
          </w:tcPr>
          <w:p>
            <w:pPr>
              <w:pStyle w:val="13"/>
            </w:pPr>
            <w:r>
              <w:t>1061.97</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2160699</w:t>
            </w:r>
          </w:p>
        </w:tc>
        <w:tc>
          <w:tcPr>
            <w:tcW w:w="1559" w:type="dxa"/>
            <w:vAlign w:val="center"/>
          </w:tcPr>
          <w:p>
            <w:pPr>
              <w:pStyle w:val="14"/>
            </w:pPr>
            <w:r>
              <w:t>其他涉外发展服务支出</w:t>
            </w:r>
          </w:p>
        </w:tc>
        <w:tc>
          <w:tcPr>
            <w:tcW w:w="1134" w:type="dxa"/>
            <w:vAlign w:val="center"/>
          </w:tcPr>
          <w:p>
            <w:pPr>
              <w:pStyle w:val="13"/>
            </w:pPr>
            <w:r>
              <w:t>1061.97</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14.80</w:t>
            </w:r>
          </w:p>
        </w:tc>
        <w:tc>
          <w:tcPr>
            <w:tcW w:w="1134" w:type="dxa"/>
            <w:vAlign w:val="center"/>
          </w:tcPr>
          <w:p>
            <w:pPr>
              <w:pStyle w:val="13"/>
            </w:pPr>
            <w:r>
              <w:t>14.80</w:t>
            </w:r>
          </w:p>
        </w:tc>
        <w:tc>
          <w:tcPr>
            <w:tcW w:w="1134" w:type="dxa"/>
            <w:vAlign w:val="center"/>
          </w:tcPr>
          <w:p>
            <w:pPr>
              <w:pStyle w:val="13"/>
            </w:pPr>
            <w:r>
              <w:t>14.80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14.80</w:t>
            </w:r>
          </w:p>
        </w:tc>
        <w:tc>
          <w:tcPr>
            <w:tcW w:w="1134" w:type="dxa"/>
            <w:vAlign w:val="center"/>
          </w:tcPr>
          <w:p>
            <w:pPr>
              <w:pStyle w:val="13"/>
            </w:pPr>
            <w:r>
              <w:t>14.80</w:t>
            </w:r>
          </w:p>
        </w:tc>
        <w:tc>
          <w:tcPr>
            <w:tcW w:w="1134" w:type="dxa"/>
            <w:vAlign w:val="center"/>
          </w:tcPr>
          <w:p>
            <w:pPr>
              <w:pStyle w:val="13"/>
            </w:pPr>
            <w:r>
              <w:t>14.80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14.80</w:t>
            </w:r>
          </w:p>
        </w:tc>
        <w:tc>
          <w:tcPr>
            <w:tcW w:w="1134" w:type="dxa"/>
            <w:vAlign w:val="center"/>
          </w:tcPr>
          <w:p>
            <w:pPr>
              <w:pStyle w:val="13"/>
            </w:pPr>
            <w:r>
              <w:t>14.80</w:t>
            </w:r>
          </w:p>
        </w:tc>
        <w:tc>
          <w:tcPr>
            <w:tcW w:w="1134" w:type="dxa"/>
            <w:vAlign w:val="center"/>
          </w:tcPr>
          <w:p>
            <w:pPr>
              <w:pStyle w:val="13"/>
            </w:pPr>
            <w:r>
              <w:t>14.80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2447.57</w:t>
            </w:r>
          </w:p>
        </w:tc>
        <w:tc>
          <w:tcPr>
            <w:tcW w:w="1361" w:type="dxa"/>
            <w:vAlign w:val="center"/>
          </w:tcPr>
          <w:p>
            <w:pPr>
              <w:pStyle w:val="17"/>
            </w:pPr>
            <w:r>
              <w:t>236.05</w:t>
            </w:r>
          </w:p>
        </w:tc>
        <w:tc>
          <w:tcPr>
            <w:tcW w:w="1361" w:type="dxa"/>
            <w:vAlign w:val="center"/>
          </w:tcPr>
          <w:p>
            <w:pPr>
              <w:pStyle w:val="17"/>
            </w:pPr>
            <w:r>
              <w:t>2211.52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942.89</w:t>
            </w:r>
          </w:p>
        </w:tc>
        <w:tc>
          <w:tcPr>
            <w:tcW w:w="1361" w:type="dxa"/>
            <w:vAlign w:val="center"/>
          </w:tcPr>
          <w:p>
            <w:pPr>
              <w:pStyle w:val="13"/>
            </w:pPr>
            <w:r>
              <w:t>193.34</w:t>
            </w:r>
          </w:p>
        </w:tc>
        <w:tc>
          <w:tcPr>
            <w:tcW w:w="1361" w:type="dxa"/>
            <w:vAlign w:val="center"/>
          </w:tcPr>
          <w:p>
            <w:pPr>
              <w:pStyle w:val="13"/>
            </w:pPr>
            <w:r>
              <w:t>749.55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942.89</w:t>
            </w:r>
          </w:p>
        </w:tc>
        <w:tc>
          <w:tcPr>
            <w:tcW w:w="1361" w:type="dxa"/>
            <w:vAlign w:val="center"/>
          </w:tcPr>
          <w:p>
            <w:pPr>
              <w:pStyle w:val="13"/>
            </w:pPr>
            <w:r>
              <w:t>193.34</w:t>
            </w:r>
          </w:p>
        </w:tc>
        <w:tc>
          <w:tcPr>
            <w:tcW w:w="1361" w:type="dxa"/>
            <w:vAlign w:val="center"/>
          </w:tcPr>
          <w:p>
            <w:pPr>
              <w:pStyle w:val="13"/>
            </w:pPr>
            <w:r>
              <w:t>749.55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2011301</w:t>
            </w:r>
          </w:p>
        </w:tc>
        <w:tc>
          <w:tcPr>
            <w:tcW w:w="4535" w:type="dxa"/>
            <w:vAlign w:val="center"/>
          </w:tcPr>
          <w:p>
            <w:pPr>
              <w:pStyle w:val="14"/>
            </w:pPr>
            <w:r>
              <w:t>行政运行</w:t>
            </w:r>
          </w:p>
        </w:tc>
        <w:tc>
          <w:tcPr>
            <w:tcW w:w="1361" w:type="dxa"/>
            <w:vAlign w:val="center"/>
          </w:tcPr>
          <w:p>
            <w:pPr>
              <w:pStyle w:val="13"/>
            </w:pPr>
            <w:r>
              <w:t>146.07</w:t>
            </w:r>
          </w:p>
        </w:tc>
        <w:tc>
          <w:tcPr>
            <w:tcW w:w="1361" w:type="dxa"/>
            <w:vAlign w:val="center"/>
          </w:tcPr>
          <w:p>
            <w:pPr>
              <w:pStyle w:val="13"/>
            </w:pPr>
            <w:r>
              <w:t>141.52</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2011306</w:t>
            </w:r>
          </w:p>
        </w:tc>
        <w:tc>
          <w:tcPr>
            <w:tcW w:w="4535" w:type="dxa"/>
            <w:vAlign w:val="center"/>
          </w:tcPr>
          <w:p>
            <w:pPr>
              <w:pStyle w:val="14"/>
            </w:pPr>
            <w:r>
              <w:t>外资管理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2011307</w:t>
            </w:r>
          </w:p>
        </w:tc>
        <w:tc>
          <w:tcPr>
            <w:tcW w:w="4535" w:type="dxa"/>
            <w:vAlign w:val="center"/>
          </w:tcPr>
          <w:p>
            <w:pPr>
              <w:pStyle w:val="14"/>
            </w:pPr>
            <w:r>
              <w:t>国内贸易管理</w:t>
            </w:r>
          </w:p>
        </w:tc>
        <w:tc>
          <w:tcPr>
            <w:tcW w:w="1361" w:type="dxa"/>
            <w:vAlign w:val="center"/>
          </w:tcPr>
          <w:p>
            <w:pPr>
              <w:pStyle w:val="13"/>
            </w:pPr>
            <w:r>
              <w:t>168.00</w:t>
            </w:r>
          </w:p>
        </w:tc>
        <w:tc>
          <w:tcPr>
            <w:tcW w:w="1361" w:type="dxa"/>
            <w:vAlign w:val="center"/>
          </w:tcPr>
          <w:p>
            <w:pPr>
              <w:pStyle w:val="13"/>
            </w:pPr>
          </w:p>
        </w:tc>
        <w:tc>
          <w:tcPr>
            <w:tcW w:w="1361" w:type="dxa"/>
            <w:vAlign w:val="center"/>
          </w:tcPr>
          <w:p>
            <w:pPr>
              <w:pStyle w:val="13"/>
            </w:pPr>
            <w:r>
              <w:t>168.00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559.82</w:t>
            </w:r>
          </w:p>
        </w:tc>
        <w:tc>
          <w:tcPr>
            <w:tcW w:w="1361" w:type="dxa"/>
            <w:vAlign w:val="center"/>
          </w:tcPr>
          <w:p>
            <w:pPr>
              <w:pStyle w:val="13"/>
            </w:pPr>
            <w:r>
              <w:t>51.82</w:t>
            </w:r>
          </w:p>
        </w:tc>
        <w:tc>
          <w:tcPr>
            <w:tcW w:w="1361" w:type="dxa"/>
            <w:vAlign w:val="center"/>
          </w:tcPr>
          <w:p>
            <w:pPr>
              <w:pStyle w:val="13"/>
            </w:pPr>
            <w:r>
              <w:t>508.00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2011399</w:t>
            </w:r>
          </w:p>
        </w:tc>
        <w:tc>
          <w:tcPr>
            <w:tcW w:w="4535" w:type="dxa"/>
            <w:vAlign w:val="center"/>
          </w:tcPr>
          <w:p>
            <w:pPr>
              <w:pStyle w:val="14"/>
            </w:pPr>
            <w:r>
              <w:t>其他商贸事务支出</w:t>
            </w: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17.41</w:t>
            </w:r>
          </w:p>
        </w:tc>
        <w:tc>
          <w:tcPr>
            <w:tcW w:w="1361" w:type="dxa"/>
            <w:vAlign w:val="center"/>
          </w:tcPr>
          <w:p>
            <w:pPr>
              <w:pStyle w:val="13"/>
            </w:pPr>
            <w:r>
              <w:t>17.41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17.41</w:t>
            </w:r>
          </w:p>
        </w:tc>
        <w:tc>
          <w:tcPr>
            <w:tcW w:w="1361" w:type="dxa"/>
            <w:vAlign w:val="center"/>
          </w:tcPr>
          <w:p>
            <w:pPr>
              <w:pStyle w:val="13"/>
            </w:pPr>
            <w:r>
              <w:t>17.41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17.41</w:t>
            </w:r>
          </w:p>
        </w:tc>
        <w:tc>
          <w:tcPr>
            <w:tcW w:w="1361" w:type="dxa"/>
            <w:vAlign w:val="center"/>
          </w:tcPr>
          <w:p>
            <w:pPr>
              <w:pStyle w:val="13"/>
            </w:pPr>
            <w:r>
              <w:t>17.41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10.49</w:t>
            </w:r>
          </w:p>
        </w:tc>
        <w:tc>
          <w:tcPr>
            <w:tcW w:w="1361" w:type="dxa"/>
            <w:vAlign w:val="center"/>
          </w:tcPr>
          <w:p>
            <w:pPr>
              <w:pStyle w:val="13"/>
            </w:pPr>
            <w:r>
              <w:t>10.49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10.49</w:t>
            </w:r>
          </w:p>
        </w:tc>
        <w:tc>
          <w:tcPr>
            <w:tcW w:w="1361" w:type="dxa"/>
            <w:vAlign w:val="center"/>
          </w:tcPr>
          <w:p>
            <w:pPr>
              <w:pStyle w:val="13"/>
            </w:pPr>
            <w:r>
              <w:t>10.49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2.82</w:t>
            </w:r>
          </w:p>
        </w:tc>
        <w:tc>
          <w:tcPr>
            <w:tcW w:w="1361" w:type="dxa"/>
            <w:vAlign w:val="center"/>
          </w:tcPr>
          <w:p>
            <w:pPr>
              <w:pStyle w:val="13"/>
            </w:pPr>
            <w:r>
              <w:t>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1461.97</w:t>
            </w:r>
          </w:p>
        </w:tc>
        <w:tc>
          <w:tcPr>
            <w:tcW w:w="1361" w:type="dxa"/>
            <w:vAlign w:val="center"/>
          </w:tcPr>
          <w:p>
            <w:pPr>
              <w:pStyle w:val="13"/>
            </w:pPr>
          </w:p>
        </w:tc>
        <w:tc>
          <w:tcPr>
            <w:tcW w:w="1361" w:type="dxa"/>
            <w:vAlign w:val="center"/>
          </w:tcPr>
          <w:p>
            <w:pPr>
              <w:pStyle w:val="13"/>
            </w:pPr>
            <w:r>
              <w:t>1461.97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2160299</w:t>
            </w:r>
          </w:p>
        </w:tc>
        <w:tc>
          <w:tcPr>
            <w:tcW w:w="4535" w:type="dxa"/>
            <w:vAlign w:val="center"/>
          </w:tcPr>
          <w:p>
            <w:pPr>
              <w:pStyle w:val="14"/>
            </w:pPr>
            <w:r>
              <w:t>其他商业流通事务支出</w:t>
            </w: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21606</w:t>
            </w:r>
          </w:p>
        </w:tc>
        <w:tc>
          <w:tcPr>
            <w:tcW w:w="4535" w:type="dxa"/>
            <w:vAlign w:val="center"/>
          </w:tcPr>
          <w:p>
            <w:pPr>
              <w:pStyle w:val="14"/>
            </w:pPr>
            <w:r>
              <w:t>涉外发展服务支出</w:t>
            </w: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2160699</w:t>
            </w:r>
          </w:p>
        </w:tc>
        <w:tc>
          <w:tcPr>
            <w:tcW w:w="4535" w:type="dxa"/>
            <w:vAlign w:val="center"/>
          </w:tcPr>
          <w:p>
            <w:pPr>
              <w:pStyle w:val="14"/>
            </w:pPr>
            <w:r>
              <w:t>其他涉外发展服务支出</w:t>
            </w: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14.80</w:t>
            </w:r>
          </w:p>
        </w:tc>
        <w:tc>
          <w:tcPr>
            <w:tcW w:w="1361" w:type="dxa"/>
            <w:vAlign w:val="center"/>
          </w:tcPr>
          <w:p>
            <w:pPr>
              <w:pStyle w:val="13"/>
            </w:pPr>
            <w:r>
              <w:t>14.80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14.80</w:t>
            </w:r>
          </w:p>
        </w:tc>
        <w:tc>
          <w:tcPr>
            <w:tcW w:w="1361" w:type="dxa"/>
            <w:vAlign w:val="center"/>
          </w:tcPr>
          <w:p>
            <w:pPr>
              <w:pStyle w:val="13"/>
            </w:pPr>
            <w:r>
              <w:t>14.80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14.80</w:t>
            </w:r>
          </w:p>
        </w:tc>
        <w:tc>
          <w:tcPr>
            <w:tcW w:w="1361" w:type="dxa"/>
            <w:vAlign w:val="center"/>
          </w:tcPr>
          <w:p>
            <w:pPr>
              <w:pStyle w:val="13"/>
            </w:pPr>
            <w:r>
              <w:t>14.80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1985.60</w:t>
            </w:r>
          </w:p>
        </w:tc>
        <w:tc>
          <w:tcPr>
            <w:tcW w:w="3402" w:type="dxa"/>
            <w:vAlign w:val="center"/>
          </w:tcPr>
          <w:p>
            <w:pPr>
              <w:pStyle w:val="14"/>
            </w:pPr>
            <w:r>
              <w:t>一、一般公共服务支出</w:t>
            </w:r>
          </w:p>
        </w:tc>
        <w:tc>
          <w:tcPr>
            <w:tcW w:w="1474" w:type="dxa"/>
            <w:vAlign w:val="center"/>
          </w:tcPr>
          <w:p>
            <w:pPr>
              <w:pStyle w:val="13"/>
            </w:pPr>
            <w:r>
              <w:t>942.89</w:t>
            </w:r>
          </w:p>
        </w:tc>
        <w:tc>
          <w:tcPr>
            <w:tcW w:w="1474" w:type="dxa"/>
            <w:vAlign w:val="center"/>
          </w:tcPr>
          <w:p>
            <w:pPr>
              <w:pStyle w:val="13"/>
            </w:pPr>
            <w:r>
              <w:t>942.89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17.41</w:t>
            </w:r>
          </w:p>
        </w:tc>
        <w:tc>
          <w:tcPr>
            <w:tcW w:w="1474" w:type="dxa"/>
            <w:vAlign w:val="center"/>
          </w:tcPr>
          <w:p>
            <w:pPr>
              <w:pStyle w:val="13"/>
            </w:pPr>
            <w:r>
              <w:t>17.41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10.49</w:t>
            </w:r>
          </w:p>
        </w:tc>
        <w:tc>
          <w:tcPr>
            <w:tcW w:w="1474" w:type="dxa"/>
            <w:vAlign w:val="center"/>
          </w:tcPr>
          <w:p>
            <w:pPr>
              <w:pStyle w:val="13"/>
            </w:pPr>
            <w:r>
              <w:t>10.49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1461.97</w:t>
            </w:r>
          </w:p>
        </w:tc>
        <w:tc>
          <w:tcPr>
            <w:tcW w:w="1474" w:type="dxa"/>
            <w:vAlign w:val="center"/>
          </w:tcPr>
          <w:p>
            <w:pPr>
              <w:pStyle w:val="13"/>
            </w:pPr>
            <w:r>
              <w:t>1461.97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14.80</w:t>
            </w:r>
          </w:p>
        </w:tc>
        <w:tc>
          <w:tcPr>
            <w:tcW w:w="1474" w:type="dxa"/>
            <w:vAlign w:val="center"/>
          </w:tcPr>
          <w:p>
            <w:pPr>
              <w:pStyle w:val="13"/>
            </w:pPr>
            <w:r>
              <w:t>14.80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1985.60</w:t>
            </w:r>
          </w:p>
        </w:tc>
        <w:tc>
          <w:tcPr>
            <w:tcW w:w="3402" w:type="dxa"/>
            <w:vAlign w:val="center"/>
          </w:tcPr>
          <w:p>
            <w:pPr>
              <w:pStyle w:val="16"/>
            </w:pPr>
            <w:r>
              <w:t>本年支出合计</w:t>
            </w:r>
          </w:p>
        </w:tc>
        <w:tc>
          <w:tcPr>
            <w:tcW w:w="1474" w:type="dxa"/>
            <w:vAlign w:val="center"/>
          </w:tcPr>
          <w:p>
            <w:pPr>
              <w:pStyle w:val="17"/>
            </w:pPr>
            <w:r>
              <w:t>2447.57</w:t>
            </w:r>
          </w:p>
        </w:tc>
        <w:tc>
          <w:tcPr>
            <w:tcW w:w="1474" w:type="dxa"/>
            <w:vAlign w:val="center"/>
          </w:tcPr>
          <w:p>
            <w:pPr>
              <w:pStyle w:val="17"/>
            </w:pPr>
            <w:r>
              <w:t>2447.57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461.97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461.97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2447.57</w:t>
            </w:r>
          </w:p>
        </w:tc>
        <w:tc>
          <w:tcPr>
            <w:tcW w:w="3402" w:type="dxa"/>
            <w:vAlign w:val="center"/>
          </w:tcPr>
          <w:p>
            <w:pPr>
              <w:pStyle w:val="16"/>
            </w:pPr>
            <w:r>
              <w:t>支出总计</w:t>
            </w:r>
          </w:p>
        </w:tc>
        <w:tc>
          <w:tcPr>
            <w:tcW w:w="1474" w:type="dxa"/>
            <w:vAlign w:val="center"/>
          </w:tcPr>
          <w:p>
            <w:pPr>
              <w:pStyle w:val="17"/>
            </w:pPr>
            <w:r>
              <w:t>2447.57</w:t>
            </w:r>
          </w:p>
        </w:tc>
        <w:tc>
          <w:tcPr>
            <w:tcW w:w="1474" w:type="dxa"/>
            <w:vAlign w:val="center"/>
          </w:tcPr>
          <w:p>
            <w:pPr>
              <w:pStyle w:val="17"/>
            </w:pPr>
            <w:r>
              <w:t>2447.57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2447.57</w:t>
            </w:r>
          </w:p>
        </w:tc>
        <w:tc>
          <w:tcPr>
            <w:tcW w:w="2551" w:type="dxa"/>
            <w:vAlign w:val="center"/>
          </w:tcPr>
          <w:p>
            <w:pPr>
              <w:pStyle w:val="17"/>
            </w:pPr>
            <w:r>
              <w:t>236.05</w:t>
            </w:r>
          </w:p>
        </w:tc>
        <w:tc>
          <w:tcPr>
            <w:tcW w:w="2551" w:type="dxa"/>
            <w:vAlign w:val="center"/>
          </w:tcPr>
          <w:p>
            <w:pPr>
              <w:pStyle w:val="17"/>
            </w:pPr>
            <w:r>
              <w:t>2211.52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942.89</w:t>
            </w:r>
          </w:p>
        </w:tc>
        <w:tc>
          <w:tcPr>
            <w:tcW w:w="2551" w:type="dxa"/>
            <w:vAlign w:val="center"/>
          </w:tcPr>
          <w:p>
            <w:pPr>
              <w:pStyle w:val="13"/>
            </w:pPr>
            <w:r>
              <w:t>193.34</w:t>
            </w:r>
          </w:p>
        </w:tc>
        <w:tc>
          <w:tcPr>
            <w:tcW w:w="2551" w:type="dxa"/>
            <w:vAlign w:val="center"/>
          </w:tcPr>
          <w:p>
            <w:pPr>
              <w:pStyle w:val="13"/>
            </w:pPr>
            <w:r>
              <w:t>749.55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942.89</w:t>
            </w:r>
          </w:p>
        </w:tc>
        <w:tc>
          <w:tcPr>
            <w:tcW w:w="2551" w:type="dxa"/>
            <w:vAlign w:val="center"/>
          </w:tcPr>
          <w:p>
            <w:pPr>
              <w:pStyle w:val="13"/>
            </w:pPr>
            <w:r>
              <w:t>193.34</w:t>
            </w:r>
          </w:p>
        </w:tc>
        <w:tc>
          <w:tcPr>
            <w:tcW w:w="2551" w:type="dxa"/>
            <w:vAlign w:val="center"/>
          </w:tcPr>
          <w:p>
            <w:pPr>
              <w:pStyle w:val="13"/>
            </w:pPr>
            <w:r>
              <w:t>749.55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2011301</w:t>
            </w:r>
          </w:p>
        </w:tc>
        <w:tc>
          <w:tcPr>
            <w:tcW w:w="4535" w:type="dxa"/>
            <w:vAlign w:val="center"/>
          </w:tcPr>
          <w:p>
            <w:pPr>
              <w:pStyle w:val="14"/>
            </w:pPr>
            <w:r>
              <w:t>行政运行</w:t>
            </w:r>
          </w:p>
        </w:tc>
        <w:tc>
          <w:tcPr>
            <w:tcW w:w="2551" w:type="dxa"/>
            <w:vAlign w:val="center"/>
          </w:tcPr>
          <w:p>
            <w:pPr>
              <w:pStyle w:val="13"/>
            </w:pPr>
            <w:r>
              <w:t>146.07</w:t>
            </w:r>
          </w:p>
        </w:tc>
        <w:tc>
          <w:tcPr>
            <w:tcW w:w="2551" w:type="dxa"/>
            <w:vAlign w:val="center"/>
          </w:tcPr>
          <w:p>
            <w:pPr>
              <w:pStyle w:val="13"/>
            </w:pPr>
            <w:r>
              <w:t>141.52</w:t>
            </w:r>
          </w:p>
        </w:tc>
        <w:tc>
          <w:tcPr>
            <w:tcW w:w="2551"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2011306</w:t>
            </w:r>
          </w:p>
        </w:tc>
        <w:tc>
          <w:tcPr>
            <w:tcW w:w="4535" w:type="dxa"/>
            <w:vAlign w:val="center"/>
          </w:tcPr>
          <w:p>
            <w:pPr>
              <w:pStyle w:val="14"/>
            </w:pPr>
            <w:r>
              <w:t>外资管理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2011307</w:t>
            </w:r>
          </w:p>
        </w:tc>
        <w:tc>
          <w:tcPr>
            <w:tcW w:w="4535" w:type="dxa"/>
            <w:vAlign w:val="center"/>
          </w:tcPr>
          <w:p>
            <w:pPr>
              <w:pStyle w:val="14"/>
            </w:pPr>
            <w:r>
              <w:t>国内贸易管理</w:t>
            </w:r>
          </w:p>
        </w:tc>
        <w:tc>
          <w:tcPr>
            <w:tcW w:w="2551" w:type="dxa"/>
            <w:vAlign w:val="center"/>
          </w:tcPr>
          <w:p>
            <w:pPr>
              <w:pStyle w:val="13"/>
            </w:pPr>
            <w:r>
              <w:t>168.00</w:t>
            </w:r>
          </w:p>
        </w:tc>
        <w:tc>
          <w:tcPr>
            <w:tcW w:w="2551" w:type="dxa"/>
            <w:vAlign w:val="center"/>
          </w:tcPr>
          <w:p>
            <w:pPr>
              <w:pStyle w:val="13"/>
            </w:pPr>
          </w:p>
        </w:tc>
        <w:tc>
          <w:tcPr>
            <w:tcW w:w="2551" w:type="dxa"/>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559.82</w:t>
            </w:r>
          </w:p>
        </w:tc>
        <w:tc>
          <w:tcPr>
            <w:tcW w:w="2551" w:type="dxa"/>
            <w:vAlign w:val="center"/>
          </w:tcPr>
          <w:p>
            <w:pPr>
              <w:pStyle w:val="13"/>
            </w:pPr>
            <w:r>
              <w:t>51.82</w:t>
            </w:r>
          </w:p>
        </w:tc>
        <w:tc>
          <w:tcPr>
            <w:tcW w:w="2551" w:type="dxa"/>
            <w:vAlign w:val="center"/>
          </w:tcPr>
          <w:p>
            <w:pPr>
              <w:pStyle w:val="13"/>
            </w:pPr>
            <w:r>
              <w:t>508.00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2011399</w:t>
            </w:r>
          </w:p>
        </w:tc>
        <w:tc>
          <w:tcPr>
            <w:tcW w:w="4535" w:type="dxa"/>
            <w:vAlign w:val="center"/>
          </w:tcPr>
          <w:p>
            <w:pPr>
              <w:pStyle w:val="14"/>
            </w:pPr>
            <w:r>
              <w:t>其他商贸事务支出</w:t>
            </w:r>
          </w:p>
        </w:tc>
        <w:tc>
          <w:tcPr>
            <w:tcW w:w="2551" w:type="dxa"/>
            <w:vAlign w:val="center"/>
          </w:tcPr>
          <w:p>
            <w:pPr>
              <w:pStyle w:val="13"/>
            </w:pPr>
            <w:r>
              <w:t>64.00</w:t>
            </w:r>
          </w:p>
        </w:tc>
        <w:tc>
          <w:tcPr>
            <w:tcW w:w="2551" w:type="dxa"/>
            <w:vAlign w:val="center"/>
          </w:tcPr>
          <w:p>
            <w:pPr>
              <w:pStyle w:val="13"/>
            </w:pPr>
          </w:p>
        </w:tc>
        <w:tc>
          <w:tcPr>
            <w:tcW w:w="2551" w:type="dxa"/>
            <w:vAlign w:val="center"/>
          </w:tcPr>
          <w:p>
            <w:pPr>
              <w:pStyle w:val="13"/>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17.41</w:t>
            </w:r>
          </w:p>
        </w:tc>
        <w:tc>
          <w:tcPr>
            <w:tcW w:w="2551" w:type="dxa"/>
            <w:vAlign w:val="center"/>
          </w:tcPr>
          <w:p>
            <w:pPr>
              <w:pStyle w:val="13"/>
            </w:pPr>
            <w:r>
              <w:t>17.41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17.41</w:t>
            </w:r>
          </w:p>
        </w:tc>
        <w:tc>
          <w:tcPr>
            <w:tcW w:w="2551" w:type="dxa"/>
            <w:vAlign w:val="center"/>
          </w:tcPr>
          <w:p>
            <w:pPr>
              <w:pStyle w:val="13"/>
            </w:pPr>
            <w:r>
              <w:t>17.41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17.41</w:t>
            </w:r>
          </w:p>
        </w:tc>
        <w:tc>
          <w:tcPr>
            <w:tcW w:w="2551" w:type="dxa"/>
            <w:vAlign w:val="center"/>
          </w:tcPr>
          <w:p>
            <w:pPr>
              <w:pStyle w:val="13"/>
            </w:pPr>
            <w:r>
              <w:t>17.41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10.49</w:t>
            </w:r>
          </w:p>
        </w:tc>
        <w:tc>
          <w:tcPr>
            <w:tcW w:w="2551" w:type="dxa"/>
            <w:vAlign w:val="center"/>
          </w:tcPr>
          <w:p>
            <w:pPr>
              <w:pStyle w:val="13"/>
            </w:pPr>
            <w:r>
              <w:t>10.49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10.49</w:t>
            </w:r>
          </w:p>
        </w:tc>
        <w:tc>
          <w:tcPr>
            <w:tcW w:w="2551" w:type="dxa"/>
            <w:vAlign w:val="center"/>
          </w:tcPr>
          <w:p>
            <w:pPr>
              <w:pStyle w:val="13"/>
            </w:pPr>
            <w:r>
              <w:t>10.49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2.82</w:t>
            </w:r>
          </w:p>
        </w:tc>
        <w:tc>
          <w:tcPr>
            <w:tcW w:w="2551" w:type="dxa"/>
            <w:vAlign w:val="center"/>
          </w:tcPr>
          <w:p>
            <w:pPr>
              <w:pStyle w:val="13"/>
            </w:pPr>
            <w:r>
              <w:t>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1461.97</w:t>
            </w:r>
          </w:p>
        </w:tc>
        <w:tc>
          <w:tcPr>
            <w:tcW w:w="2551" w:type="dxa"/>
            <w:vAlign w:val="center"/>
          </w:tcPr>
          <w:p>
            <w:pPr>
              <w:pStyle w:val="13"/>
            </w:pPr>
          </w:p>
        </w:tc>
        <w:tc>
          <w:tcPr>
            <w:tcW w:w="2551" w:type="dxa"/>
            <w:vAlign w:val="center"/>
          </w:tcPr>
          <w:p>
            <w:pPr>
              <w:pStyle w:val="13"/>
            </w:pPr>
            <w:r>
              <w:t>1461.97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400.00</w:t>
            </w:r>
          </w:p>
        </w:tc>
        <w:tc>
          <w:tcPr>
            <w:tcW w:w="2551" w:type="dxa"/>
            <w:vAlign w:val="center"/>
          </w:tcPr>
          <w:p>
            <w:pPr>
              <w:pStyle w:val="13"/>
            </w:pPr>
          </w:p>
        </w:tc>
        <w:tc>
          <w:tcPr>
            <w:tcW w:w="2551"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2160299</w:t>
            </w:r>
          </w:p>
        </w:tc>
        <w:tc>
          <w:tcPr>
            <w:tcW w:w="4535" w:type="dxa"/>
            <w:vAlign w:val="center"/>
          </w:tcPr>
          <w:p>
            <w:pPr>
              <w:pStyle w:val="14"/>
            </w:pPr>
            <w:r>
              <w:t>其他商业流通事务支出</w:t>
            </w:r>
          </w:p>
        </w:tc>
        <w:tc>
          <w:tcPr>
            <w:tcW w:w="2551" w:type="dxa"/>
            <w:vAlign w:val="center"/>
          </w:tcPr>
          <w:p>
            <w:pPr>
              <w:pStyle w:val="13"/>
            </w:pPr>
            <w:r>
              <w:t>400.00</w:t>
            </w:r>
          </w:p>
        </w:tc>
        <w:tc>
          <w:tcPr>
            <w:tcW w:w="2551" w:type="dxa"/>
            <w:vAlign w:val="center"/>
          </w:tcPr>
          <w:p>
            <w:pPr>
              <w:pStyle w:val="13"/>
            </w:pPr>
          </w:p>
        </w:tc>
        <w:tc>
          <w:tcPr>
            <w:tcW w:w="2551"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21606</w:t>
            </w:r>
          </w:p>
        </w:tc>
        <w:tc>
          <w:tcPr>
            <w:tcW w:w="4535" w:type="dxa"/>
            <w:vAlign w:val="center"/>
          </w:tcPr>
          <w:p>
            <w:pPr>
              <w:pStyle w:val="14"/>
            </w:pPr>
            <w:r>
              <w:t>涉外发展服务支出</w:t>
            </w:r>
          </w:p>
        </w:tc>
        <w:tc>
          <w:tcPr>
            <w:tcW w:w="2551" w:type="dxa"/>
            <w:vAlign w:val="center"/>
          </w:tcPr>
          <w:p>
            <w:pPr>
              <w:pStyle w:val="13"/>
            </w:pPr>
            <w:r>
              <w:t>1061.97</w:t>
            </w:r>
          </w:p>
        </w:tc>
        <w:tc>
          <w:tcPr>
            <w:tcW w:w="2551" w:type="dxa"/>
            <w:vAlign w:val="center"/>
          </w:tcPr>
          <w:p>
            <w:pPr>
              <w:pStyle w:val="13"/>
            </w:pPr>
          </w:p>
        </w:tc>
        <w:tc>
          <w:tcPr>
            <w:tcW w:w="2551" w:type="dxa"/>
            <w:vAlign w:val="center"/>
          </w:tcPr>
          <w:p>
            <w:pPr>
              <w:pStyle w:val="13"/>
            </w:pPr>
            <w:r>
              <w:t>1061.97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2160699</w:t>
            </w:r>
          </w:p>
        </w:tc>
        <w:tc>
          <w:tcPr>
            <w:tcW w:w="4535" w:type="dxa"/>
            <w:vAlign w:val="center"/>
          </w:tcPr>
          <w:p>
            <w:pPr>
              <w:pStyle w:val="14"/>
            </w:pPr>
            <w:r>
              <w:t>其他涉外发展服务支出</w:t>
            </w:r>
          </w:p>
        </w:tc>
        <w:tc>
          <w:tcPr>
            <w:tcW w:w="2551" w:type="dxa"/>
            <w:vAlign w:val="center"/>
          </w:tcPr>
          <w:p>
            <w:pPr>
              <w:pStyle w:val="13"/>
            </w:pPr>
            <w:r>
              <w:t>1061.97</w:t>
            </w:r>
          </w:p>
        </w:tc>
        <w:tc>
          <w:tcPr>
            <w:tcW w:w="2551" w:type="dxa"/>
            <w:vAlign w:val="center"/>
          </w:tcPr>
          <w:p>
            <w:pPr>
              <w:pStyle w:val="13"/>
            </w:pPr>
          </w:p>
        </w:tc>
        <w:tc>
          <w:tcPr>
            <w:tcW w:w="2551" w:type="dxa"/>
            <w:vAlign w:val="center"/>
          </w:tcPr>
          <w:p>
            <w:pPr>
              <w:pStyle w:val="13"/>
            </w:pPr>
            <w:r>
              <w:t>1061.97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14.80</w:t>
            </w:r>
          </w:p>
        </w:tc>
        <w:tc>
          <w:tcPr>
            <w:tcW w:w="2551" w:type="dxa"/>
            <w:vAlign w:val="center"/>
          </w:tcPr>
          <w:p>
            <w:pPr>
              <w:pStyle w:val="13"/>
            </w:pPr>
            <w:r>
              <w:t>14.80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14.80</w:t>
            </w:r>
          </w:p>
        </w:tc>
        <w:tc>
          <w:tcPr>
            <w:tcW w:w="2551" w:type="dxa"/>
            <w:vAlign w:val="center"/>
          </w:tcPr>
          <w:p>
            <w:pPr>
              <w:pStyle w:val="13"/>
            </w:pPr>
            <w:r>
              <w:t>14.80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14.80</w:t>
            </w:r>
          </w:p>
        </w:tc>
        <w:tc>
          <w:tcPr>
            <w:tcW w:w="2551" w:type="dxa"/>
            <w:vAlign w:val="center"/>
          </w:tcPr>
          <w:p>
            <w:pPr>
              <w:pStyle w:val="13"/>
            </w:pPr>
            <w:r>
              <w:t>14.80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236.05</w:t>
            </w:r>
          </w:p>
        </w:tc>
        <w:tc>
          <w:tcPr>
            <w:tcW w:w="2551" w:type="dxa"/>
            <w:vAlign w:val="center"/>
          </w:tcPr>
          <w:p>
            <w:pPr>
              <w:pStyle w:val="17"/>
            </w:pPr>
            <w:r>
              <w:t>213.61</w:t>
            </w:r>
          </w:p>
        </w:tc>
        <w:tc>
          <w:tcPr>
            <w:tcW w:w="2551" w:type="dxa"/>
            <w:vAlign w:val="center"/>
          </w:tcPr>
          <w:p>
            <w:pPr>
              <w:pStyle w:val="17"/>
            </w:pPr>
            <w:r>
              <w:t>22.44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205.80</w:t>
            </w:r>
          </w:p>
        </w:tc>
        <w:tc>
          <w:tcPr>
            <w:tcW w:w="2551" w:type="dxa"/>
            <w:vAlign w:val="center"/>
          </w:tcPr>
          <w:p>
            <w:pPr>
              <w:pStyle w:val="13"/>
            </w:pPr>
            <w:r>
              <w:t>205.80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76.56</w:t>
            </w:r>
          </w:p>
        </w:tc>
        <w:tc>
          <w:tcPr>
            <w:tcW w:w="2551" w:type="dxa"/>
            <w:vAlign w:val="center"/>
          </w:tcPr>
          <w:p>
            <w:pPr>
              <w:pStyle w:val="13"/>
            </w:pPr>
            <w:r>
              <w:t>76.56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68.32</w:t>
            </w:r>
          </w:p>
        </w:tc>
        <w:tc>
          <w:tcPr>
            <w:tcW w:w="2551" w:type="dxa"/>
            <w:vAlign w:val="center"/>
          </w:tcPr>
          <w:p>
            <w:pPr>
              <w:pStyle w:val="13"/>
            </w:pPr>
            <w:r>
              <w:t>68.32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6.13</w:t>
            </w:r>
          </w:p>
        </w:tc>
        <w:tc>
          <w:tcPr>
            <w:tcW w:w="2551" w:type="dxa"/>
            <w:vAlign w:val="center"/>
          </w:tcPr>
          <w:p>
            <w:pPr>
              <w:pStyle w:val="13"/>
            </w:pPr>
            <w:r>
              <w:t>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11.61</w:t>
            </w:r>
          </w:p>
        </w:tc>
        <w:tc>
          <w:tcPr>
            <w:tcW w:w="2551" w:type="dxa"/>
            <w:vAlign w:val="center"/>
          </w:tcPr>
          <w:p>
            <w:pPr>
              <w:pStyle w:val="13"/>
            </w:pPr>
            <w:r>
              <w:t>11.61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17.41</w:t>
            </w:r>
          </w:p>
        </w:tc>
        <w:tc>
          <w:tcPr>
            <w:tcW w:w="2551" w:type="dxa"/>
            <w:vAlign w:val="center"/>
          </w:tcPr>
          <w:p>
            <w:pPr>
              <w:pStyle w:val="13"/>
            </w:pPr>
            <w:r>
              <w:t>17.41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10.49</w:t>
            </w:r>
          </w:p>
        </w:tc>
        <w:tc>
          <w:tcPr>
            <w:tcW w:w="2551" w:type="dxa"/>
            <w:vAlign w:val="center"/>
          </w:tcPr>
          <w:p>
            <w:pPr>
              <w:pStyle w:val="13"/>
            </w:pPr>
            <w:r>
              <w:t>10.49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0.47</w:t>
            </w:r>
          </w:p>
        </w:tc>
        <w:tc>
          <w:tcPr>
            <w:tcW w:w="2551" w:type="dxa"/>
            <w:vAlign w:val="center"/>
          </w:tcPr>
          <w:p>
            <w:pPr>
              <w:pStyle w:val="13"/>
            </w:pPr>
            <w:r>
              <w:t>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14.80</w:t>
            </w:r>
          </w:p>
        </w:tc>
        <w:tc>
          <w:tcPr>
            <w:tcW w:w="2551" w:type="dxa"/>
            <w:vAlign w:val="center"/>
          </w:tcPr>
          <w:p>
            <w:pPr>
              <w:pStyle w:val="13"/>
            </w:pPr>
            <w:r>
              <w:t>14.80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22.44</w:t>
            </w:r>
          </w:p>
        </w:tc>
        <w:tc>
          <w:tcPr>
            <w:tcW w:w="2551" w:type="dxa"/>
            <w:vAlign w:val="center"/>
          </w:tcPr>
          <w:p>
            <w:pPr>
              <w:pStyle w:val="13"/>
            </w:pPr>
          </w:p>
        </w:tc>
        <w:tc>
          <w:tcPr>
            <w:tcW w:w="2551" w:type="dxa"/>
            <w:vAlign w:val="center"/>
          </w:tcPr>
          <w:p>
            <w:pPr>
              <w:pStyle w:val="13"/>
            </w:pPr>
            <w:r>
              <w:t>22.44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3.03</w:t>
            </w:r>
          </w:p>
        </w:tc>
        <w:tc>
          <w:tcPr>
            <w:tcW w:w="2551" w:type="dxa"/>
            <w:vAlign w:val="center"/>
          </w:tcPr>
          <w:p>
            <w:pPr>
              <w:pStyle w:val="13"/>
            </w:pPr>
          </w:p>
        </w:tc>
        <w:tc>
          <w:tcPr>
            <w:tcW w:w="2551" w:type="dxa"/>
            <w:vAlign w:val="center"/>
          </w:tcPr>
          <w:p>
            <w:pPr>
              <w:pStyle w:val="13"/>
            </w:pPr>
            <w:r>
              <w:t>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11.94</w:t>
            </w:r>
          </w:p>
        </w:tc>
        <w:tc>
          <w:tcPr>
            <w:tcW w:w="2551" w:type="dxa"/>
            <w:vAlign w:val="center"/>
          </w:tcPr>
          <w:p>
            <w:pPr>
              <w:pStyle w:val="13"/>
            </w:pPr>
          </w:p>
        </w:tc>
        <w:tc>
          <w:tcPr>
            <w:tcW w:w="2551" w:type="dxa"/>
            <w:vAlign w:val="center"/>
          </w:tcPr>
          <w:p>
            <w:pPr>
              <w:pStyle w:val="13"/>
            </w:pPr>
            <w:r>
              <w:t>11.94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0.42</w:t>
            </w:r>
          </w:p>
        </w:tc>
        <w:tc>
          <w:tcPr>
            <w:tcW w:w="2551" w:type="dxa"/>
            <w:vAlign w:val="center"/>
          </w:tcPr>
          <w:p>
            <w:pPr>
              <w:pStyle w:val="13"/>
            </w:pPr>
          </w:p>
        </w:tc>
        <w:tc>
          <w:tcPr>
            <w:tcW w:w="2551"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7.81</w:t>
            </w:r>
          </w:p>
        </w:tc>
        <w:tc>
          <w:tcPr>
            <w:tcW w:w="2551" w:type="dxa"/>
            <w:vAlign w:val="center"/>
          </w:tcPr>
          <w:p>
            <w:pPr>
              <w:pStyle w:val="13"/>
            </w:pPr>
            <w:r>
              <w:t>7.81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5.51</w:t>
            </w:r>
          </w:p>
        </w:tc>
        <w:tc>
          <w:tcPr>
            <w:tcW w:w="2551" w:type="dxa"/>
            <w:vAlign w:val="center"/>
          </w:tcPr>
          <w:p>
            <w:pPr>
              <w:pStyle w:val="13"/>
            </w:pPr>
            <w:r>
              <w:t>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30.50</w:t>
            </w:r>
          </w:p>
        </w:tc>
        <w:tc>
          <w:tcPr>
            <w:tcW w:w="2381" w:type="dxa"/>
            <w:vAlign w:val="center"/>
          </w:tcPr>
          <w:p>
            <w:pPr>
              <w:pStyle w:val="17"/>
              <w:rPr>
                <w:rFonts w:hint="default" w:eastAsia="方正书宋_GBK"/>
                <w:lang w:val="en-US" w:eastAsia="zh-CN"/>
              </w:rPr>
            </w:pPr>
            <w:r>
              <w:rPr>
                <w:rFonts w:hint="eastAsia"/>
                <w:lang w:val="en-US" w:eastAsia="zh-CN"/>
              </w:rPr>
              <w:t>30.50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30.50</w:t>
            </w:r>
          </w:p>
        </w:tc>
        <w:tc>
          <w:tcPr>
            <w:tcW w:w="2381" w:type="dxa"/>
            <w:vAlign w:val="center"/>
          </w:tcPr>
          <w:p>
            <w:pPr>
              <w:pStyle w:val="13"/>
              <w:rPr>
                <w:rFonts w:hint="default" w:eastAsia="方正书宋_GBK"/>
                <w:lang w:val="en-US" w:eastAsia="zh-CN"/>
              </w:rPr>
            </w:pPr>
            <w:r>
              <w:rPr>
                <w:rFonts w:hint="eastAsia"/>
                <w:lang w:val="en-US" w:eastAsia="zh-CN"/>
              </w:rPr>
              <w:t>30.50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30.50</w:t>
            </w:r>
          </w:p>
        </w:tc>
        <w:tc>
          <w:tcPr>
            <w:tcW w:w="2381" w:type="dxa"/>
            <w:vAlign w:val="center"/>
          </w:tcPr>
          <w:p>
            <w:pPr>
              <w:pStyle w:val="13"/>
            </w:pPr>
            <w:r>
              <w:t>30.50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隆尧县商务局2022年部门预算信息公开情况说明</w:t>
      </w:r>
    </w:p>
    <w:p>
      <w:pPr>
        <w:jc w:val="center"/>
      </w:pPr>
      <w:r>
        <w:rPr>
          <w:rFonts w:ascii="方正小标宋_GBK" w:hAnsi="方正小标宋_GBK" w:eastAsia="方正小标宋_GBK" w:cs="方正小标宋_GBK"/>
          <w:color w:val="000000"/>
          <w:sz w:val="44"/>
        </w:rPr>
        <w:t>隆尧县商务局2022年部门预算信息公开情况说明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按照《预算法》、《地方预决算公开操作规程》和《关于进一步推进预算公开工作的实施意见》规定，现将隆尧县商务局2022年部门预算公开如下：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pStyle w:val="19"/>
      </w:pPr>
      <w: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pStyle w:val="19"/>
      </w:pPr>
      <w: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pStyle w:val="19"/>
      </w:pPr>
      <w:r>
        <w:t>（四）牵头推进商务领域信用体系建设，建立商务诚信公共服务平台。规范商贸企业交易行为，牵头推动重要产品追溯体系建设；按有关规定对特殊流通行业进行监督管理。</w:t>
      </w:r>
    </w:p>
    <w:p>
      <w:pPr>
        <w:pStyle w:val="19"/>
      </w:pPr>
      <w: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pStyle w:val="19"/>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pStyle w:val="19"/>
      </w:pPr>
      <w: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pStyle w:val="19"/>
      </w:pPr>
      <w:r>
        <w:t>（八）会同有关部门贯彻执行国家和省、市促进服务出口和服务外包发展的规划、政策，牵头拟订全县服务贸易发展规划并组织实施。</w:t>
      </w:r>
    </w:p>
    <w:p>
      <w:pPr>
        <w:pStyle w:val="19"/>
      </w:pPr>
      <w: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pStyle w:val="19"/>
      </w:pPr>
      <w: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pStyle w:val="19"/>
      </w:pPr>
      <w: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19"/>
      </w:pPr>
      <w:r>
        <w:t>（十二）负责全县商务系统涉及世贸组织相关事务的研究、指导和服务工作，配合商务部、省商务厅、市商务局解决世贸组织框架下涉及我县的贸易争端，负责推进全县进出口贸易的标准化建设。</w:t>
      </w:r>
    </w:p>
    <w:p>
      <w:pPr>
        <w:pStyle w:val="19"/>
      </w:pPr>
      <w:r>
        <w:t>（十三）贯彻执行国家和省、市制定的对自由贸易区国家和地区的经贸规划、政策，并组织实施，管理联合国及其他国际组织或外国政府对我县经济技术合作方面的无偿援助及赠款等发展合作业务。</w:t>
      </w:r>
    </w:p>
    <w:p>
      <w:pPr>
        <w:pStyle w:val="19"/>
      </w:pPr>
      <w:r>
        <w:t>（十四）负责全县会展业促进与管理工作，指导、管理境内外对外经济技术展览会和赴境外非商业性办展活动。</w:t>
      </w:r>
    </w:p>
    <w:p>
      <w:pPr>
        <w:pStyle w:val="19"/>
      </w:pPr>
      <w:r>
        <w:t>（十五）监测分析全县商务运行情况，承担全县商务系统对外宣传和信息发布工作。</w:t>
      </w:r>
    </w:p>
    <w:p>
      <w:pPr>
        <w:pStyle w:val="19"/>
      </w:pPr>
      <w: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pStyle w:val="19"/>
      </w:pPr>
      <w:r>
        <w:t>（十七）完成县委、县政府交办的其他任务。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隆尧县商务局本级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隆尧县招商服务中心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部门预算的编制实行综合预算管理，即全部收入和支出都反映在预算中。隆尧县商务局机关及所属事业单位的收支包含在部门预算中。</w:t>
      </w:r>
    </w:p>
    <w:p>
      <w:pPr>
        <w:pStyle w:val="20"/>
      </w:pPr>
      <w:r>
        <w:t>1、收入说明</w:t>
      </w:r>
    </w:p>
    <w:p>
      <w:pPr>
        <w:pStyle w:val="20"/>
      </w:pPr>
      <w:r>
        <w:t>反映本部门当年全部收入。2022年预算收入2447.57267万元，其中：一般公共预算收入2447.57267万元，基金预算收入0万元，财政专户核拨收入0万元，其他来源收入0万元。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隆尧县商务局年度部门预算中支出预算的总体情况。2022年部门支出预算为2447.57267万元，其中基本支出236.0504万元，包括人员经费213.6104万元和日常公用经费22.44万元；项目支出2211.52227万元，主要为促消费稳增长专项150万元；上年结转/冀财建【2021】95号/中央/2021年中央服务业发展资金/电子商务示范县400万元；名校英才入冀房租补助专项1.2万元；外资外贸专项5万元；再生资源专项2万元；跨境电商专项60万元；外事专项2万元；冀财建【2021】192号/中央/2022年中央服务业发展资金/电子商务示范县1000万元；上年结转/邢财建【2021】106号/市级/2021年第三批省商贸流通发展专项资金5.99万元；上年结转/邢财建【2021】58号/市级/外贸发展专项资金40.98227万元；退役士兵公益岗位专项3.35万元；成品油市场监督监管专项10万元；上年结转/冀财建【2021】251号/省级/2021年第二批省外贸发展专项资金15万元；电子商务专项8万元；招商局招商经费10万元；委托招商服务经费218万元；驻点招商250万元；重大招商专项30万元。</w:t>
      </w:r>
    </w:p>
    <w:p>
      <w:pPr>
        <w:pStyle w:val="20"/>
      </w:pPr>
      <w:r>
        <w:t>3、比上年增减情况</w:t>
      </w:r>
    </w:p>
    <w:p>
      <w:pPr>
        <w:pStyle w:val="20"/>
      </w:pPr>
      <w:r>
        <w:t>2022年部门预算收支安排2447.57267万元，较2021年增加1293.970766万元，其中：基本支出增加73.1348万元，主要是人员增加，相应增加人员经费和日常公用经费；项目支出增加1220.835966万元，主要是项目支出增加，上级资金专项，促消费稳增长专项，跨境电商专项等。</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部门2022年机关运行经费总计22.44万元。其中办公费3.025万元；水费1万元；电费2.2万元；办公取暖费2.295万元；物业管理费1万元；公务交通补贴（其他交通费）11.94万元；职工福利费0.28万元；工会经费0.28万元；党组织活动经费0.42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rPr>
          <w:rFonts w:hint="eastAsia"/>
        </w:rPr>
        <w:t>202</w:t>
      </w:r>
      <w:r>
        <w:rPr>
          <w:rFonts w:hint="eastAsia"/>
          <w:lang w:val="en-US" w:eastAsia="zh-CN"/>
        </w:rPr>
        <w:t>2</w:t>
      </w:r>
      <w:r>
        <w:rPr>
          <w:rFonts w:hint="eastAsia"/>
        </w:rPr>
        <w:t>年，我部门财政拨款“三公”经费预算安排</w:t>
      </w:r>
      <w:r>
        <w:rPr>
          <w:rFonts w:hint="eastAsia"/>
          <w:lang w:val="en-US" w:eastAsia="zh-CN"/>
        </w:rPr>
        <w:t>30.5</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万元（其中：公务用车购置费为</w:t>
      </w:r>
      <w:r>
        <w:rPr>
          <w:rFonts w:hint="eastAsia"/>
          <w:lang w:val="en-US" w:eastAsia="zh-CN"/>
        </w:rPr>
        <w:t>0</w:t>
      </w:r>
      <w:r>
        <w:rPr>
          <w:rFonts w:hint="eastAsia"/>
        </w:rPr>
        <w:t>万元，公务用车运行维护费</w:t>
      </w:r>
      <w:r>
        <w:rPr>
          <w:rFonts w:hint="eastAsia"/>
          <w:lang w:val="en-US" w:eastAsia="zh-CN"/>
        </w:rPr>
        <w:t>0</w:t>
      </w:r>
      <w:r>
        <w:rPr>
          <w:rFonts w:hint="eastAsia"/>
        </w:rPr>
        <w:t>万元)；公务接待费</w:t>
      </w:r>
      <w:r>
        <w:rPr>
          <w:rFonts w:hint="eastAsia"/>
          <w:lang w:val="en-US" w:eastAsia="zh-CN"/>
        </w:rPr>
        <w:t>30.5</w:t>
      </w:r>
      <w:r>
        <w:rPr>
          <w:rFonts w:hint="eastAsia"/>
        </w:rPr>
        <w:t>万元。公务接待费与202</w:t>
      </w:r>
      <w:r>
        <w:rPr>
          <w:rFonts w:hint="eastAsia"/>
          <w:lang w:val="en-US" w:eastAsia="zh-CN"/>
        </w:rPr>
        <w:t>1</w:t>
      </w:r>
      <w:r>
        <w:rPr>
          <w:rFonts w:hint="eastAsia"/>
        </w:rPr>
        <w:t>年相比减少</w:t>
      </w:r>
      <w:r>
        <w:rPr>
          <w:rFonts w:hint="eastAsia"/>
          <w:lang w:val="en-US" w:eastAsia="zh-CN"/>
        </w:rPr>
        <w:t>9.8</w:t>
      </w:r>
      <w:r>
        <w:rPr>
          <w:rFonts w:hint="eastAsia"/>
        </w:rPr>
        <w:t>万元，减少的主要原因是：</w:t>
      </w:r>
      <w:r>
        <w:t>我单位本着厉行节约原则，在做好客商接待工作的同时，不搞铺张浪费，减少“三公”经费的支出。</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（一）抓管理，挖潜力，稳步促进经济提升。</w:t>
      </w:r>
    </w:p>
    <w:p>
      <w:pPr>
        <w:pStyle w:val="23"/>
      </w:pPr>
      <w:r>
        <w:t>1、加大对商贸企业培育力度，实现限上企业“应统尽统”，2022年新增限额以上企业4家以上；</w:t>
      </w:r>
    </w:p>
    <w:p>
      <w:pPr>
        <w:pStyle w:val="23"/>
      </w:pPr>
      <w:r>
        <w:t>2、加快推进电子商务进农村综合示范工作。抓紧落实承办企业，签订合作协议，按照省市要求，高标准完成电子商务进农村综合示范项目的各项工程，确保验收优秀；</w:t>
      </w:r>
    </w:p>
    <w:p>
      <w:pPr>
        <w:pStyle w:val="23"/>
      </w:pPr>
      <w:r>
        <w:t>3、全面挖掘“双进双产”工作潜力，加强园区和乡镇的考核力度，充分调动园区和乡镇工作积极性，发掘更多的电子商务和楼宇企业。</w:t>
      </w:r>
    </w:p>
    <w:p>
      <w:pPr>
        <w:pStyle w:val="23"/>
      </w:pPr>
      <w:r>
        <w:t>4、制定计划，在明年继续开展促消费工作，提升我县消费活力。</w:t>
      </w:r>
    </w:p>
    <w:p>
      <w:pPr>
        <w:pStyle w:val="23"/>
      </w:pPr>
      <w:r>
        <w:t>5、对县城内的各商超持续加力，查漏补缺，坚持高标准迎接上级部门在“三城同创”等多方面的验收。</w:t>
      </w:r>
    </w:p>
    <w:p>
      <w:pPr>
        <w:pStyle w:val="23"/>
      </w:pPr>
      <w:r>
        <w:t>6、继续加强打击黑加油站点工作，同时完成大气污染防治的相关工作。</w:t>
      </w:r>
    </w:p>
    <w:p>
      <w:pPr>
        <w:pStyle w:val="23"/>
      </w:pPr>
      <w:r>
        <w:t>（二）抓投入，优服务，全力优化贸易发展。</w:t>
      </w:r>
    </w:p>
    <w:p>
      <w:pPr>
        <w:pStyle w:val="23"/>
      </w:pPr>
      <w:r>
        <w:t>1、在实际利用外资方面。一是加大招商引资力度。督促各专业招商团组搜集线索，加大招引外资企业力度，力争增加利用外资后劲。二是利润盈余应统尽统。虽然数量少，但要做到尽挖尽统。三是对有招引任务的开发区、食品城等单位增加调度频次和力度。增强企业投资信心和积极性，想方设法完成任务。</w:t>
      </w:r>
    </w:p>
    <w:p>
      <w:pPr>
        <w:pStyle w:val="23"/>
      </w:pPr>
      <w:r>
        <w:t>2、在外贸进出口方面。一是开展对进出口企业入企走访服务，引导和帮助符合条件的企业特别是中小企业申报进出口经营资格，壮大外贸经营者队伍;积极培植一批出口创汇骨干企业，对有出口实绩、发展潜力大的企业进行重点扶持，努力培育一批主业突出、核心竞争力强的出口龙头企业，拉动全县外贸增长。动员外贸企业积极拓展国际市场，组织企业参加“一带一路”沿线国家举办的国际知名展会，进一步扩大开放“走出去”，为企业开拓市场搭建平台。二是进一步提高服务效率，积极争取并兑现进出口企业各级奖补、品牌及工业设计奖励、进口贴息、出口信用保险保费及保单融资贴息等政策，为外贸企业创造稳定的政策环境和宽松的发展环境。三是开展外贸企业培训，广泛宣传对外贸易政策，引导重点工业企业办理对外贸易经营者备案登记，开展对外贸易。</w:t>
      </w:r>
    </w:p>
    <w:p>
      <w:pPr>
        <w:pStyle w:val="23"/>
      </w:pPr>
      <w:r>
        <w:t>（三）抓实事，强机制，不断提升外事服务。</w:t>
      </w:r>
    </w:p>
    <w:p>
      <w:pPr>
        <w:pStyle w:val="23"/>
      </w:pPr>
      <w:r>
        <w:t>1、持续加强外事系统政治建设，抓好组织体系建设，加强外事队伍建设，构建统筹有力、协调有效、管理有序、纪律严明的外事工作新机制。</w:t>
      </w:r>
    </w:p>
    <w:p>
      <w:pPr>
        <w:pStyle w:val="23"/>
      </w:pPr>
      <w:r>
        <w:t>2、持续抓好疫情防控工作，强化涉外疫情防控专班作用，合力做好严防境外疫情输入，坚持执行境外返乡人员日报告制度，准确向市外办报送各类人员信息，利用信息共享制度，及时推送相关人员信息，转发省、市文件精神，做好疫情防控应对工作，落实“中外人士、一视同仁”的原则，严格落实单位、社区“二包一”防控措施，实行网格化管理。</w:t>
      </w:r>
    </w:p>
    <w:p>
      <w:pPr>
        <w:pStyle w:val="23"/>
      </w:pPr>
      <w:r>
        <w:t>3、继续扩大外贸规模。优化营商环境，强化外资企业联系服务，开展有针对性的对接活动，引导今麦郎面业、远大阀门集团等优势产能企业开展项目对接活动。</w:t>
      </w:r>
    </w:p>
    <w:p>
      <w:pPr>
        <w:pStyle w:val="23"/>
      </w:pPr>
      <w:r>
        <w:t>（四）抓排查，严落实，优化调整市场体系。</w:t>
      </w:r>
    </w:p>
    <w:p>
      <w:pPr>
        <w:pStyle w:val="23"/>
      </w:pPr>
      <w:r>
        <w:t>1、持续加强对全县内非法拆解报废机动车的检查，对涉嫌非法拆解的废品回收站进行“回头看”，保持高压态势，彻底破灭私拆乱解者的发财梦。</w:t>
      </w:r>
    </w:p>
    <w:p>
      <w:pPr>
        <w:pStyle w:val="23"/>
      </w:pPr>
      <w:r>
        <w:t>2、定期检查汽车销售企业，宣传有关汽车销售的法律法规，及时更新企业和人员信息，继续督促人员核酸检测。</w:t>
      </w:r>
    </w:p>
    <w:p>
      <w:pPr>
        <w:pStyle w:val="23"/>
      </w:pPr>
      <w:r>
        <w:t>3、坚持农贸市场日常检查，保证农贸市场进出口秩序正常，做好疫情防控措施。</w:t>
      </w:r>
    </w:p>
    <w:p>
      <w:pPr>
        <w:spacing w:line="500" w:lineRule="exact"/>
        <w:ind w:firstLine="560"/>
      </w:pPr>
      <w:r>
        <w:rPr>
          <w:rFonts w:eastAsia="方正仿宋_GBK"/>
          <w:color w:val="000000"/>
          <w:sz w:val="28"/>
        </w:rPr>
        <w:t>（二）分项绩效目标</w:t>
      </w:r>
    </w:p>
    <w:p>
      <w:pPr>
        <w:pStyle w:val="24"/>
      </w:pPr>
      <w:r>
        <w:t>一．对内贸易管理</w:t>
      </w:r>
    </w:p>
    <w:p>
      <w:pPr>
        <w:pStyle w:val="24"/>
      </w:pPr>
      <w:r>
        <w:t>1.重点抓好商贸行业集聚发展，大力推进“个转企”“小升限”工作，同时做好农产品批发市场配套设施与农贸市场标准化建设，以及商业中心、商业街区、城市商业综合体的建设引导与服务推进。同时不断创新消费举措。积极依托我县的生态、产业等资源优势，优化发展环境，完善功能支撑，大力推动电子商务与传统行业渗透融合，隆尧传统工业企业、传统商贸企业，积极利用电子商务手段加强研发、生产和营销活动，不断增强企业的竞争力。</w:t>
      </w:r>
    </w:p>
    <w:p>
      <w:pPr>
        <w:pStyle w:val="24"/>
      </w:pPr>
      <w:r>
        <w:t>2.电子商务，积极谋划电商集聚发展，整合电商企业，整合物流快递，提高电商公共服务能力，努力开发产品，打造电商品牌，与电商有效结合，并与物流快递协同发展。县政府统筹相关部门共同推进；建立综合型现代快递物流产业园区；建立覆盖城乡的电商快递物流配送体系；打通农村快递物流最后一公里；建立完善专门从事电子商务的商贸物流信息平台。加快直播共享仓库建设，打造隆尧特色食品天猫优品店；支持农产品“生鲜电子商务+冷链配送”等消费新模式。</w:t>
      </w:r>
    </w:p>
    <w:p>
      <w:pPr>
        <w:pStyle w:val="24"/>
      </w:pPr>
      <w:r>
        <w:t>3.成品油市场监督监管，加强市场监测，积极支持成品油经营企业的发展，为企业提供良好的发展环境，按照《隆尧县人民政府办公室关于印发&lt;关于建立打击非法加油站点（黑流动加油车）工作机制的实施意见&gt;和&lt;关于开展打击非法加油站点（黑流动加油车）的工作方案&gt;的通知》要求，做好牵头工作，收集汇总各成员单位日常摸排上报情况和接收处理群众举报，对油品质量进行抽检，对不合格油品进行处理。</w:t>
      </w:r>
    </w:p>
    <w:p>
      <w:pPr>
        <w:pStyle w:val="24"/>
      </w:pPr>
      <w:r>
        <w:t>4. 再生资源利用，负责管理、规范和指导全县再生资源回收工作。</w:t>
      </w:r>
    </w:p>
    <w:p>
      <w:pPr>
        <w:pStyle w:val="24"/>
      </w:pPr>
      <w:r>
        <w:t>5.促进贸易流通，扶持商贸流通领域中小企业发展，支持大型商贸企业、商贸连锁经营企业或第三方商贸物流企业的标准化配送中心建设及改造。推动流通体制改革和连锁经营、物流配送、商业特许经营等现代流通方式的发展，指导流通领域节能降耗工作。</w:t>
      </w:r>
    </w:p>
    <w:p>
      <w:pPr>
        <w:pStyle w:val="24"/>
      </w:pPr>
      <w:r>
        <w:t>二．外贸进出口</w:t>
      </w:r>
    </w:p>
    <w:p>
      <w:pPr>
        <w:pStyle w:val="24"/>
      </w:pPr>
      <w:r>
        <w:t>1.积极利用外贸扶持政策、扶持企业发展。采取主动上门服务措施，宣传政策，提高产品销售外向度，帮助企业走出国门，开拓国际市场，增加企业出口动力。培育出口龙头企业，优化进出口产品结构。通过政策支持，推动企业产品开展国内外认证，提高进出口品牌竞争力。鼓励企业参与各类展会，寻找出口商机。积极落实各级奖补政策，增加企业出口创汇积极，为企业走出去搞好服务。通过组织企业参加各类线上展会，促进外贸企业开拓国际市场。让企业拿自己品牌订单，截留通过第三方出口的企业数据。</w:t>
      </w:r>
    </w:p>
    <w:p>
      <w:pPr>
        <w:pStyle w:val="24"/>
      </w:pPr>
      <w:r>
        <w:t>2．加快建设跨境电商产业园区。出台扶持政策，鼓励企业开展线上跨境国际贸易业务。培育第三方外贸综合服务平台，截留第三方出口数据。为外贸企业开展“妈妈式”服务，当好“店小二”角色，实现集聚效应，助推外贸进出口企业高质量发展。</w:t>
      </w:r>
    </w:p>
    <w:p>
      <w:pPr>
        <w:pStyle w:val="24"/>
      </w:pPr>
      <w:r>
        <w:t>三．招商引资</w:t>
      </w:r>
    </w:p>
    <w:p>
      <w:pPr>
        <w:pStyle w:val="24"/>
      </w:pPr>
      <w:r>
        <w:t>紧紧围绕全县发展总体思路，坚持“项目为王、效率至上”理念，全力推进招商选资工作。</w:t>
      </w:r>
    </w:p>
    <w:p>
      <w:pPr>
        <w:spacing w:line="500" w:lineRule="exact"/>
        <w:ind w:firstLine="560"/>
      </w:pPr>
      <w:r>
        <w:rPr>
          <w:rFonts w:eastAsia="方正仿宋_GBK"/>
          <w:color w:val="000000"/>
          <w:sz w:val="28"/>
        </w:rPr>
        <w:t>（三）工作保障措施</w:t>
      </w:r>
    </w:p>
    <w:p>
      <w:pPr>
        <w:pStyle w:val="25"/>
      </w:pPr>
      <w:r>
        <w:t>1.招商引资明确招商任务，压实招商主体责任，制定全县招商选资工作方案，明确各单位年度招商任务目标，压实招商责任，在全县营造浓厚招商氛围。强化招商力量，全力推进区域招商。选派一批优秀干部充实到驻北京、上海、深圳三个招商办事处，强化驻外专业招商力量。围绕主导产业，大力开展精准招商。加强调度考核，推动全县招商积极性。</w:t>
      </w:r>
    </w:p>
    <w:p>
      <w:pPr>
        <w:pStyle w:val="25"/>
      </w:pPr>
      <w:r>
        <w:t>2.积极利用外贸扶持政策、扶持企业发展，继续培育龙头企业和若干出口产业基地，不断优化进出口产品结构，积极参组织企业参加国内展会和国际性展会，寻找出口商机。</w:t>
      </w:r>
    </w:p>
    <w:p>
      <w:pPr>
        <w:pStyle w:val="25"/>
      </w:pPr>
      <w:r>
        <w:t>3.积极发挥电子商务的作用，搞好人员培训、业务指导。优化我县电商环境，吸引产业链上下游的电子商务平台企业、应用企业、运营企业、专业服务机构入驻发展。加快我县电子商务聚集区和跨境电商园区的建设。</w:t>
      </w:r>
    </w:p>
    <w:p>
      <w:pPr>
        <w:pStyle w:val="25"/>
      </w:pPr>
      <w:r>
        <w:t>4.加强部门配合，进一步摸排全县企业情况，积极与市场监管、税务局等相关部门联系，根据线上企业申报条件，对新成立的批发、零售、住宿、餐饮企业进行全面调查摸底。</w:t>
      </w:r>
    </w:p>
    <w:p>
      <w:pPr>
        <w:pStyle w:val="25"/>
      </w:pPr>
      <w:r>
        <w:t>5.全方位监控，不间断排查，对已经取缔和查封的加油点密切监控，防止死灰复燃，加强日常监管，做好大气污染防止的各项工作。</w:t>
      </w:r>
    </w:p>
    <w:p>
      <w:pPr>
        <w:pStyle w:val="25"/>
      </w:pPr>
      <w:r>
        <w:t>6.进一步完善信访机制，加大矛盾排查处理力度，努力把矛盾化解在内部，消灭在萌芽状态。</w:t>
      </w:r>
    </w:p>
    <w:p>
      <w:pPr>
        <w:pStyle w:val="25"/>
      </w:pPr>
      <w:r>
        <w:t>7.从制度建设入手，建立健全各项规章制度，厉行节约，反对浪费，加强党风廉政建设，杜绝腐败，继续保持市级文明单位荣誉称号，全面树立机关新形象。</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default" w:ascii="方正楷体_GBK" w:hAnsi="方正楷体_GBK" w:eastAsia="方正楷体_GBK" w:cs="方正楷体_GBK"/>
          <w:b/>
          <w:color w:val="000000"/>
          <w:sz w:val="32"/>
          <w:lang w:val="en-US" w:eastAsia="zh-CN"/>
        </w:rPr>
      </w:pPr>
      <w:r>
        <w:rPr>
          <w:rFonts w:hint="eastAsia" w:ascii="Times New Roman" w:hAnsi="Times New Roman" w:eastAsia="方正仿宋_GBK" w:cs="Times New Roman"/>
          <w:sz w:val="28"/>
          <w:szCs w:val="24"/>
          <w:lang w:val="en-US" w:eastAsia="zh-CN" w:bidi="ar-SA"/>
        </w:rPr>
        <w:t>本年度无专项资金。</w:t>
      </w:r>
    </w:p>
    <w:p>
      <w:pPr>
        <w:pStyle w:val="26"/>
        <w:ind w:firstLine="640"/>
      </w:pPr>
      <w:r>
        <w:rPr>
          <w:rFonts w:ascii="方正楷体_GBK" w:hAnsi="方正楷体_GBK" w:eastAsia="方正楷体_GBK" w:cs="方正楷体_GBK"/>
          <w:b/>
          <w:color w:val="000000"/>
          <w:sz w:val="32"/>
        </w:rPr>
        <w:t>第三部分  预算项目绩效目标</w:t>
      </w:r>
    </w:p>
    <w:p>
      <w:pPr>
        <w:pStyle w:val="26"/>
        <w:ind w:firstLine="560"/>
      </w:pPr>
      <w:r>
        <w:rPr>
          <w:rFonts w:ascii="方正仿宋_GBK" w:hAnsi="方正仿宋_GBK" w:eastAsia="方正仿宋_GBK" w:cs="方正仿宋_GBK"/>
          <w:b/>
          <w:color w:val="000000"/>
          <w:sz w:val="28"/>
        </w:rPr>
        <w:t>1、成品油市场监督监管专项绩效目标表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Theme="minorEastAsia" w:hAnsiTheme="minorEastAsia" w:eastAsiaTheme="minorEastAsia"/>
                <w:lang w:eastAsia="zh-CN"/>
              </w:rPr>
              <w:t>做好我县成品油市场治理工作</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巡查加油站</w:t>
            </w:r>
          </w:p>
        </w:tc>
        <w:tc>
          <w:tcPr>
            <w:tcW w:w="2835" w:type="dxa"/>
            <w:vAlign w:val="center"/>
          </w:tcPr>
          <w:p>
            <w:pPr>
              <w:pStyle w:val="28"/>
            </w:pPr>
            <w:r>
              <w:t>全年检查加油站个数</w:t>
            </w:r>
          </w:p>
        </w:tc>
        <w:tc>
          <w:tcPr>
            <w:tcW w:w="2551" w:type="dxa"/>
            <w:vAlign w:val="center"/>
          </w:tcPr>
          <w:p>
            <w:pPr>
              <w:pStyle w:val="28"/>
            </w:pPr>
            <w:r>
              <w:t>≥50检查加油站个数</w:t>
            </w:r>
          </w:p>
        </w:tc>
        <w:tc>
          <w:tcPr>
            <w:tcW w:w="2268" w:type="dxa"/>
            <w:vAlign w:val="center"/>
          </w:tcPr>
          <w:p>
            <w:pPr>
              <w:pStyle w:val="28"/>
            </w:pPr>
            <w:r>
              <w:t>根据县域加油站数量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按照上级要求管理加油站</w:t>
            </w:r>
          </w:p>
        </w:tc>
        <w:tc>
          <w:tcPr>
            <w:tcW w:w="2835" w:type="dxa"/>
            <w:vAlign w:val="center"/>
          </w:tcPr>
          <w:p>
            <w:pPr>
              <w:pStyle w:val="28"/>
            </w:pPr>
            <w:r>
              <w:t>按照上级要求管理加油站</w:t>
            </w:r>
          </w:p>
        </w:tc>
        <w:tc>
          <w:tcPr>
            <w:tcW w:w="2551" w:type="dxa"/>
            <w:vAlign w:val="center"/>
          </w:tcPr>
          <w:p>
            <w:pPr>
              <w:pStyle w:val="28"/>
            </w:pPr>
            <w:r>
              <w:t>≥90执行率</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巡查黑加油点</w:t>
            </w:r>
          </w:p>
        </w:tc>
        <w:tc>
          <w:tcPr>
            <w:tcW w:w="2835" w:type="dxa"/>
            <w:vAlign w:val="center"/>
          </w:tcPr>
          <w:p>
            <w:pPr>
              <w:pStyle w:val="28"/>
            </w:pPr>
            <w:r>
              <w:t>全年组织开展联合检查5次以上</w:t>
            </w:r>
          </w:p>
        </w:tc>
        <w:tc>
          <w:tcPr>
            <w:tcW w:w="2551" w:type="dxa"/>
            <w:vAlign w:val="center"/>
          </w:tcPr>
          <w:p>
            <w:pPr>
              <w:pStyle w:val="28"/>
            </w:pPr>
            <w:r>
              <w:t>≥5开展联查次数</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成品油项目支出</w:t>
            </w:r>
          </w:p>
        </w:tc>
        <w:tc>
          <w:tcPr>
            <w:tcW w:w="2835" w:type="dxa"/>
            <w:vAlign w:val="center"/>
          </w:tcPr>
          <w:p>
            <w:pPr>
              <w:pStyle w:val="28"/>
            </w:pPr>
            <w:r>
              <w:t>严控成本支出</w:t>
            </w:r>
          </w:p>
        </w:tc>
        <w:tc>
          <w:tcPr>
            <w:tcW w:w="2551" w:type="dxa"/>
            <w:vAlign w:val="center"/>
          </w:tcPr>
          <w:p>
            <w:pPr>
              <w:pStyle w:val="28"/>
            </w:pPr>
            <w:r>
              <w:t>100成本控制率</w:t>
            </w:r>
          </w:p>
        </w:tc>
        <w:tc>
          <w:tcPr>
            <w:tcW w:w="2268" w:type="dxa"/>
            <w:vAlign w:val="center"/>
          </w:tcPr>
          <w:p>
            <w:pPr>
              <w:pStyle w:val="28"/>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对黑加油点取缔</w:t>
            </w:r>
          </w:p>
        </w:tc>
        <w:tc>
          <w:tcPr>
            <w:tcW w:w="2835" w:type="dxa"/>
            <w:vAlign w:val="center"/>
          </w:tcPr>
          <w:p>
            <w:pPr>
              <w:pStyle w:val="28"/>
            </w:pPr>
            <w:r>
              <w:t>对全年黑加油点取缔个数</w:t>
            </w:r>
          </w:p>
        </w:tc>
        <w:tc>
          <w:tcPr>
            <w:tcW w:w="2551" w:type="dxa"/>
            <w:vAlign w:val="center"/>
          </w:tcPr>
          <w:p>
            <w:pPr>
              <w:pStyle w:val="28"/>
            </w:pPr>
            <w:r>
              <w:t>≥6取缔黑加油站数量</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全县加油站油气回收正常运行</w:t>
            </w:r>
          </w:p>
        </w:tc>
        <w:tc>
          <w:tcPr>
            <w:tcW w:w="2835" w:type="dxa"/>
            <w:vAlign w:val="center"/>
          </w:tcPr>
          <w:p>
            <w:pPr>
              <w:pStyle w:val="28"/>
            </w:pPr>
            <w:r>
              <w:t>防止大气污染</w:t>
            </w:r>
          </w:p>
        </w:tc>
        <w:tc>
          <w:tcPr>
            <w:tcW w:w="2551" w:type="dxa"/>
            <w:vAlign w:val="center"/>
          </w:tcPr>
          <w:p>
            <w:pPr>
              <w:pStyle w:val="28"/>
            </w:pPr>
            <w:r>
              <w:t>≥95油气回收运行正常率</w:t>
            </w:r>
          </w:p>
        </w:tc>
        <w:tc>
          <w:tcPr>
            <w:tcW w:w="2268" w:type="dxa"/>
            <w:vAlign w:val="center"/>
          </w:tcPr>
          <w:p>
            <w:pPr>
              <w:pStyle w:val="28"/>
            </w:pPr>
            <w:r>
              <w:t>保障油气回收运行正常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保持成品油市场正常秩序</w:t>
            </w:r>
          </w:p>
        </w:tc>
        <w:tc>
          <w:tcPr>
            <w:tcW w:w="2835" w:type="dxa"/>
            <w:vAlign w:val="center"/>
          </w:tcPr>
          <w:p>
            <w:pPr>
              <w:pStyle w:val="28"/>
            </w:pPr>
            <w:r>
              <w:t>维护成品油市场秩序</w:t>
            </w:r>
          </w:p>
        </w:tc>
        <w:tc>
          <w:tcPr>
            <w:tcW w:w="2551" w:type="dxa"/>
            <w:vAlign w:val="center"/>
          </w:tcPr>
          <w:p>
            <w:pPr>
              <w:pStyle w:val="28"/>
            </w:pPr>
            <w:r>
              <w:t>100正常营业率</w:t>
            </w:r>
          </w:p>
        </w:tc>
        <w:tc>
          <w:tcPr>
            <w:tcW w:w="2268" w:type="dxa"/>
            <w:vAlign w:val="center"/>
          </w:tcPr>
          <w:p>
            <w:pPr>
              <w:pStyle w:val="28"/>
            </w:pPr>
            <w:r>
              <w:t>保障县域加油站正常营业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2、促消费稳增长专项绩效目标表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Theme="minorEastAsia" w:hAnsiTheme="minorEastAsia" w:eastAsiaTheme="minorEastAsia"/>
                <w:lang w:eastAsia="zh-CN"/>
              </w:rPr>
              <w:t>发放消费券促进我县消费增长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鼓励本地商贸龙头企业个数</w:t>
            </w:r>
          </w:p>
        </w:tc>
        <w:tc>
          <w:tcPr>
            <w:tcW w:w="2835" w:type="dxa"/>
            <w:vAlign w:val="center"/>
          </w:tcPr>
          <w:p>
            <w:pPr>
              <w:pStyle w:val="28"/>
            </w:pPr>
            <w:r>
              <w:t>鼓励本地商贸龙头企业参与促销费活动</w:t>
            </w:r>
          </w:p>
        </w:tc>
        <w:tc>
          <w:tcPr>
            <w:tcW w:w="2551" w:type="dxa"/>
            <w:vAlign w:val="center"/>
          </w:tcPr>
          <w:p>
            <w:pPr>
              <w:pStyle w:val="28"/>
            </w:pPr>
            <w:r>
              <w:t>≥5商贸龙头企业个数</w:t>
            </w:r>
          </w:p>
        </w:tc>
        <w:tc>
          <w:tcPr>
            <w:tcW w:w="2268" w:type="dxa"/>
            <w:vAlign w:val="center"/>
          </w:tcPr>
          <w:p>
            <w:pPr>
              <w:pStyle w:val="28"/>
            </w:pPr>
            <w:r>
              <w:t>商贸龙头企业个数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加大限上企业培育力度</w:t>
            </w:r>
          </w:p>
        </w:tc>
        <w:tc>
          <w:tcPr>
            <w:tcW w:w="2835" w:type="dxa"/>
            <w:vAlign w:val="center"/>
          </w:tcPr>
          <w:p>
            <w:pPr>
              <w:pStyle w:val="28"/>
            </w:pPr>
            <w:r>
              <w:t>培育限上企业入统</w:t>
            </w:r>
          </w:p>
        </w:tc>
        <w:tc>
          <w:tcPr>
            <w:tcW w:w="2551" w:type="dxa"/>
            <w:vAlign w:val="center"/>
          </w:tcPr>
          <w:p>
            <w:pPr>
              <w:pStyle w:val="28"/>
            </w:pPr>
            <w:r>
              <w:t>≥7限上企业入统数量</w:t>
            </w:r>
          </w:p>
        </w:tc>
        <w:tc>
          <w:tcPr>
            <w:tcW w:w="2268" w:type="dxa"/>
            <w:vAlign w:val="center"/>
          </w:tcPr>
          <w:p>
            <w:pPr>
              <w:pStyle w:val="28"/>
            </w:pPr>
            <w:r>
              <w:t>申报入统企业数量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按期发放政府消费券</w:t>
            </w:r>
          </w:p>
        </w:tc>
        <w:tc>
          <w:tcPr>
            <w:tcW w:w="2835" w:type="dxa"/>
            <w:vAlign w:val="center"/>
          </w:tcPr>
          <w:p>
            <w:pPr>
              <w:pStyle w:val="28"/>
            </w:pPr>
            <w:r>
              <w:t>按期发放政府消费券</w:t>
            </w:r>
          </w:p>
        </w:tc>
        <w:tc>
          <w:tcPr>
            <w:tcW w:w="2551" w:type="dxa"/>
            <w:vAlign w:val="center"/>
          </w:tcPr>
          <w:p>
            <w:pPr>
              <w:pStyle w:val="28"/>
            </w:pPr>
            <w:r>
              <w:t>100按期发放率</w:t>
            </w:r>
          </w:p>
        </w:tc>
        <w:tc>
          <w:tcPr>
            <w:tcW w:w="2268" w:type="dxa"/>
            <w:vAlign w:val="center"/>
          </w:tcPr>
          <w:p>
            <w:pPr>
              <w:pStyle w:val="28"/>
            </w:pPr>
            <w:r>
              <w:t>政府要求时间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预算不超标</w:t>
            </w:r>
          </w:p>
        </w:tc>
        <w:tc>
          <w:tcPr>
            <w:tcW w:w="2835" w:type="dxa"/>
            <w:vAlign w:val="center"/>
          </w:tcPr>
          <w:p>
            <w:pPr>
              <w:pStyle w:val="28"/>
            </w:pPr>
            <w:r>
              <w:t>严控消费券实际成本</w:t>
            </w:r>
          </w:p>
        </w:tc>
        <w:tc>
          <w:tcPr>
            <w:tcW w:w="2551" w:type="dxa"/>
            <w:vAlign w:val="center"/>
          </w:tcPr>
          <w:p>
            <w:pPr>
              <w:pStyle w:val="28"/>
            </w:pPr>
            <w:r>
              <w:t>≥95预算执行率</w:t>
            </w:r>
          </w:p>
        </w:tc>
        <w:tc>
          <w:tcPr>
            <w:tcW w:w="2268" w:type="dxa"/>
            <w:vAlign w:val="center"/>
          </w:tcPr>
          <w:p>
            <w:pPr>
              <w:pStyle w:val="28"/>
            </w:pPr>
            <w:r>
              <w:t>预算申请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激发消费热情，带动消费</w:t>
            </w:r>
          </w:p>
        </w:tc>
        <w:tc>
          <w:tcPr>
            <w:tcW w:w="2835" w:type="dxa"/>
            <w:vAlign w:val="center"/>
          </w:tcPr>
          <w:p>
            <w:pPr>
              <w:pStyle w:val="28"/>
            </w:pPr>
            <w:r>
              <w:t>拉动消费金额</w:t>
            </w:r>
          </w:p>
        </w:tc>
        <w:tc>
          <w:tcPr>
            <w:tcW w:w="2551" w:type="dxa"/>
            <w:vAlign w:val="center"/>
          </w:tcPr>
          <w:p>
            <w:pPr>
              <w:pStyle w:val="28"/>
            </w:pPr>
            <w:r>
              <w:t>≥8000拉动消费金额/万元</w:t>
            </w:r>
          </w:p>
        </w:tc>
        <w:tc>
          <w:tcPr>
            <w:tcW w:w="2268" w:type="dxa"/>
            <w:vAlign w:val="center"/>
          </w:tcPr>
          <w:p>
            <w:pPr>
              <w:pStyle w:val="28"/>
            </w:pPr>
            <w:r>
              <w:t>预计带动消费情况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3、电子商务专项绩效目标表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rPr>
                <w:rFonts w:hint="eastAsia" w:eastAsiaTheme="minorEastAsia"/>
                <w:lang w:eastAsia="zh-CN"/>
              </w:rPr>
            </w:pPr>
            <w:r>
              <w:t>1.</w:t>
            </w:r>
            <w:r>
              <w:rPr>
                <w:rFonts w:hint="eastAsia" w:asciiTheme="minorEastAsia" w:hAnsiTheme="minorEastAsia" w:eastAsiaTheme="minorEastAsia"/>
                <w:lang w:eastAsia="zh-CN"/>
              </w:rPr>
              <w:t>提升公共服务体系加强对电商数据的采集和分析</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建设县级农村电子商务公共服务中心</w:t>
            </w:r>
          </w:p>
        </w:tc>
        <w:tc>
          <w:tcPr>
            <w:tcW w:w="2835" w:type="dxa"/>
            <w:vAlign w:val="center"/>
          </w:tcPr>
          <w:p>
            <w:pPr>
              <w:pStyle w:val="28"/>
            </w:pPr>
            <w:r>
              <w:t>县级农村电子商务公共服务中心</w:t>
            </w:r>
          </w:p>
        </w:tc>
        <w:tc>
          <w:tcPr>
            <w:tcW w:w="2551" w:type="dxa"/>
            <w:vAlign w:val="center"/>
          </w:tcPr>
          <w:p>
            <w:pPr>
              <w:pStyle w:val="28"/>
            </w:pPr>
            <w:r>
              <w:t>≥1建设县级农村电子商务公共服务中心个数</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对乡村振兴和扶贫脱贫攻坚的促进作用</w:t>
            </w:r>
          </w:p>
        </w:tc>
        <w:tc>
          <w:tcPr>
            <w:tcW w:w="2835" w:type="dxa"/>
            <w:vAlign w:val="center"/>
          </w:tcPr>
          <w:p>
            <w:pPr>
              <w:pStyle w:val="28"/>
            </w:pPr>
            <w:r>
              <w:t>对乡村振兴和扶贫脱贫攻坚的促进作用</w:t>
            </w:r>
          </w:p>
        </w:tc>
        <w:tc>
          <w:tcPr>
            <w:tcW w:w="2551" w:type="dxa"/>
            <w:vAlign w:val="center"/>
          </w:tcPr>
          <w:p>
            <w:pPr>
              <w:pStyle w:val="28"/>
            </w:pPr>
            <w:r>
              <w:t>≥1预计网络销售额/年/亿</w:t>
            </w:r>
          </w:p>
        </w:tc>
        <w:tc>
          <w:tcPr>
            <w:tcW w:w="2268" w:type="dxa"/>
            <w:vAlign w:val="center"/>
          </w:tcPr>
          <w:p>
            <w:pPr>
              <w:pStyle w:val="28"/>
            </w:pPr>
            <w:r>
              <w:t>预计销售额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按时完成农村电商公共服务中心建设工作</w:t>
            </w:r>
          </w:p>
        </w:tc>
        <w:tc>
          <w:tcPr>
            <w:tcW w:w="2835" w:type="dxa"/>
            <w:vAlign w:val="center"/>
          </w:tcPr>
          <w:p>
            <w:pPr>
              <w:pStyle w:val="28"/>
            </w:pPr>
            <w:r>
              <w:t>按时完成农村电商公共服务中心建设工作</w:t>
            </w:r>
          </w:p>
        </w:tc>
        <w:tc>
          <w:tcPr>
            <w:tcW w:w="2551" w:type="dxa"/>
            <w:vAlign w:val="center"/>
          </w:tcPr>
          <w:p>
            <w:pPr>
              <w:pStyle w:val="28"/>
            </w:pPr>
            <w:r>
              <w:t>≥90按时完成率</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建设成本支出</w:t>
            </w:r>
          </w:p>
        </w:tc>
        <w:tc>
          <w:tcPr>
            <w:tcW w:w="2835" w:type="dxa"/>
            <w:vAlign w:val="center"/>
          </w:tcPr>
          <w:p>
            <w:pPr>
              <w:pStyle w:val="28"/>
            </w:pPr>
            <w:r>
              <w:t>严控成本</w:t>
            </w:r>
          </w:p>
        </w:tc>
        <w:tc>
          <w:tcPr>
            <w:tcW w:w="2551" w:type="dxa"/>
            <w:vAlign w:val="center"/>
          </w:tcPr>
          <w:p>
            <w:pPr>
              <w:pStyle w:val="28"/>
            </w:pPr>
            <w:r>
              <w:t>100预算不超标</w:t>
            </w:r>
          </w:p>
        </w:tc>
        <w:tc>
          <w:tcPr>
            <w:tcW w:w="2268" w:type="dxa"/>
            <w:vAlign w:val="center"/>
          </w:tcPr>
          <w:p>
            <w:pPr>
              <w:pStyle w:val="28"/>
            </w:pPr>
            <w:r>
              <w:t>预算标准</w:t>
            </w:r>
          </w:p>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电商交易额增长</w:t>
            </w:r>
          </w:p>
        </w:tc>
        <w:tc>
          <w:tcPr>
            <w:tcW w:w="2835" w:type="dxa"/>
            <w:vAlign w:val="center"/>
          </w:tcPr>
          <w:p>
            <w:pPr>
              <w:pStyle w:val="28"/>
            </w:pPr>
            <w:r>
              <w:t>全年电商交易额增长数</w:t>
            </w:r>
          </w:p>
        </w:tc>
        <w:tc>
          <w:tcPr>
            <w:tcW w:w="2551" w:type="dxa"/>
            <w:vAlign w:val="center"/>
          </w:tcPr>
          <w:p>
            <w:pPr>
              <w:pStyle w:val="28"/>
            </w:pPr>
            <w:r>
              <w:t>≥10电商交易额增长百分比</w:t>
            </w:r>
          </w:p>
        </w:tc>
        <w:tc>
          <w:tcPr>
            <w:tcW w:w="2268" w:type="dxa"/>
            <w:vAlign w:val="center"/>
          </w:tcPr>
          <w:p>
            <w:pPr>
              <w:pStyle w:val="28"/>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改善物流配送体系</w:t>
            </w:r>
          </w:p>
        </w:tc>
        <w:tc>
          <w:tcPr>
            <w:tcW w:w="2835" w:type="dxa"/>
            <w:vAlign w:val="center"/>
          </w:tcPr>
          <w:p>
            <w:pPr>
              <w:pStyle w:val="28"/>
            </w:pPr>
            <w:r>
              <w:t>改善物流配送体系</w:t>
            </w:r>
          </w:p>
        </w:tc>
        <w:tc>
          <w:tcPr>
            <w:tcW w:w="2551" w:type="dxa"/>
            <w:vAlign w:val="center"/>
          </w:tcPr>
          <w:p>
            <w:pPr>
              <w:pStyle w:val="28"/>
            </w:pPr>
            <w:r>
              <w:t>≥1对物流企业的补贴个数</w:t>
            </w:r>
          </w:p>
        </w:tc>
        <w:tc>
          <w:tcPr>
            <w:tcW w:w="2268" w:type="dxa"/>
            <w:vAlign w:val="center"/>
          </w:tcPr>
          <w:p>
            <w:pPr>
              <w:pStyle w:val="28"/>
            </w:pPr>
            <w:r>
              <w:t>持续有效改善物流配送体系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4、冀财建【2021】192号/中央/2022年中央服务业发展资金/电子商务示范县绩效目标表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rPr>
              <w:t xml:space="preserve"> </w:t>
            </w:r>
            <w:r>
              <w:rPr>
                <w:rFonts w:hint="eastAsia" w:asciiTheme="minorEastAsia" w:hAnsiTheme="minorEastAsia" w:eastAsiaTheme="minorEastAsia"/>
                <w:lang w:eastAsia="zh-CN"/>
              </w:rPr>
              <w:t>开发和推广农村网络商品，使农村流通现代化水平明显提升，农村网络零售额显著增长。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农村电商服务在行政村服务覆盖率</w:t>
            </w:r>
          </w:p>
        </w:tc>
        <w:tc>
          <w:tcPr>
            <w:tcW w:w="2835" w:type="dxa"/>
            <w:vAlign w:val="center"/>
          </w:tcPr>
          <w:p>
            <w:pPr>
              <w:pStyle w:val="28"/>
            </w:pPr>
            <w:r>
              <w:t>农村电商服务在行政村服务覆盖率</w:t>
            </w:r>
          </w:p>
        </w:tc>
        <w:tc>
          <w:tcPr>
            <w:tcW w:w="2551" w:type="dxa"/>
            <w:vAlign w:val="center"/>
          </w:tcPr>
          <w:p>
            <w:pPr>
              <w:pStyle w:val="28"/>
            </w:pPr>
            <w:r>
              <w:t>≥50个</w:t>
            </w:r>
          </w:p>
        </w:tc>
        <w:tc>
          <w:tcPr>
            <w:tcW w:w="2268" w:type="dxa"/>
            <w:vAlign w:val="center"/>
          </w:tcPr>
          <w:p>
            <w:pPr>
              <w:pStyle w:val="28"/>
            </w:pPr>
            <w:r>
              <w:t>农村电商服务是否达到要求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完善企业标准，提升农产品标准化程度</w:t>
            </w:r>
          </w:p>
        </w:tc>
        <w:tc>
          <w:tcPr>
            <w:tcW w:w="2835" w:type="dxa"/>
            <w:vAlign w:val="center"/>
          </w:tcPr>
          <w:p>
            <w:pPr>
              <w:pStyle w:val="28"/>
            </w:pPr>
            <w:r>
              <w:t>完善企业标准，提升农产品标准化程度</w:t>
            </w:r>
          </w:p>
        </w:tc>
        <w:tc>
          <w:tcPr>
            <w:tcW w:w="2551" w:type="dxa"/>
            <w:vAlign w:val="center"/>
          </w:tcPr>
          <w:p>
            <w:pPr>
              <w:pStyle w:val="28"/>
            </w:pPr>
            <w:r>
              <w:t>≥1个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开展电商培训</w:t>
            </w:r>
          </w:p>
        </w:tc>
        <w:tc>
          <w:tcPr>
            <w:tcW w:w="2835" w:type="dxa"/>
            <w:vAlign w:val="center"/>
          </w:tcPr>
          <w:p>
            <w:pPr>
              <w:pStyle w:val="28"/>
            </w:pPr>
            <w:r>
              <w:t>开展电商培训</w:t>
            </w:r>
          </w:p>
        </w:tc>
        <w:tc>
          <w:tcPr>
            <w:tcW w:w="2551" w:type="dxa"/>
            <w:vAlign w:val="center"/>
          </w:tcPr>
          <w:p>
            <w:pPr>
              <w:pStyle w:val="28"/>
            </w:pPr>
            <w:r>
              <w:t>≥3000人</w:t>
            </w:r>
          </w:p>
        </w:tc>
        <w:tc>
          <w:tcPr>
            <w:tcW w:w="2268" w:type="dxa"/>
            <w:vAlign w:val="center"/>
          </w:tcPr>
          <w:p>
            <w:pPr>
              <w:pStyle w:val="28"/>
            </w:pPr>
            <w:r>
              <w:t>人数是否达标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w:t>
            </w:r>
          </w:p>
        </w:tc>
        <w:tc>
          <w:tcPr>
            <w:tcW w:w="2835" w:type="dxa"/>
            <w:vAlign w:val="center"/>
          </w:tcPr>
          <w:p>
            <w:pPr>
              <w:pStyle w:val="28"/>
            </w:pPr>
            <w:r>
              <w:t>预算</w:t>
            </w:r>
          </w:p>
        </w:tc>
        <w:tc>
          <w:tcPr>
            <w:tcW w:w="2551" w:type="dxa"/>
            <w:vAlign w:val="center"/>
          </w:tcPr>
          <w:p>
            <w:pPr>
              <w:pStyle w:val="28"/>
            </w:pPr>
            <w:r>
              <w:t>1000万元</w:t>
            </w:r>
          </w:p>
        </w:tc>
        <w:tc>
          <w:tcPr>
            <w:tcW w:w="2268" w:type="dxa"/>
            <w:vAlign w:val="center"/>
          </w:tcPr>
          <w:p>
            <w:pPr>
              <w:pStyle w:val="28"/>
            </w:pPr>
            <w: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农产品网络零售额同比增速</w:t>
            </w:r>
          </w:p>
        </w:tc>
        <w:tc>
          <w:tcPr>
            <w:tcW w:w="2835" w:type="dxa"/>
            <w:vAlign w:val="center"/>
          </w:tcPr>
          <w:p>
            <w:pPr>
              <w:pStyle w:val="28"/>
            </w:pPr>
            <w:r>
              <w:t>农产品网络零售额同比增速</w:t>
            </w:r>
          </w:p>
        </w:tc>
        <w:tc>
          <w:tcPr>
            <w:tcW w:w="2551" w:type="dxa"/>
            <w:vAlign w:val="center"/>
          </w:tcPr>
          <w:p>
            <w:pPr>
              <w:pStyle w:val="28"/>
            </w:pPr>
            <w:r>
              <w:t>≥10%</w:t>
            </w:r>
          </w:p>
        </w:tc>
        <w:tc>
          <w:tcPr>
            <w:tcW w:w="2268" w:type="dxa"/>
            <w:vAlign w:val="center"/>
          </w:tcPr>
          <w:p>
            <w:pPr>
              <w:pStyle w:val="28"/>
            </w:pPr>
            <w:r>
              <w:t>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促进电商精准帮扶，对接电商企业帮扶项目</w:t>
            </w:r>
          </w:p>
        </w:tc>
        <w:tc>
          <w:tcPr>
            <w:tcW w:w="2835" w:type="dxa"/>
            <w:vAlign w:val="center"/>
          </w:tcPr>
          <w:p>
            <w:pPr>
              <w:pStyle w:val="28"/>
            </w:pPr>
            <w:r>
              <w:t>促进电商精准帮扶对电商企业帮扶项目</w:t>
            </w:r>
          </w:p>
        </w:tc>
        <w:tc>
          <w:tcPr>
            <w:tcW w:w="2551" w:type="dxa"/>
            <w:vAlign w:val="center"/>
          </w:tcPr>
          <w:p>
            <w:pPr>
              <w:pStyle w:val="28"/>
            </w:pPr>
            <w:r>
              <w:t>≥2个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农村网络零售额同比增速</w:t>
            </w:r>
          </w:p>
        </w:tc>
        <w:tc>
          <w:tcPr>
            <w:tcW w:w="2835" w:type="dxa"/>
            <w:vAlign w:val="center"/>
          </w:tcPr>
          <w:p>
            <w:pPr>
              <w:pStyle w:val="28"/>
            </w:pPr>
            <w:r>
              <w:t>农村网络零售额同比增速</w:t>
            </w:r>
          </w:p>
        </w:tc>
        <w:tc>
          <w:tcPr>
            <w:tcW w:w="2551" w:type="dxa"/>
            <w:vAlign w:val="center"/>
          </w:tcPr>
          <w:p>
            <w:pPr>
              <w:pStyle w:val="28"/>
            </w:pPr>
            <w:r>
              <w:t>≥10%</w:t>
            </w:r>
          </w:p>
        </w:tc>
        <w:tc>
          <w:tcPr>
            <w:tcW w:w="2268" w:type="dxa"/>
            <w:vAlign w:val="center"/>
          </w:tcPr>
          <w:p>
            <w:pPr>
              <w:pStyle w:val="28"/>
            </w:pPr>
            <w:r>
              <w:t>增速是否达标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提升农产品品牌化程度</w:t>
            </w:r>
          </w:p>
        </w:tc>
        <w:tc>
          <w:tcPr>
            <w:tcW w:w="2835" w:type="dxa"/>
            <w:vAlign w:val="center"/>
          </w:tcPr>
          <w:p>
            <w:pPr>
              <w:pStyle w:val="28"/>
            </w:pPr>
            <w:r>
              <w:t>提升农产品品牌化程度</w:t>
            </w:r>
          </w:p>
        </w:tc>
        <w:tc>
          <w:tcPr>
            <w:tcW w:w="2551" w:type="dxa"/>
            <w:vAlign w:val="center"/>
          </w:tcPr>
          <w:p>
            <w:pPr>
              <w:pStyle w:val="28"/>
            </w:pPr>
            <w:r>
              <w:t>≥1个</w:t>
            </w:r>
          </w:p>
        </w:tc>
        <w:tc>
          <w:tcPr>
            <w:tcW w:w="2268" w:type="dxa"/>
            <w:vAlign w:val="center"/>
          </w:tcPr>
          <w:p>
            <w:pPr>
              <w:pStyle w:val="28"/>
            </w:pPr>
            <w:r>
              <w:t>能否提升产品品牌化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1个</w:t>
            </w:r>
          </w:p>
        </w:tc>
        <w:tc>
          <w:tcPr>
            <w:tcW w:w="2268" w:type="dxa"/>
            <w:vAlign w:val="center"/>
          </w:tcPr>
          <w:p>
            <w:pPr>
              <w:pStyle w:val="28"/>
            </w:pPr>
            <w:r>
              <w:t>服务企业是否满意</w:t>
            </w:r>
          </w:p>
        </w:tc>
      </w:tr>
    </w:tbl>
    <w:p>
      <w:pPr>
        <w:pStyle w:val="26"/>
      </w:pPr>
    </w:p>
    <w:p>
      <w:pPr>
        <w:pStyle w:val="26"/>
        <w:ind w:firstLine="560"/>
      </w:pPr>
      <w:r>
        <w:rPr>
          <w:rFonts w:ascii="方正仿宋_GBK" w:hAnsi="方正仿宋_GBK" w:eastAsia="方正仿宋_GBK" w:cs="方正仿宋_GBK"/>
          <w:b/>
          <w:color w:val="000000"/>
          <w:sz w:val="28"/>
        </w:rPr>
        <w:t>5、跨境电商专项绩效目标表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Theme="minorEastAsia" w:hAnsiTheme="minorEastAsia" w:eastAsiaTheme="minorEastAsia"/>
                <w:lang w:eastAsia="zh-CN"/>
              </w:rPr>
              <w:t>加快跨境电商园区建设，鼓励企业开展线上跨境贸易</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增加跨境电商企业</w:t>
            </w:r>
          </w:p>
        </w:tc>
        <w:tc>
          <w:tcPr>
            <w:tcW w:w="2835" w:type="dxa"/>
            <w:vAlign w:val="center"/>
          </w:tcPr>
          <w:p>
            <w:pPr>
              <w:pStyle w:val="28"/>
            </w:pPr>
            <w:r>
              <w:t>全年增加跨境电商企业个数</w:t>
            </w:r>
          </w:p>
        </w:tc>
        <w:tc>
          <w:tcPr>
            <w:tcW w:w="2551" w:type="dxa"/>
            <w:vAlign w:val="center"/>
          </w:tcPr>
          <w:p>
            <w:pPr>
              <w:pStyle w:val="28"/>
            </w:pPr>
            <w:r>
              <w:t>≥5全年增加跨境电商企业</w:t>
            </w:r>
          </w:p>
        </w:tc>
        <w:tc>
          <w:tcPr>
            <w:tcW w:w="2268" w:type="dxa"/>
            <w:vAlign w:val="center"/>
          </w:tcPr>
          <w:p>
            <w:pPr>
              <w:pStyle w:val="28"/>
            </w:pPr>
            <w:r>
              <w:t>增加企业个数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跨境电商企业入驻率</w:t>
            </w:r>
          </w:p>
        </w:tc>
        <w:tc>
          <w:tcPr>
            <w:tcW w:w="2835" w:type="dxa"/>
            <w:vAlign w:val="center"/>
          </w:tcPr>
          <w:p>
            <w:pPr>
              <w:pStyle w:val="28"/>
            </w:pPr>
            <w:r>
              <w:t>全年跨境电商园区企业入驻率</w:t>
            </w:r>
          </w:p>
        </w:tc>
        <w:tc>
          <w:tcPr>
            <w:tcW w:w="2551" w:type="dxa"/>
            <w:vAlign w:val="center"/>
          </w:tcPr>
          <w:p>
            <w:pPr>
              <w:pStyle w:val="28"/>
            </w:pPr>
            <w:r>
              <w:t>≥85跨境电商园区入驻率</w:t>
            </w:r>
          </w:p>
        </w:tc>
        <w:tc>
          <w:tcPr>
            <w:tcW w:w="2268" w:type="dxa"/>
            <w:vAlign w:val="center"/>
          </w:tcPr>
          <w:p>
            <w:pPr>
              <w:pStyle w:val="28"/>
            </w:pPr>
            <w:r>
              <w:t>趋势估计</w:t>
            </w:r>
          </w:p>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上级安排工作的完成情况</w:t>
            </w:r>
          </w:p>
        </w:tc>
        <w:tc>
          <w:tcPr>
            <w:tcW w:w="2551" w:type="dxa"/>
            <w:vAlign w:val="center"/>
          </w:tcPr>
          <w:p>
            <w:pPr>
              <w:pStyle w:val="28"/>
            </w:pPr>
            <w:r>
              <w:t>≥95按期完成率</w:t>
            </w:r>
          </w:p>
        </w:tc>
        <w:tc>
          <w:tcPr>
            <w:tcW w:w="2268" w:type="dxa"/>
            <w:vAlign w:val="center"/>
          </w:tcPr>
          <w:p>
            <w:pPr>
              <w:pStyle w:val="28"/>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跨境电商建设支出</w:t>
            </w:r>
          </w:p>
        </w:tc>
        <w:tc>
          <w:tcPr>
            <w:tcW w:w="2835" w:type="dxa"/>
            <w:vAlign w:val="center"/>
          </w:tcPr>
          <w:p>
            <w:pPr>
              <w:pStyle w:val="28"/>
            </w:pPr>
            <w:r>
              <w:t>按预算严控跨境电商建设支出</w:t>
            </w:r>
          </w:p>
        </w:tc>
        <w:tc>
          <w:tcPr>
            <w:tcW w:w="2551" w:type="dxa"/>
            <w:vAlign w:val="center"/>
          </w:tcPr>
          <w:p>
            <w:pPr>
              <w:pStyle w:val="28"/>
            </w:pPr>
            <w:r>
              <w:t>100严控预算</w:t>
            </w:r>
          </w:p>
        </w:tc>
        <w:tc>
          <w:tcPr>
            <w:tcW w:w="2268" w:type="dxa"/>
            <w:vAlign w:val="center"/>
          </w:tcPr>
          <w:p>
            <w:pPr>
              <w:pStyle w:val="28"/>
            </w:pPr>
            <w:r>
              <w:t>严控预算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对本地企业带来经济效果</w:t>
            </w:r>
          </w:p>
        </w:tc>
        <w:tc>
          <w:tcPr>
            <w:tcW w:w="2835" w:type="dxa"/>
            <w:vAlign w:val="center"/>
          </w:tcPr>
          <w:p>
            <w:pPr>
              <w:pStyle w:val="28"/>
            </w:pPr>
            <w:r>
              <w:t>使本地经济稳定发展</w:t>
            </w:r>
          </w:p>
        </w:tc>
        <w:tc>
          <w:tcPr>
            <w:tcW w:w="2551" w:type="dxa"/>
            <w:vAlign w:val="center"/>
          </w:tcPr>
          <w:p>
            <w:pPr>
              <w:pStyle w:val="28"/>
            </w:pPr>
            <w:r>
              <w:t>≥10预期增长率</w:t>
            </w:r>
          </w:p>
        </w:tc>
        <w:tc>
          <w:tcPr>
            <w:tcW w:w="2268" w:type="dxa"/>
            <w:vAlign w:val="center"/>
          </w:tcPr>
          <w:p>
            <w:pPr>
              <w:pStyle w:val="28"/>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增加外贸新业态经营模式</w:t>
            </w:r>
          </w:p>
        </w:tc>
        <w:tc>
          <w:tcPr>
            <w:tcW w:w="2835" w:type="dxa"/>
            <w:vAlign w:val="center"/>
          </w:tcPr>
          <w:p>
            <w:pPr>
              <w:pStyle w:val="28"/>
            </w:pPr>
            <w:r>
              <w:t>让外贸新业态影响企业经营思维，改善经营模式</w:t>
            </w:r>
          </w:p>
        </w:tc>
        <w:tc>
          <w:tcPr>
            <w:tcW w:w="2551" w:type="dxa"/>
            <w:vAlign w:val="center"/>
          </w:tcPr>
          <w:p>
            <w:pPr>
              <w:pStyle w:val="28"/>
            </w:pPr>
            <w:r>
              <w:t>≥2企业改善经营思维数量</w:t>
            </w:r>
          </w:p>
        </w:tc>
        <w:tc>
          <w:tcPr>
            <w:tcW w:w="2268" w:type="dxa"/>
            <w:vAlign w:val="center"/>
          </w:tcPr>
          <w:p>
            <w:pPr>
              <w:pStyle w:val="28"/>
            </w:pPr>
            <w:r>
              <w:t>企业竞争力持续提高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6、名校英才入冀房租补助专项绩效目标表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rPr>
                <w:rFonts w:hint="eastAsia" w:eastAsiaTheme="minorEastAsia"/>
                <w:lang w:eastAsia="zh-CN"/>
              </w:rPr>
            </w:pPr>
            <w:r>
              <w:t>1.</w:t>
            </w:r>
            <w:r>
              <w:rPr>
                <w:rFonts w:hint="eastAsia" w:ascii="宋体" w:hAnsi="宋体" w:eastAsia="宋体" w:cs="宋体"/>
              </w:rPr>
              <w:t xml:space="preserve"> </w:t>
            </w:r>
            <w:r>
              <w:rPr>
                <w:rFonts w:hint="eastAsia" w:ascii="宋体" w:hAnsi="宋体" w:eastAsia="宋体" w:cs="宋体"/>
                <w:lang w:eastAsia="zh-CN"/>
              </w:rPr>
              <w:t>激励</w:t>
            </w:r>
            <w:r>
              <w:rPr>
                <w:rFonts w:hint="eastAsia"/>
              </w:rPr>
              <w:t>名校英才</w:t>
            </w:r>
            <w:r>
              <w:rPr>
                <w:rFonts w:hint="eastAsia" w:asciiTheme="minorEastAsia" w:hAnsiTheme="minorEastAsia" w:eastAsiaTheme="minorEastAsia"/>
                <w:lang w:eastAsia="zh-CN"/>
              </w:rPr>
              <w:t>发挥才能</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发放房补人数</w:t>
            </w:r>
          </w:p>
        </w:tc>
        <w:tc>
          <w:tcPr>
            <w:tcW w:w="2835" w:type="dxa"/>
            <w:vAlign w:val="center"/>
          </w:tcPr>
          <w:p>
            <w:pPr>
              <w:pStyle w:val="28"/>
            </w:pPr>
            <w:r>
              <w:t>发放房补人数</w:t>
            </w:r>
          </w:p>
        </w:tc>
        <w:tc>
          <w:tcPr>
            <w:tcW w:w="2551" w:type="dxa"/>
            <w:vAlign w:val="center"/>
          </w:tcPr>
          <w:p>
            <w:pPr>
              <w:pStyle w:val="28"/>
            </w:pPr>
            <w:r>
              <w:t>1发放房补人数</w:t>
            </w:r>
          </w:p>
        </w:tc>
        <w:tc>
          <w:tcPr>
            <w:tcW w:w="2268" w:type="dxa"/>
            <w:vAlign w:val="center"/>
          </w:tcPr>
          <w:p>
            <w:pPr>
              <w:pStyle w:val="28"/>
            </w:pPr>
            <w:r>
              <w:t>发放房补人数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发放完成率</w:t>
            </w:r>
          </w:p>
        </w:tc>
        <w:tc>
          <w:tcPr>
            <w:tcW w:w="2551" w:type="dxa"/>
            <w:vAlign w:val="center"/>
          </w:tcPr>
          <w:p>
            <w:pPr>
              <w:pStyle w:val="28"/>
            </w:pPr>
            <w:r>
              <w:t>100发放完成率</w:t>
            </w:r>
          </w:p>
        </w:tc>
        <w:tc>
          <w:tcPr>
            <w:tcW w:w="2268" w:type="dxa"/>
            <w:vAlign w:val="center"/>
          </w:tcPr>
          <w:p>
            <w:pPr>
              <w:pStyle w:val="28"/>
            </w:pPr>
            <w:r>
              <w:t>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按时发放</w:t>
            </w:r>
          </w:p>
        </w:tc>
        <w:tc>
          <w:tcPr>
            <w:tcW w:w="2835" w:type="dxa"/>
            <w:vAlign w:val="center"/>
          </w:tcPr>
          <w:p>
            <w:pPr>
              <w:pStyle w:val="28"/>
            </w:pPr>
            <w:r>
              <w:t>按时发放</w:t>
            </w:r>
          </w:p>
        </w:tc>
        <w:tc>
          <w:tcPr>
            <w:tcW w:w="2551" w:type="dxa"/>
            <w:vAlign w:val="center"/>
          </w:tcPr>
          <w:p>
            <w:pPr>
              <w:pStyle w:val="28"/>
            </w:pPr>
            <w:r>
              <w:t>100按时发放</w:t>
            </w:r>
          </w:p>
        </w:tc>
        <w:tc>
          <w:tcPr>
            <w:tcW w:w="2268" w:type="dxa"/>
            <w:vAlign w:val="center"/>
          </w:tcPr>
          <w:p>
            <w:pPr>
              <w:pStyle w:val="28"/>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经费预算</w:t>
            </w:r>
          </w:p>
        </w:tc>
        <w:tc>
          <w:tcPr>
            <w:tcW w:w="2835" w:type="dxa"/>
            <w:vAlign w:val="center"/>
          </w:tcPr>
          <w:p>
            <w:pPr>
              <w:pStyle w:val="28"/>
            </w:pPr>
            <w:r>
              <w:t>按应发数额发放</w:t>
            </w:r>
          </w:p>
        </w:tc>
        <w:tc>
          <w:tcPr>
            <w:tcW w:w="2551" w:type="dxa"/>
            <w:vAlign w:val="center"/>
          </w:tcPr>
          <w:p>
            <w:pPr>
              <w:pStyle w:val="28"/>
            </w:pPr>
            <w:r>
              <w:t>100按应发数额发放</w:t>
            </w:r>
          </w:p>
        </w:tc>
        <w:tc>
          <w:tcPr>
            <w:tcW w:w="2268" w:type="dxa"/>
            <w:vAlign w:val="center"/>
          </w:tcPr>
          <w:p>
            <w:pPr>
              <w:pStyle w:val="28"/>
            </w:pPr>
            <w:r>
              <w:t>按应发数额发放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提升工作效率</w:t>
            </w:r>
          </w:p>
        </w:tc>
        <w:tc>
          <w:tcPr>
            <w:tcW w:w="2835" w:type="dxa"/>
            <w:vAlign w:val="center"/>
          </w:tcPr>
          <w:p>
            <w:pPr>
              <w:pStyle w:val="28"/>
            </w:pPr>
            <w:r>
              <w:t>提升工作效率</w:t>
            </w:r>
          </w:p>
        </w:tc>
        <w:tc>
          <w:tcPr>
            <w:tcW w:w="2551" w:type="dxa"/>
            <w:vAlign w:val="center"/>
          </w:tcPr>
          <w:p>
            <w:pPr>
              <w:pStyle w:val="28"/>
            </w:pPr>
            <w:r>
              <w:t>≥90提升工作效率</w:t>
            </w:r>
          </w:p>
        </w:tc>
        <w:tc>
          <w:tcPr>
            <w:tcW w:w="2268" w:type="dxa"/>
            <w:vAlign w:val="center"/>
          </w:tcPr>
          <w:p>
            <w:pPr>
              <w:pStyle w:val="28"/>
            </w:pPr>
            <w:r>
              <w:t>提升工作效率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稳定工作情绪</w:t>
            </w:r>
          </w:p>
        </w:tc>
        <w:tc>
          <w:tcPr>
            <w:tcW w:w="2835" w:type="dxa"/>
            <w:vAlign w:val="center"/>
          </w:tcPr>
          <w:p>
            <w:pPr>
              <w:pStyle w:val="28"/>
            </w:pPr>
            <w:r>
              <w:t>稳定职工工作情绪</w:t>
            </w:r>
          </w:p>
        </w:tc>
        <w:tc>
          <w:tcPr>
            <w:tcW w:w="2551" w:type="dxa"/>
            <w:vAlign w:val="center"/>
          </w:tcPr>
          <w:p>
            <w:pPr>
              <w:pStyle w:val="28"/>
            </w:pPr>
            <w:r>
              <w:t>≥95稳定职工工作情绪</w:t>
            </w:r>
          </w:p>
        </w:tc>
        <w:tc>
          <w:tcPr>
            <w:tcW w:w="2268" w:type="dxa"/>
            <w:vAlign w:val="center"/>
          </w:tcPr>
          <w:p>
            <w:pPr>
              <w:pStyle w:val="28"/>
            </w:pPr>
            <w:r>
              <w:t>稳定职工工作情绪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激励人才充分发挥才能</w:t>
            </w:r>
          </w:p>
        </w:tc>
        <w:tc>
          <w:tcPr>
            <w:tcW w:w="2835" w:type="dxa"/>
            <w:vAlign w:val="center"/>
          </w:tcPr>
          <w:p>
            <w:pPr>
              <w:pStyle w:val="28"/>
            </w:pPr>
            <w:r>
              <w:t>激励人才充分发挥才能</w:t>
            </w:r>
          </w:p>
        </w:tc>
        <w:tc>
          <w:tcPr>
            <w:tcW w:w="2551" w:type="dxa"/>
            <w:vAlign w:val="center"/>
          </w:tcPr>
          <w:p>
            <w:pPr>
              <w:pStyle w:val="28"/>
            </w:pPr>
            <w:r>
              <w:t>≥90激励人才充分发挥才能</w:t>
            </w:r>
          </w:p>
        </w:tc>
        <w:tc>
          <w:tcPr>
            <w:tcW w:w="2268" w:type="dxa"/>
            <w:vAlign w:val="center"/>
          </w:tcPr>
          <w:p>
            <w:pPr>
              <w:pStyle w:val="28"/>
            </w:pPr>
            <w:r>
              <w:t>激励人才充分发挥才能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100服务对象满意度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7、上年结转/冀财建【2021】251号/省级/2021年第二批省外贸发展专项资金绩效目标表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Theme="minorEastAsia" w:hAnsiTheme="minorEastAsia" w:eastAsiaTheme="minorEastAsia"/>
                <w:lang w:eastAsia="zh-CN"/>
              </w:rPr>
              <w:t>奖补达标外贸企业，促进</w:t>
            </w:r>
            <w:r>
              <w:t>外贸高质量发展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奖补外贸出口企业数量</w:t>
            </w:r>
          </w:p>
        </w:tc>
        <w:tc>
          <w:tcPr>
            <w:tcW w:w="2835" w:type="dxa"/>
            <w:vAlign w:val="center"/>
          </w:tcPr>
          <w:p>
            <w:pPr>
              <w:pStyle w:val="28"/>
            </w:pPr>
            <w:r>
              <w:t>奖补外贸出口企业数量</w:t>
            </w:r>
          </w:p>
        </w:tc>
        <w:tc>
          <w:tcPr>
            <w:tcW w:w="2551" w:type="dxa"/>
            <w:vAlign w:val="center"/>
          </w:tcPr>
          <w:p>
            <w:pPr>
              <w:pStyle w:val="28"/>
            </w:pPr>
            <w:r>
              <w:t>2奖补外贸出口企业数量</w:t>
            </w:r>
          </w:p>
        </w:tc>
        <w:tc>
          <w:tcPr>
            <w:tcW w:w="2268" w:type="dxa"/>
            <w:vAlign w:val="center"/>
          </w:tcPr>
          <w:p>
            <w:pPr>
              <w:pStyle w:val="28"/>
            </w:pPr>
            <w:r>
              <w:t>奖补外贸出口企业数量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资金使用合规性</w:t>
            </w:r>
          </w:p>
        </w:tc>
        <w:tc>
          <w:tcPr>
            <w:tcW w:w="2835" w:type="dxa"/>
            <w:vAlign w:val="center"/>
          </w:tcPr>
          <w:p>
            <w:pPr>
              <w:pStyle w:val="28"/>
            </w:pPr>
            <w:r>
              <w:t>资金使用合规性</w:t>
            </w:r>
          </w:p>
        </w:tc>
        <w:tc>
          <w:tcPr>
            <w:tcW w:w="2551" w:type="dxa"/>
            <w:vAlign w:val="center"/>
          </w:tcPr>
          <w:p>
            <w:pPr>
              <w:pStyle w:val="28"/>
            </w:pPr>
            <w:r>
              <w:t>100资金使用合规率</w:t>
            </w:r>
          </w:p>
        </w:tc>
        <w:tc>
          <w:tcPr>
            <w:tcW w:w="2268" w:type="dxa"/>
            <w:vAlign w:val="center"/>
          </w:tcPr>
          <w:p>
            <w:pPr>
              <w:pStyle w:val="28"/>
            </w:pPr>
            <w:r>
              <w:t>资金使用合规性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预算资金执行率</w:t>
            </w:r>
          </w:p>
        </w:tc>
        <w:tc>
          <w:tcPr>
            <w:tcW w:w="2835" w:type="dxa"/>
            <w:vAlign w:val="center"/>
          </w:tcPr>
          <w:p>
            <w:pPr>
              <w:pStyle w:val="28"/>
            </w:pPr>
            <w:r>
              <w:t>预算资金执行率</w:t>
            </w:r>
          </w:p>
        </w:tc>
        <w:tc>
          <w:tcPr>
            <w:tcW w:w="2551" w:type="dxa"/>
            <w:vAlign w:val="center"/>
          </w:tcPr>
          <w:p>
            <w:pPr>
              <w:pStyle w:val="28"/>
            </w:pPr>
            <w:r>
              <w:t>100预算资金执行率</w:t>
            </w:r>
          </w:p>
        </w:tc>
        <w:tc>
          <w:tcPr>
            <w:tcW w:w="2268" w:type="dxa"/>
            <w:vAlign w:val="center"/>
          </w:tcPr>
          <w:p>
            <w:pPr>
              <w:pStyle w:val="28"/>
            </w:pPr>
            <w:r>
              <w:t>预算资金执行率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扶持资金总额</w:t>
            </w:r>
          </w:p>
        </w:tc>
        <w:tc>
          <w:tcPr>
            <w:tcW w:w="2835" w:type="dxa"/>
            <w:vAlign w:val="center"/>
          </w:tcPr>
          <w:p>
            <w:pPr>
              <w:pStyle w:val="28"/>
            </w:pPr>
            <w:r>
              <w:t>扶持资金总额</w:t>
            </w:r>
          </w:p>
        </w:tc>
        <w:tc>
          <w:tcPr>
            <w:tcW w:w="2551" w:type="dxa"/>
            <w:vAlign w:val="center"/>
          </w:tcPr>
          <w:p>
            <w:pPr>
              <w:pStyle w:val="28"/>
            </w:pPr>
            <w:r>
              <w:t>15万元</w:t>
            </w:r>
          </w:p>
        </w:tc>
        <w:tc>
          <w:tcPr>
            <w:tcW w:w="2268" w:type="dxa"/>
            <w:vAlign w:val="center"/>
          </w:tcPr>
          <w:p>
            <w:pPr>
              <w:pStyle w:val="28"/>
            </w:pPr>
            <w:r>
              <w:t>扶持资金总额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外贸高质量发展</w:t>
            </w:r>
          </w:p>
        </w:tc>
        <w:tc>
          <w:tcPr>
            <w:tcW w:w="2835" w:type="dxa"/>
            <w:vAlign w:val="center"/>
          </w:tcPr>
          <w:p>
            <w:pPr>
              <w:pStyle w:val="28"/>
            </w:pPr>
            <w:r>
              <w:t>外贸高质量发展</w:t>
            </w:r>
          </w:p>
        </w:tc>
        <w:tc>
          <w:tcPr>
            <w:tcW w:w="2551" w:type="dxa"/>
            <w:vAlign w:val="center"/>
          </w:tcPr>
          <w:p>
            <w:pPr>
              <w:pStyle w:val="28"/>
            </w:pPr>
            <w:r>
              <w:t>≥90外贸高质量发展率</w:t>
            </w:r>
          </w:p>
        </w:tc>
        <w:tc>
          <w:tcPr>
            <w:tcW w:w="2268" w:type="dxa"/>
            <w:vAlign w:val="center"/>
          </w:tcPr>
          <w:p>
            <w:pPr>
              <w:pStyle w:val="28"/>
            </w:pPr>
            <w:r>
              <w:t>外贸高质量发展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获得奖补企业满意度</w:t>
            </w:r>
          </w:p>
        </w:tc>
        <w:tc>
          <w:tcPr>
            <w:tcW w:w="2835" w:type="dxa"/>
            <w:vAlign w:val="center"/>
          </w:tcPr>
          <w:p>
            <w:pPr>
              <w:pStyle w:val="28"/>
            </w:pPr>
            <w:r>
              <w:t>获得奖补企业满意度</w:t>
            </w:r>
          </w:p>
        </w:tc>
        <w:tc>
          <w:tcPr>
            <w:tcW w:w="2551" w:type="dxa"/>
            <w:vAlign w:val="center"/>
          </w:tcPr>
          <w:p>
            <w:pPr>
              <w:pStyle w:val="28"/>
            </w:pPr>
            <w:r>
              <w:t>≥90获得奖补企业满意度</w:t>
            </w:r>
          </w:p>
        </w:tc>
        <w:tc>
          <w:tcPr>
            <w:tcW w:w="2268" w:type="dxa"/>
            <w:vAlign w:val="center"/>
          </w:tcPr>
          <w:p>
            <w:pPr>
              <w:pStyle w:val="28"/>
            </w:pPr>
            <w:r>
              <w:t>获得奖补企业满意度</w:t>
            </w:r>
          </w:p>
        </w:tc>
      </w:tr>
    </w:tbl>
    <w:p>
      <w:pPr>
        <w:pStyle w:val="26"/>
      </w:pPr>
    </w:p>
    <w:p>
      <w:pPr>
        <w:pStyle w:val="26"/>
        <w:ind w:firstLine="560"/>
      </w:pPr>
      <w:r>
        <w:rPr>
          <w:rFonts w:ascii="方正仿宋_GBK" w:hAnsi="方正仿宋_GBK" w:eastAsia="方正仿宋_GBK" w:cs="方正仿宋_GBK"/>
          <w:b/>
          <w:color w:val="000000"/>
          <w:sz w:val="28"/>
        </w:rPr>
        <w:t>8、上年结转/冀财建【2021】95号/中央/2021年中央服务业发展资金/电子商务示范县绩效目标表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Theme="minorEastAsia" w:hAnsiTheme="minorEastAsia" w:eastAsiaTheme="minorEastAsia"/>
                <w:lang w:eastAsia="zh-CN"/>
              </w:rPr>
              <w:t>打造电子商务示范县促进线上交易带动经济增长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农村电商服务在行政村服务覆盖率</w:t>
            </w:r>
          </w:p>
        </w:tc>
        <w:tc>
          <w:tcPr>
            <w:tcW w:w="2835" w:type="dxa"/>
            <w:vAlign w:val="center"/>
          </w:tcPr>
          <w:p>
            <w:pPr>
              <w:pStyle w:val="28"/>
            </w:pPr>
            <w:r>
              <w:t>农村电商服务在行政村服务覆盖率</w:t>
            </w:r>
          </w:p>
        </w:tc>
        <w:tc>
          <w:tcPr>
            <w:tcW w:w="2551" w:type="dxa"/>
            <w:vAlign w:val="center"/>
          </w:tcPr>
          <w:p>
            <w:pPr>
              <w:pStyle w:val="28"/>
            </w:pPr>
            <w:r>
              <w:t>≥50个</w:t>
            </w:r>
          </w:p>
        </w:tc>
        <w:tc>
          <w:tcPr>
            <w:tcW w:w="2268" w:type="dxa"/>
            <w:vAlign w:val="center"/>
          </w:tcPr>
          <w:p>
            <w:pPr>
              <w:pStyle w:val="28"/>
            </w:pPr>
            <w:r>
              <w:t>农村电商服务是否达到要求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完善企业标准，提升农产品标准化程度</w:t>
            </w:r>
          </w:p>
        </w:tc>
        <w:tc>
          <w:tcPr>
            <w:tcW w:w="2835" w:type="dxa"/>
            <w:vAlign w:val="center"/>
          </w:tcPr>
          <w:p>
            <w:pPr>
              <w:pStyle w:val="28"/>
            </w:pPr>
            <w:r>
              <w:t>完善企业标准，提升农产品标准化程度</w:t>
            </w:r>
          </w:p>
        </w:tc>
        <w:tc>
          <w:tcPr>
            <w:tcW w:w="2551" w:type="dxa"/>
            <w:vAlign w:val="center"/>
          </w:tcPr>
          <w:p>
            <w:pPr>
              <w:pStyle w:val="28"/>
            </w:pPr>
            <w:r>
              <w:t>≥1个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开展电商培训</w:t>
            </w:r>
          </w:p>
        </w:tc>
        <w:tc>
          <w:tcPr>
            <w:tcW w:w="2835" w:type="dxa"/>
            <w:vAlign w:val="center"/>
          </w:tcPr>
          <w:p>
            <w:pPr>
              <w:pStyle w:val="28"/>
            </w:pPr>
            <w:r>
              <w:t>开展电商培训</w:t>
            </w:r>
          </w:p>
        </w:tc>
        <w:tc>
          <w:tcPr>
            <w:tcW w:w="2551" w:type="dxa"/>
            <w:vAlign w:val="center"/>
          </w:tcPr>
          <w:p>
            <w:pPr>
              <w:pStyle w:val="28"/>
            </w:pPr>
            <w:r>
              <w:t>≥3000人</w:t>
            </w:r>
          </w:p>
        </w:tc>
        <w:tc>
          <w:tcPr>
            <w:tcW w:w="2268" w:type="dxa"/>
            <w:vAlign w:val="center"/>
          </w:tcPr>
          <w:p>
            <w:pPr>
              <w:pStyle w:val="28"/>
            </w:pPr>
            <w:r>
              <w:t>人数是否达标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w:t>
            </w:r>
          </w:p>
        </w:tc>
        <w:tc>
          <w:tcPr>
            <w:tcW w:w="2835" w:type="dxa"/>
            <w:vAlign w:val="center"/>
          </w:tcPr>
          <w:p>
            <w:pPr>
              <w:pStyle w:val="28"/>
            </w:pPr>
            <w:r>
              <w:t>预算</w:t>
            </w:r>
          </w:p>
        </w:tc>
        <w:tc>
          <w:tcPr>
            <w:tcW w:w="2551" w:type="dxa"/>
            <w:vAlign w:val="center"/>
          </w:tcPr>
          <w:p>
            <w:pPr>
              <w:pStyle w:val="28"/>
            </w:pPr>
            <w:r>
              <w:t>100执行率</w:t>
            </w:r>
          </w:p>
        </w:tc>
        <w:tc>
          <w:tcPr>
            <w:tcW w:w="2268" w:type="dxa"/>
            <w:vAlign w:val="center"/>
          </w:tcPr>
          <w:p>
            <w:pPr>
              <w:pStyle w:val="28"/>
            </w:pPr>
            <w: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农产品网络零售额同比增速</w:t>
            </w:r>
          </w:p>
        </w:tc>
        <w:tc>
          <w:tcPr>
            <w:tcW w:w="2835" w:type="dxa"/>
            <w:vAlign w:val="center"/>
          </w:tcPr>
          <w:p>
            <w:pPr>
              <w:pStyle w:val="28"/>
            </w:pPr>
            <w:r>
              <w:t>农产品网络零售额同比增速</w:t>
            </w:r>
          </w:p>
        </w:tc>
        <w:tc>
          <w:tcPr>
            <w:tcW w:w="2551" w:type="dxa"/>
            <w:vAlign w:val="center"/>
          </w:tcPr>
          <w:p>
            <w:pPr>
              <w:pStyle w:val="28"/>
            </w:pPr>
            <w:r>
              <w:t>≥10%</w:t>
            </w:r>
          </w:p>
        </w:tc>
        <w:tc>
          <w:tcPr>
            <w:tcW w:w="2268" w:type="dxa"/>
            <w:vAlign w:val="center"/>
          </w:tcPr>
          <w:p>
            <w:pPr>
              <w:pStyle w:val="28"/>
            </w:pPr>
            <w:r>
              <w:t>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促进电商精准帮扶，对接电商企业帮扶项目</w:t>
            </w:r>
          </w:p>
        </w:tc>
        <w:tc>
          <w:tcPr>
            <w:tcW w:w="2835" w:type="dxa"/>
            <w:vAlign w:val="center"/>
          </w:tcPr>
          <w:p>
            <w:pPr>
              <w:pStyle w:val="28"/>
            </w:pPr>
            <w:r>
              <w:t>促进电商精准帮扶对电商企业帮扶项目</w:t>
            </w:r>
          </w:p>
        </w:tc>
        <w:tc>
          <w:tcPr>
            <w:tcW w:w="2551" w:type="dxa"/>
            <w:vAlign w:val="center"/>
          </w:tcPr>
          <w:p>
            <w:pPr>
              <w:pStyle w:val="28"/>
            </w:pPr>
            <w:r>
              <w:t>≥2个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农村网络零售额同比增速</w:t>
            </w:r>
          </w:p>
        </w:tc>
        <w:tc>
          <w:tcPr>
            <w:tcW w:w="2835" w:type="dxa"/>
            <w:vAlign w:val="center"/>
          </w:tcPr>
          <w:p>
            <w:pPr>
              <w:pStyle w:val="28"/>
            </w:pPr>
            <w:r>
              <w:t>农村网络零售额同比增速</w:t>
            </w:r>
          </w:p>
        </w:tc>
        <w:tc>
          <w:tcPr>
            <w:tcW w:w="2551" w:type="dxa"/>
            <w:vAlign w:val="center"/>
          </w:tcPr>
          <w:p>
            <w:pPr>
              <w:pStyle w:val="28"/>
            </w:pPr>
            <w:r>
              <w:t>≥10%</w:t>
            </w:r>
          </w:p>
        </w:tc>
        <w:tc>
          <w:tcPr>
            <w:tcW w:w="2268" w:type="dxa"/>
            <w:vAlign w:val="center"/>
          </w:tcPr>
          <w:p>
            <w:pPr>
              <w:pStyle w:val="28"/>
            </w:pPr>
            <w:r>
              <w:t>增速是否达标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提升农产品品牌化程度</w:t>
            </w:r>
          </w:p>
        </w:tc>
        <w:tc>
          <w:tcPr>
            <w:tcW w:w="2835" w:type="dxa"/>
            <w:vAlign w:val="center"/>
          </w:tcPr>
          <w:p>
            <w:pPr>
              <w:pStyle w:val="28"/>
            </w:pPr>
            <w:r>
              <w:t>提升农产品品牌化程度</w:t>
            </w:r>
          </w:p>
        </w:tc>
        <w:tc>
          <w:tcPr>
            <w:tcW w:w="2551" w:type="dxa"/>
            <w:vAlign w:val="center"/>
          </w:tcPr>
          <w:p>
            <w:pPr>
              <w:pStyle w:val="28"/>
            </w:pPr>
            <w:r>
              <w:t>≥1个</w:t>
            </w:r>
          </w:p>
        </w:tc>
        <w:tc>
          <w:tcPr>
            <w:tcW w:w="2268" w:type="dxa"/>
            <w:vAlign w:val="center"/>
          </w:tcPr>
          <w:p>
            <w:pPr>
              <w:pStyle w:val="28"/>
            </w:pPr>
            <w:r>
              <w:t>能否提升产品品牌化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100满意度</w:t>
            </w:r>
          </w:p>
        </w:tc>
        <w:tc>
          <w:tcPr>
            <w:tcW w:w="2268" w:type="dxa"/>
            <w:vAlign w:val="center"/>
          </w:tcPr>
          <w:p>
            <w:pPr>
              <w:pStyle w:val="28"/>
            </w:pPr>
            <w:r>
              <w:t>服务企业是否满意</w:t>
            </w:r>
          </w:p>
        </w:tc>
      </w:tr>
    </w:tbl>
    <w:p>
      <w:pPr>
        <w:pStyle w:val="26"/>
      </w:pPr>
    </w:p>
    <w:p>
      <w:pPr>
        <w:pStyle w:val="26"/>
        <w:ind w:firstLine="560"/>
      </w:pPr>
      <w:r>
        <w:rPr>
          <w:rFonts w:ascii="方正仿宋_GBK" w:hAnsi="方正仿宋_GBK" w:eastAsia="方正仿宋_GBK" w:cs="方正仿宋_GBK"/>
          <w:b/>
          <w:color w:val="000000"/>
          <w:sz w:val="28"/>
        </w:rPr>
        <w:t>9、上年结转/邢财建【2021】106号/市级/2021年第三批省商贸流通发展专项资金绩效目标表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 推动在岸外包、离岸外包协调发展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支持企业数量</w:t>
            </w:r>
          </w:p>
        </w:tc>
        <w:tc>
          <w:tcPr>
            <w:tcW w:w="2835" w:type="dxa"/>
            <w:vAlign w:val="center"/>
          </w:tcPr>
          <w:p>
            <w:pPr>
              <w:pStyle w:val="28"/>
            </w:pPr>
            <w:r>
              <w:t>支持企业数量</w:t>
            </w:r>
          </w:p>
        </w:tc>
        <w:tc>
          <w:tcPr>
            <w:tcW w:w="2551" w:type="dxa"/>
            <w:vAlign w:val="center"/>
          </w:tcPr>
          <w:p>
            <w:pPr>
              <w:pStyle w:val="28"/>
            </w:pPr>
            <w:r>
              <w:t>1支持企业数量</w:t>
            </w:r>
          </w:p>
        </w:tc>
        <w:tc>
          <w:tcPr>
            <w:tcW w:w="2268" w:type="dxa"/>
            <w:vAlign w:val="center"/>
          </w:tcPr>
          <w:p>
            <w:pPr>
              <w:pStyle w:val="28"/>
            </w:pPr>
            <w:r>
              <w:t>支持企业数量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推动在岸外包、离岸外包协调发展</w:t>
            </w:r>
          </w:p>
        </w:tc>
        <w:tc>
          <w:tcPr>
            <w:tcW w:w="2835" w:type="dxa"/>
            <w:vAlign w:val="center"/>
          </w:tcPr>
          <w:p>
            <w:pPr>
              <w:pStyle w:val="28"/>
            </w:pPr>
            <w:r>
              <w:t>推动在岸外包、离岸外包协调发展</w:t>
            </w:r>
          </w:p>
        </w:tc>
        <w:tc>
          <w:tcPr>
            <w:tcW w:w="2551" w:type="dxa"/>
            <w:vAlign w:val="center"/>
          </w:tcPr>
          <w:p>
            <w:pPr>
              <w:pStyle w:val="28"/>
            </w:pPr>
            <w:r>
              <w:t>≥90推动在岸外包、离岸外包协调发展</w:t>
            </w:r>
          </w:p>
        </w:tc>
        <w:tc>
          <w:tcPr>
            <w:tcW w:w="2268" w:type="dxa"/>
            <w:vAlign w:val="center"/>
          </w:tcPr>
          <w:p>
            <w:pPr>
              <w:pStyle w:val="28"/>
            </w:pPr>
            <w:r>
              <w:t>推动在岸外包、离岸外包协调发展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完成时限</w:t>
            </w:r>
          </w:p>
        </w:tc>
        <w:tc>
          <w:tcPr>
            <w:tcW w:w="2835" w:type="dxa"/>
            <w:vAlign w:val="center"/>
          </w:tcPr>
          <w:p>
            <w:pPr>
              <w:pStyle w:val="28"/>
            </w:pPr>
            <w:r>
              <w:t>完成时限</w:t>
            </w:r>
          </w:p>
        </w:tc>
        <w:tc>
          <w:tcPr>
            <w:tcW w:w="2551" w:type="dxa"/>
            <w:vAlign w:val="center"/>
          </w:tcPr>
          <w:p>
            <w:pPr>
              <w:pStyle w:val="28"/>
            </w:pPr>
            <w:r>
              <w:t>100按期完成</w:t>
            </w:r>
          </w:p>
        </w:tc>
        <w:tc>
          <w:tcPr>
            <w:tcW w:w="2268" w:type="dxa"/>
            <w:vAlign w:val="center"/>
          </w:tcPr>
          <w:p>
            <w:pPr>
              <w:pStyle w:val="28"/>
            </w:pPr>
            <w:r>
              <w:t>实际完成时间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 xml:space="preserve"> 奖励金额</w:t>
            </w:r>
          </w:p>
        </w:tc>
        <w:tc>
          <w:tcPr>
            <w:tcW w:w="2835" w:type="dxa"/>
            <w:vAlign w:val="center"/>
          </w:tcPr>
          <w:p>
            <w:pPr>
              <w:pStyle w:val="28"/>
            </w:pPr>
            <w:r>
              <w:t xml:space="preserve"> 奖励金额</w:t>
            </w:r>
          </w:p>
        </w:tc>
        <w:tc>
          <w:tcPr>
            <w:tcW w:w="2551" w:type="dxa"/>
            <w:vAlign w:val="center"/>
          </w:tcPr>
          <w:p>
            <w:pPr>
              <w:pStyle w:val="28"/>
            </w:pPr>
            <w:r>
              <w:t>5.99 奖励金额</w:t>
            </w:r>
          </w:p>
        </w:tc>
        <w:tc>
          <w:tcPr>
            <w:tcW w:w="2268" w:type="dxa"/>
            <w:vAlign w:val="center"/>
          </w:tcPr>
          <w:p>
            <w:pPr>
              <w:pStyle w:val="28"/>
            </w:pPr>
            <w:r>
              <w:t xml:space="preserve"> 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全省服务外包执行额提升</w:t>
            </w:r>
          </w:p>
        </w:tc>
        <w:tc>
          <w:tcPr>
            <w:tcW w:w="2835" w:type="dxa"/>
            <w:vAlign w:val="center"/>
          </w:tcPr>
          <w:p>
            <w:pPr>
              <w:pStyle w:val="28"/>
            </w:pPr>
            <w:r>
              <w:t>服务外包执行额提升</w:t>
            </w:r>
          </w:p>
        </w:tc>
        <w:tc>
          <w:tcPr>
            <w:tcW w:w="2551" w:type="dxa"/>
            <w:vAlign w:val="center"/>
          </w:tcPr>
          <w:p>
            <w:pPr>
              <w:pStyle w:val="28"/>
            </w:pPr>
            <w:r>
              <w:t>≥5服务外包执行额提升率</w:t>
            </w:r>
          </w:p>
        </w:tc>
        <w:tc>
          <w:tcPr>
            <w:tcW w:w="2268" w:type="dxa"/>
            <w:vAlign w:val="center"/>
          </w:tcPr>
          <w:p>
            <w:pPr>
              <w:pStyle w:val="28"/>
            </w:pPr>
            <w:r>
              <w:t>服务外包执行额提升率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≥90企业满意度</w:t>
            </w:r>
          </w:p>
        </w:tc>
        <w:tc>
          <w:tcPr>
            <w:tcW w:w="2268" w:type="dxa"/>
            <w:vAlign w:val="center"/>
          </w:tcPr>
          <w:p>
            <w:pPr>
              <w:pStyle w:val="28"/>
            </w:pPr>
            <w:r>
              <w:t>企业满意度</w:t>
            </w:r>
          </w:p>
        </w:tc>
      </w:tr>
    </w:tbl>
    <w:p>
      <w:pPr>
        <w:pStyle w:val="26"/>
      </w:pPr>
    </w:p>
    <w:p>
      <w:pPr>
        <w:pStyle w:val="26"/>
        <w:ind w:firstLine="560"/>
      </w:pPr>
      <w:r>
        <w:rPr>
          <w:rFonts w:ascii="方正仿宋_GBK" w:hAnsi="方正仿宋_GBK" w:eastAsia="方正仿宋_GBK" w:cs="方正仿宋_GBK"/>
          <w:b/>
          <w:color w:val="000000"/>
          <w:sz w:val="28"/>
        </w:rPr>
        <w:t>10、上年结转/邢财建【2021】58号/市级/外贸发展专项资金绩效目标表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 促进外贸企业发展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奖励企业个数</w:t>
            </w:r>
          </w:p>
        </w:tc>
        <w:tc>
          <w:tcPr>
            <w:tcW w:w="2835" w:type="dxa"/>
            <w:vAlign w:val="center"/>
          </w:tcPr>
          <w:p>
            <w:pPr>
              <w:pStyle w:val="28"/>
            </w:pPr>
            <w:r>
              <w:t>奖励企业个数</w:t>
            </w:r>
          </w:p>
        </w:tc>
        <w:tc>
          <w:tcPr>
            <w:tcW w:w="2551" w:type="dxa"/>
            <w:vAlign w:val="center"/>
          </w:tcPr>
          <w:p>
            <w:pPr>
              <w:pStyle w:val="28"/>
            </w:pPr>
            <w:r>
              <w:t>≥5个</w:t>
            </w:r>
          </w:p>
        </w:tc>
        <w:tc>
          <w:tcPr>
            <w:tcW w:w="2268" w:type="dxa"/>
            <w:vAlign w:val="center"/>
          </w:tcPr>
          <w:p>
            <w:pPr>
              <w:pStyle w:val="28"/>
            </w:pPr>
            <w:r>
              <w:t>是否达到指标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按照分配方案</w:t>
            </w:r>
          </w:p>
        </w:tc>
        <w:tc>
          <w:tcPr>
            <w:tcW w:w="2835" w:type="dxa"/>
            <w:vAlign w:val="center"/>
          </w:tcPr>
          <w:p>
            <w:pPr>
              <w:pStyle w:val="28"/>
            </w:pPr>
            <w:r>
              <w:t>按照分配方案奖励企业</w:t>
            </w:r>
          </w:p>
        </w:tc>
        <w:tc>
          <w:tcPr>
            <w:tcW w:w="2551" w:type="dxa"/>
            <w:vAlign w:val="center"/>
          </w:tcPr>
          <w:p>
            <w:pPr>
              <w:pStyle w:val="28"/>
            </w:pPr>
            <w:r>
              <w:t>≥5个</w:t>
            </w:r>
          </w:p>
        </w:tc>
        <w:tc>
          <w:tcPr>
            <w:tcW w:w="2268" w:type="dxa"/>
            <w:vAlign w:val="center"/>
          </w:tcPr>
          <w:p>
            <w:pPr>
              <w:pStyle w:val="28"/>
            </w:pPr>
            <w:r>
              <w:t>是否按照分配方案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及时发放到企业</w:t>
            </w:r>
          </w:p>
        </w:tc>
        <w:tc>
          <w:tcPr>
            <w:tcW w:w="2835" w:type="dxa"/>
            <w:vAlign w:val="center"/>
          </w:tcPr>
          <w:p>
            <w:pPr>
              <w:pStyle w:val="28"/>
            </w:pPr>
            <w:r>
              <w:t>及时发放到企业</w:t>
            </w:r>
          </w:p>
        </w:tc>
        <w:tc>
          <w:tcPr>
            <w:tcW w:w="2551" w:type="dxa"/>
            <w:vAlign w:val="center"/>
          </w:tcPr>
          <w:p>
            <w:pPr>
              <w:pStyle w:val="28"/>
            </w:pPr>
            <w:r>
              <w:t>100发放率</w:t>
            </w:r>
          </w:p>
        </w:tc>
        <w:tc>
          <w:tcPr>
            <w:tcW w:w="2268" w:type="dxa"/>
            <w:vAlign w:val="center"/>
          </w:tcPr>
          <w:p>
            <w:pPr>
              <w:pStyle w:val="28"/>
            </w:pPr>
            <w:r>
              <w:t>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按照预算数</w:t>
            </w:r>
          </w:p>
        </w:tc>
        <w:tc>
          <w:tcPr>
            <w:tcW w:w="2835" w:type="dxa"/>
            <w:vAlign w:val="center"/>
          </w:tcPr>
          <w:p>
            <w:pPr>
              <w:pStyle w:val="28"/>
            </w:pPr>
            <w:r>
              <w:t>按照预算数奖励企业</w:t>
            </w:r>
          </w:p>
        </w:tc>
        <w:tc>
          <w:tcPr>
            <w:tcW w:w="2551" w:type="dxa"/>
            <w:vAlign w:val="center"/>
          </w:tcPr>
          <w:p>
            <w:pPr>
              <w:pStyle w:val="28"/>
            </w:pPr>
            <w:r>
              <w:t>≥5个</w:t>
            </w:r>
          </w:p>
        </w:tc>
        <w:tc>
          <w:tcPr>
            <w:tcW w:w="2268" w:type="dxa"/>
            <w:vAlign w:val="center"/>
          </w:tcPr>
          <w:p>
            <w:pPr>
              <w:pStyle w:val="28"/>
            </w:pPr>
            <w: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帮助促进外贸发展</w:t>
            </w:r>
          </w:p>
        </w:tc>
        <w:tc>
          <w:tcPr>
            <w:tcW w:w="2835" w:type="dxa"/>
            <w:vAlign w:val="center"/>
          </w:tcPr>
          <w:p>
            <w:pPr>
              <w:pStyle w:val="28"/>
            </w:pPr>
            <w:r>
              <w:t>帮助企业促进外贸发展</w:t>
            </w:r>
          </w:p>
        </w:tc>
        <w:tc>
          <w:tcPr>
            <w:tcW w:w="2551" w:type="dxa"/>
            <w:vAlign w:val="center"/>
          </w:tcPr>
          <w:p>
            <w:pPr>
              <w:pStyle w:val="28"/>
            </w:pPr>
            <w:r>
              <w:t>≥5个</w:t>
            </w:r>
          </w:p>
        </w:tc>
        <w:tc>
          <w:tcPr>
            <w:tcW w:w="2268" w:type="dxa"/>
            <w:vAlign w:val="center"/>
          </w:tcPr>
          <w:p>
            <w:pPr>
              <w:pStyle w:val="28"/>
            </w:pPr>
            <w:r>
              <w:t>是否能帮助企业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奖励企业发放率</w:t>
            </w:r>
          </w:p>
        </w:tc>
        <w:tc>
          <w:tcPr>
            <w:tcW w:w="2835" w:type="dxa"/>
            <w:vAlign w:val="center"/>
          </w:tcPr>
          <w:p>
            <w:pPr>
              <w:pStyle w:val="28"/>
            </w:pPr>
            <w:r>
              <w:t>奖励企业发放率</w:t>
            </w:r>
          </w:p>
        </w:tc>
        <w:tc>
          <w:tcPr>
            <w:tcW w:w="2551" w:type="dxa"/>
            <w:vAlign w:val="center"/>
          </w:tcPr>
          <w:p>
            <w:pPr>
              <w:pStyle w:val="28"/>
            </w:pPr>
            <w:r>
              <w:t>≥95百分比</w:t>
            </w:r>
          </w:p>
        </w:tc>
        <w:tc>
          <w:tcPr>
            <w:tcW w:w="2268" w:type="dxa"/>
            <w:vAlign w:val="center"/>
          </w:tcPr>
          <w:p>
            <w:pPr>
              <w:pStyle w:val="28"/>
            </w:pPr>
            <w:r>
              <w:t>是否达到发放率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促进外贸企业发展</w:t>
            </w:r>
          </w:p>
        </w:tc>
        <w:tc>
          <w:tcPr>
            <w:tcW w:w="2835" w:type="dxa"/>
            <w:vAlign w:val="center"/>
          </w:tcPr>
          <w:p>
            <w:pPr>
              <w:pStyle w:val="28"/>
            </w:pPr>
            <w:r>
              <w:t>促进外贸企业发展</w:t>
            </w:r>
          </w:p>
        </w:tc>
        <w:tc>
          <w:tcPr>
            <w:tcW w:w="2551" w:type="dxa"/>
            <w:vAlign w:val="center"/>
          </w:tcPr>
          <w:p>
            <w:pPr>
              <w:pStyle w:val="28"/>
            </w:pPr>
            <w:r>
              <w:t>≥5个</w:t>
            </w:r>
          </w:p>
        </w:tc>
        <w:tc>
          <w:tcPr>
            <w:tcW w:w="2268" w:type="dxa"/>
            <w:vAlign w:val="center"/>
          </w:tcPr>
          <w:p>
            <w:pPr>
              <w:pStyle w:val="28"/>
            </w:pPr>
            <w:r>
              <w:t>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促进贸易便利化效果提升</w:t>
            </w:r>
          </w:p>
        </w:tc>
        <w:tc>
          <w:tcPr>
            <w:tcW w:w="2835" w:type="dxa"/>
            <w:vAlign w:val="center"/>
          </w:tcPr>
          <w:p>
            <w:pPr>
              <w:pStyle w:val="28"/>
            </w:pPr>
            <w:r>
              <w:t>促进贸易便利化效果提升</w:t>
            </w:r>
          </w:p>
        </w:tc>
        <w:tc>
          <w:tcPr>
            <w:tcW w:w="2551" w:type="dxa"/>
            <w:vAlign w:val="center"/>
          </w:tcPr>
          <w:p>
            <w:pPr>
              <w:pStyle w:val="28"/>
            </w:pPr>
            <w:r>
              <w:t>≥90提升率</w:t>
            </w:r>
          </w:p>
        </w:tc>
        <w:tc>
          <w:tcPr>
            <w:tcW w:w="2268" w:type="dxa"/>
            <w:vAlign w:val="center"/>
          </w:tcPr>
          <w:p>
            <w:pPr>
              <w:pStyle w:val="28"/>
            </w:pPr>
            <w:r>
              <w:t>能否提升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≥95个</w:t>
            </w:r>
          </w:p>
        </w:tc>
        <w:tc>
          <w:tcPr>
            <w:tcW w:w="2268" w:type="dxa"/>
            <w:vAlign w:val="center"/>
          </w:tcPr>
          <w:p>
            <w:pPr>
              <w:pStyle w:val="28"/>
            </w:pPr>
            <w:r>
              <w:t>满意度</w:t>
            </w:r>
          </w:p>
        </w:tc>
      </w:tr>
    </w:tbl>
    <w:p>
      <w:pPr>
        <w:pStyle w:val="26"/>
      </w:pPr>
    </w:p>
    <w:p>
      <w:pPr>
        <w:pStyle w:val="26"/>
        <w:ind w:firstLine="560"/>
      </w:pPr>
      <w:r>
        <w:rPr>
          <w:rFonts w:ascii="方正仿宋_GBK" w:hAnsi="方正仿宋_GBK" w:eastAsia="方正仿宋_GBK" w:cs="方正仿宋_GBK"/>
          <w:b/>
          <w:color w:val="000000"/>
          <w:sz w:val="28"/>
        </w:rPr>
        <w:t>11、退役士兵公益岗位专项绩效目标表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Theme="minorEastAsia" w:hAnsiTheme="minorEastAsia" w:eastAsiaTheme="minorEastAsia"/>
                <w:lang w:eastAsia="zh-CN"/>
              </w:rPr>
              <w:t>按时发放公益岗职工工资社保</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发放退役士兵工资人数</w:t>
            </w:r>
          </w:p>
        </w:tc>
        <w:tc>
          <w:tcPr>
            <w:tcW w:w="2835" w:type="dxa"/>
            <w:vAlign w:val="center"/>
          </w:tcPr>
          <w:p>
            <w:pPr>
              <w:pStyle w:val="28"/>
            </w:pPr>
            <w:r>
              <w:t>发放退役士兵工资人数</w:t>
            </w:r>
          </w:p>
        </w:tc>
        <w:tc>
          <w:tcPr>
            <w:tcW w:w="2551" w:type="dxa"/>
            <w:vAlign w:val="center"/>
          </w:tcPr>
          <w:p>
            <w:pPr>
              <w:pStyle w:val="28"/>
            </w:pPr>
            <w:r>
              <w:t>1发放退役士兵工资人数</w:t>
            </w:r>
          </w:p>
        </w:tc>
        <w:tc>
          <w:tcPr>
            <w:tcW w:w="2268" w:type="dxa"/>
            <w:vAlign w:val="center"/>
          </w:tcPr>
          <w:p>
            <w:pPr>
              <w:pStyle w:val="28"/>
            </w:pPr>
            <w:r>
              <w:t>退役士兵实际人数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按季度发放</w:t>
            </w:r>
          </w:p>
        </w:tc>
        <w:tc>
          <w:tcPr>
            <w:tcW w:w="2551" w:type="dxa"/>
            <w:vAlign w:val="center"/>
          </w:tcPr>
          <w:p>
            <w:pPr>
              <w:pStyle w:val="28"/>
            </w:pPr>
            <w:r>
              <w:t>100实际发放率</w:t>
            </w:r>
          </w:p>
        </w:tc>
        <w:tc>
          <w:tcPr>
            <w:tcW w:w="2268" w:type="dxa"/>
            <w:vAlign w:val="center"/>
          </w:tcPr>
          <w:p>
            <w:pPr>
              <w:pStyle w:val="28"/>
            </w:pPr>
            <w:r>
              <w:t>实际发放是否完成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按时发放工资</w:t>
            </w:r>
          </w:p>
        </w:tc>
        <w:tc>
          <w:tcPr>
            <w:tcW w:w="2835" w:type="dxa"/>
            <w:vAlign w:val="center"/>
          </w:tcPr>
          <w:p>
            <w:pPr>
              <w:pStyle w:val="28"/>
            </w:pPr>
            <w:r>
              <w:t>按时发放工资</w:t>
            </w:r>
          </w:p>
        </w:tc>
        <w:tc>
          <w:tcPr>
            <w:tcW w:w="2551" w:type="dxa"/>
            <w:vAlign w:val="center"/>
          </w:tcPr>
          <w:p>
            <w:pPr>
              <w:pStyle w:val="28"/>
            </w:pPr>
            <w:r>
              <w:t>100按时发放率</w:t>
            </w:r>
          </w:p>
        </w:tc>
        <w:tc>
          <w:tcPr>
            <w:tcW w:w="2268" w:type="dxa"/>
            <w:vAlign w:val="center"/>
          </w:tcPr>
          <w:p>
            <w:pPr>
              <w:pStyle w:val="28"/>
            </w:pPr>
            <w:r>
              <w:t>按时发放工资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经费预算</w:t>
            </w:r>
          </w:p>
        </w:tc>
        <w:tc>
          <w:tcPr>
            <w:tcW w:w="2835" w:type="dxa"/>
            <w:vAlign w:val="center"/>
          </w:tcPr>
          <w:p>
            <w:pPr>
              <w:pStyle w:val="28"/>
            </w:pPr>
            <w:r>
              <w:t>按应发数额发放</w:t>
            </w:r>
          </w:p>
        </w:tc>
        <w:tc>
          <w:tcPr>
            <w:tcW w:w="2551" w:type="dxa"/>
            <w:vAlign w:val="center"/>
          </w:tcPr>
          <w:p>
            <w:pPr>
              <w:pStyle w:val="28"/>
            </w:pPr>
            <w:r>
              <w:t>100应发率</w:t>
            </w:r>
          </w:p>
        </w:tc>
        <w:tc>
          <w:tcPr>
            <w:tcW w:w="2268" w:type="dxa"/>
            <w:vAlign w:val="center"/>
          </w:tcPr>
          <w:p>
            <w:pPr>
              <w:pStyle w:val="28"/>
            </w:pPr>
            <w:r>
              <w:t>按实际规定发放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促进退役士兵就业</w:t>
            </w:r>
          </w:p>
        </w:tc>
        <w:tc>
          <w:tcPr>
            <w:tcW w:w="2835" w:type="dxa"/>
            <w:vAlign w:val="center"/>
          </w:tcPr>
          <w:p>
            <w:pPr>
              <w:pStyle w:val="28"/>
            </w:pPr>
            <w:r>
              <w:t>促进退役士兵就业</w:t>
            </w:r>
          </w:p>
        </w:tc>
        <w:tc>
          <w:tcPr>
            <w:tcW w:w="2551" w:type="dxa"/>
            <w:vAlign w:val="center"/>
          </w:tcPr>
          <w:p>
            <w:pPr>
              <w:pStyle w:val="28"/>
            </w:pPr>
            <w:r>
              <w:t>100促进退役士兵就业</w:t>
            </w:r>
          </w:p>
        </w:tc>
        <w:tc>
          <w:tcPr>
            <w:tcW w:w="2268" w:type="dxa"/>
            <w:vAlign w:val="center"/>
          </w:tcPr>
          <w:p>
            <w:pPr>
              <w:pStyle w:val="28"/>
            </w:pPr>
            <w:r>
              <w:t>促进退役士兵就业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100服务对象满意度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12、外事专项绩效目标表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rPr>
                <w:rFonts w:hint="eastAsia" w:eastAsiaTheme="minorEastAsia"/>
                <w:lang w:eastAsia="zh-CN"/>
              </w:rPr>
            </w:pPr>
            <w:r>
              <w:t>1.</w:t>
            </w:r>
            <w:r>
              <w:rPr>
                <w:rFonts w:hint="eastAsia" w:asciiTheme="minorEastAsia" w:hAnsiTheme="minorEastAsia" w:eastAsiaTheme="minorEastAsia"/>
                <w:lang w:eastAsia="zh-CN"/>
              </w:rPr>
              <w:t>做好我县境外人员引导和服务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管理外籍人员</w:t>
            </w:r>
          </w:p>
        </w:tc>
        <w:tc>
          <w:tcPr>
            <w:tcW w:w="2835" w:type="dxa"/>
            <w:vAlign w:val="center"/>
          </w:tcPr>
          <w:p>
            <w:pPr>
              <w:pStyle w:val="28"/>
            </w:pPr>
            <w:r>
              <w:t>管理外籍人员</w:t>
            </w:r>
          </w:p>
        </w:tc>
        <w:tc>
          <w:tcPr>
            <w:tcW w:w="2551" w:type="dxa"/>
            <w:vAlign w:val="center"/>
          </w:tcPr>
          <w:p>
            <w:pPr>
              <w:pStyle w:val="28"/>
            </w:pPr>
            <w:r>
              <w:t>≥31全年管理在隆外籍人员个数</w:t>
            </w:r>
          </w:p>
        </w:tc>
        <w:tc>
          <w:tcPr>
            <w:tcW w:w="2268" w:type="dxa"/>
            <w:vAlign w:val="center"/>
          </w:tcPr>
          <w:p>
            <w:pPr>
              <w:pStyle w:val="28"/>
            </w:pPr>
            <w:r>
              <w:t>在隆外籍人员数量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提升外籍人员服务质量</w:t>
            </w:r>
          </w:p>
        </w:tc>
        <w:tc>
          <w:tcPr>
            <w:tcW w:w="2835" w:type="dxa"/>
            <w:vAlign w:val="center"/>
          </w:tcPr>
          <w:p>
            <w:pPr>
              <w:pStyle w:val="28"/>
            </w:pPr>
            <w:r>
              <w:t>提升外籍人员服务质量</w:t>
            </w:r>
          </w:p>
        </w:tc>
        <w:tc>
          <w:tcPr>
            <w:tcW w:w="2551" w:type="dxa"/>
            <w:vAlign w:val="center"/>
          </w:tcPr>
          <w:p>
            <w:pPr>
              <w:pStyle w:val="28"/>
            </w:pPr>
            <w:r>
              <w:t>≥90服务质量提升率</w:t>
            </w:r>
          </w:p>
        </w:tc>
        <w:tc>
          <w:tcPr>
            <w:tcW w:w="2268" w:type="dxa"/>
            <w:vAlign w:val="center"/>
          </w:tcPr>
          <w:p>
            <w:pPr>
              <w:pStyle w:val="28"/>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摸排在隆人员外籍人员</w:t>
            </w:r>
          </w:p>
        </w:tc>
        <w:tc>
          <w:tcPr>
            <w:tcW w:w="2835" w:type="dxa"/>
            <w:vAlign w:val="center"/>
          </w:tcPr>
          <w:p>
            <w:pPr>
              <w:pStyle w:val="28"/>
            </w:pPr>
            <w:r>
              <w:t>按时完成摸排任务</w:t>
            </w:r>
          </w:p>
        </w:tc>
        <w:tc>
          <w:tcPr>
            <w:tcW w:w="2551" w:type="dxa"/>
            <w:vAlign w:val="center"/>
          </w:tcPr>
          <w:p>
            <w:pPr>
              <w:pStyle w:val="28"/>
            </w:pPr>
            <w:r>
              <w:t>≥90摸排任务完成及时率</w:t>
            </w:r>
          </w:p>
        </w:tc>
        <w:tc>
          <w:tcPr>
            <w:tcW w:w="2268" w:type="dxa"/>
            <w:vAlign w:val="center"/>
          </w:tcPr>
          <w:p>
            <w:pPr>
              <w:pStyle w:val="28"/>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w:t>
            </w:r>
          </w:p>
        </w:tc>
        <w:tc>
          <w:tcPr>
            <w:tcW w:w="2835" w:type="dxa"/>
            <w:vAlign w:val="center"/>
          </w:tcPr>
          <w:p>
            <w:pPr>
              <w:pStyle w:val="28"/>
            </w:pPr>
            <w:r>
              <w:t>按照预算严格支出</w:t>
            </w:r>
          </w:p>
        </w:tc>
        <w:tc>
          <w:tcPr>
            <w:tcW w:w="2551" w:type="dxa"/>
            <w:vAlign w:val="center"/>
          </w:tcPr>
          <w:p>
            <w:pPr>
              <w:pStyle w:val="28"/>
            </w:pPr>
            <w:r>
              <w:t>≥95按照预算严格支出</w:t>
            </w:r>
          </w:p>
        </w:tc>
        <w:tc>
          <w:tcPr>
            <w:tcW w:w="2268" w:type="dxa"/>
            <w:vAlign w:val="center"/>
          </w:tcPr>
          <w:p>
            <w:pPr>
              <w:pStyle w:val="28"/>
            </w:pPr>
            <w: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建立国际友城</w:t>
            </w:r>
          </w:p>
        </w:tc>
        <w:tc>
          <w:tcPr>
            <w:tcW w:w="2835" w:type="dxa"/>
            <w:vAlign w:val="center"/>
          </w:tcPr>
          <w:p>
            <w:pPr>
              <w:pStyle w:val="28"/>
            </w:pPr>
            <w:r>
              <w:t>全年建立国际友城</w:t>
            </w:r>
          </w:p>
        </w:tc>
        <w:tc>
          <w:tcPr>
            <w:tcW w:w="2551" w:type="dxa"/>
            <w:vAlign w:val="center"/>
          </w:tcPr>
          <w:p>
            <w:pPr>
              <w:pStyle w:val="28"/>
            </w:pPr>
            <w:r>
              <w:t>≥1全年建立国际友城个数</w:t>
            </w:r>
          </w:p>
        </w:tc>
        <w:tc>
          <w:tcPr>
            <w:tcW w:w="2268" w:type="dxa"/>
            <w:vAlign w:val="center"/>
          </w:tcPr>
          <w:p>
            <w:pPr>
              <w:pStyle w:val="28"/>
            </w:pPr>
            <w: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“三非”外国人涉外管理</w:t>
            </w:r>
          </w:p>
        </w:tc>
        <w:tc>
          <w:tcPr>
            <w:tcW w:w="2835" w:type="dxa"/>
            <w:vAlign w:val="center"/>
          </w:tcPr>
          <w:p>
            <w:pPr>
              <w:pStyle w:val="28"/>
            </w:pPr>
            <w:r>
              <w:t>协查“三非”人员签证事宜</w:t>
            </w:r>
          </w:p>
        </w:tc>
        <w:tc>
          <w:tcPr>
            <w:tcW w:w="2551" w:type="dxa"/>
            <w:vAlign w:val="center"/>
          </w:tcPr>
          <w:p>
            <w:pPr>
              <w:pStyle w:val="28"/>
            </w:pPr>
            <w:r>
              <w:t>≥90提升对外籍人员服务水平</w:t>
            </w:r>
          </w:p>
        </w:tc>
        <w:tc>
          <w:tcPr>
            <w:tcW w:w="2268" w:type="dxa"/>
            <w:vAlign w:val="center"/>
          </w:tcPr>
          <w:p>
            <w:pPr>
              <w:pStyle w:val="28"/>
            </w:pPr>
            <w:r>
              <w:t>提升对外籍人员服务水平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宣传国家相关政策</w:t>
            </w:r>
          </w:p>
        </w:tc>
        <w:tc>
          <w:tcPr>
            <w:tcW w:w="2835" w:type="dxa"/>
            <w:vAlign w:val="center"/>
          </w:tcPr>
          <w:p>
            <w:pPr>
              <w:pStyle w:val="28"/>
            </w:pPr>
            <w:r>
              <w:t>宣传国家相关政策</w:t>
            </w:r>
          </w:p>
        </w:tc>
        <w:tc>
          <w:tcPr>
            <w:tcW w:w="2551" w:type="dxa"/>
            <w:vAlign w:val="center"/>
          </w:tcPr>
          <w:p>
            <w:pPr>
              <w:pStyle w:val="28"/>
            </w:pPr>
            <w:r>
              <w:t>≥90宣传及时率</w:t>
            </w:r>
          </w:p>
        </w:tc>
        <w:tc>
          <w:tcPr>
            <w:tcW w:w="2268" w:type="dxa"/>
            <w:vAlign w:val="center"/>
          </w:tcPr>
          <w:p>
            <w:pPr>
              <w:pStyle w:val="28"/>
            </w:pPr>
            <w:r>
              <w:t>及时宣传外事方面相关政策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13、外资外贸专项绩效目标表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rPr>
                <w:rFonts w:hint="eastAsia" w:eastAsiaTheme="minorEastAsia"/>
                <w:lang w:eastAsia="zh-CN"/>
              </w:rPr>
            </w:pPr>
            <w:r>
              <w:t>1.</w:t>
            </w:r>
            <w:r>
              <w:rPr>
                <w:rFonts w:hint="eastAsia" w:asciiTheme="minorEastAsia" w:hAnsiTheme="minorEastAsia" w:eastAsiaTheme="minorEastAsia"/>
                <w:lang w:eastAsia="zh-CN"/>
              </w:rPr>
              <w:t>积极利用外贸扶持政策扶持企业发展，培育龙头出口企业</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重点支持企业个数</w:t>
            </w:r>
          </w:p>
        </w:tc>
        <w:tc>
          <w:tcPr>
            <w:tcW w:w="2835" w:type="dxa"/>
            <w:vAlign w:val="center"/>
          </w:tcPr>
          <w:p>
            <w:pPr>
              <w:pStyle w:val="28"/>
            </w:pPr>
            <w:r>
              <w:t>全年支持企业个数</w:t>
            </w:r>
          </w:p>
        </w:tc>
        <w:tc>
          <w:tcPr>
            <w:tcW w:w="2551" w:type="dxa"/>
            <w:vAlign w:val="center"/>
          </w:tcPr>
          <w:p>
            <w:pPr>
              <w:pStyle w:val="28"/>
            </w:pPr>
            <w:r>
              <w:t>≥2重点支持企业个数</w:t>
            </w:r>
          </w:p>
        </w:tc>
        <w:tc>
          <w:tcPr>
            <w:tcW w:w="2268" w:type="dxa"/>
            <w:vAlign w:val="center"/>
          </w:tcPr>
          <w:p>
            <w:pPr>
              <w:pStyle w:val="28"/>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外贸奖励金发放率</w:t>
            </w:r>
          </w:p>
        </w:tc>
        <w:tc>
          <w:tcPr>
            <w:tcW w:w="2835" w:type="dxa"/>
            <w:vAlign w:val="center"/>
          </w:tcPr>
          <w:p>
            <w:pPr>
              <w:pStyle w:val="28"/>
            </w:pPr>
            <w:r>
              <w:t>外贸奖励金发放率</w:t>
            </w:r>
          </w:p>
        </w:tc>
        <w:tc>
          <w:tcPr>
            <w:tcW w:w="2551" w:type="dxa"/>
            <w:vAlign w:val="center"/>
          </w:tcPr>
          <w:p>
            <w:pPr>
              <w:pStyle w:val="28"/>
            </w:pPr>
            <w:r>
              <w:t>≥90外贸奖励金发放率</w:t>
            </w:r>
          </w:p>
        </w:tc>
        <w:tc>
          <w:tcPr>
            <w:tcW w:w="2268" w:type="dxa"/>
            <w:vAlign w:val="center"/>
          </w:tcPr>
          <w:p>
            <w:pPr>
              <w:pStyle w:val="28"/>
            </w:pPr>
            <w:r>
              <w:t>实际发放率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按时发放奖励金</w:t>
            </w:r>
          </w:p>
        </w:tc>
        <w:tc>
          <w:tcPr>
            <w:tcW w:w="2835" w:type="dxa"/>
            <w:vAlign w:val="center"/>
          </w:tcPr>
          <w:p>
            <w:pPr>
              <w:pStyle w:val="28"/>
            </w:pPr>
            <w:r>
              <w:t>全年按时发放奖励金</w:t>
            </w:r>
          </w:p>
        </w:tc>
        <w:tc>
          <w:tcPr>
            <w:tcW w:w="2551" w:type="dxa"/>
            <w:vAlign w:val="center"/>
          </w:tcPr>
          <w:p>
            <w:pPr>
              <w:pStyle w:val="28"/>
            </w:pPr>
            <w:r>
              <w:t>≥90按规定时间发放奖励金</w:t>
            </w:r>
          </w:p>
        </w:tc>
        <w:tc>
          <w:tcPr>
            <w:tcW w:w="2268" w:type="dxa"/>
            <w:vAlign w:val="center"/>
          </w:tcPr>
          <w:p>
            <w:pPr>
              <w:pStyle w:val="28"/>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为企业补助展位费情况</w:t>
            </w:r>
          </w:p>
        </w:tc>
        <w:tc>
          <w:tcPr>
            <w:tcW w:w="2835" w:type="dxa"/>
            <w:vAlign w:val="center"/>
          </w:tcPr>
          <w:p>
            <w:pPr>
              <w:pStyle w:val="28"/>
            </w:pPr>
            <w:r>
              <w:t>为企业补助展位费成本</w:t>
            </w:r>
          </w:p>
        </w:tc>
        <w:tc>
          <w:tcPr>
            <w:tcW w:w="2551" w:type="dxa"/>
            <w:vAlign w:val="center"/>
          </w:tcPr>
          <w:p>
            <w:pPr>
              <w:pStyle w:val="28"/>
            </w:pPr>
            <w:r>
              <w:t>≥90为企业补助展位费成本</w:t>
            </w:r>
          </w:p>
          <w:p>
            <w:pPr>
              <w:pStyle w:val="28"/>
            </w:pPr>
          </w:p>
        </w:tc>
        <w:tc>
          <w:tcPr>
            <w:tcW w:w="2268" w:type="dxa"/>
            <w:vAlign w:val="center"/>
          </w:tcPr>
          <w:p>
            <w:pPr>
              <w:pStyle w:val="28"/>
            </w:pPr>
            <w:r>
              <w:t>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外贸进出口额增长率</w:t>
            </w:r>
          </w:p>
        </w:tc>
        <w:tc>
          <w:tcPr>
            <w:tcW w:w="2835" w:type="dxa"/>
            <w:vAlign w:val="center"/>
          </w:tcPr>
          <w:p>
            <w:pPr>
              <w:pStyle w:val="28"/>
            </w:pPr>
            <w:r>
              <w:t>全年外贸进出口增长率</w:t>
            </w:r>
          </w:p>
        </w:tc>
        <w:tc>
          <w:tcPr>
            <w:tcW w:w="2551" w:type="dxa"/>
            <w:vAlign w:val="center"/>
          </w:tcPr>
          <w:p>
            <w:pPr>
              <w:pStyle w:val="28"/>
            </w:pPr>
            <w:r>
              <w:t>≥10外贸进出口额增长率</w:t>
            </w:r>
          </w:p>
        </w:tc>
        <w:tc>
          <w:tcPr>
            <w:tcW w:w="2268" w:type="dxa"/>
            <w:vAlign w:val="center"/>
          </w:tcPr>
          <w:p>
            <w:pPr>
              <w:pStyle w:val="28"/>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拉动外贸企业开拓国际市场</w:t>
            </w:r>
          </w:p>
        </w:tc>
        <w:tc>
          <w:tcPr>
            <w:tcW w:w="2835" w:type="dxa"/>
            <w:vAlign w:val="center"/>
          </w:tcPr>
          <w:p>
            <w:pPr>
              <w:pStyle w:val="28"/>
            </w:pPr>
            <w:r>
              <w:t>拉动外贸企业开拓国际市场</w:t>
            </w:r>
          </w:p>
        </w:tc>
        <w:tc>
          <w:tcPr>
            <w:tcW w:w="2551" w:type="dxa"/>
            <w:vAlign w:val="center"/>
          </w:tcPr>
          <w:p>
            <w:pPr>
              <w:pStyle w:val="28"/>
            </w:pPr>
            <w:r>
              <w:t>≥5带动5家外贸企业开拓国际市场</w:t>
            </w:r>
          </w:p>
        </w:tc>
        <w:tc>
          <w:tcPr>
            <w:tcW w:w="2268" w:type="dxa"/>
            <w:vAlign w:val="center"/>
          </w:tcPr>
          <w:p>
            <w:pPr>
              <w:pStyle w:val="28"/>
            </w:pPr>
            <w:r>
              <w:t>预计测算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14、再生资源专项绩效目标表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rPr>
                <w:rFonts w:hint="eastAsia" w:eastAsiaTheme="minorEastAsia"/>
                <w:lang w:eastAsia="zh-CN"/>
              </w:rPr>
            </w:pPr>
            <w:r>
              <w:t>1.</w:t>
            </w:r>
            <w:r>
              <w:rPr>
                <w:rFonts w:hint="eastAsia" w:asciiTheme="minorEastAsia" w:hAnsiTheme="minorEastAsia" w:eastAsiaTheme="minorEastAsia"/>
                <w:lang w:eastAsia="zh-CN"/>
              </w:rPr>
              <w:t>开展废品收购站的清理治理</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巡查废品收购站</w:t>
            </w:r>
          </w:p>
        </w:tc>
        <w:tc>
          <w:tcPr>
            <w:tcW w:w="2835" w:type="dxa"/>
            <w:vAlign w:val="center"/>
          </w:tcPr>
          <w:p>
            <w:pPr>
              <w:pStyle w:val="28"/>
            </w:pPr>
            <w:r>
              <w:t>巡查废品收购站的个数</w:t>
            </w:r>
          </w:p>
        </w:tc>
        <w:tc>
          <w:tcPr>
            <w:tcW w:w="2551" w:type="dxa"/>
            <w:vAlign w:val="center"/>
          </w:tcPr>
          <w:p>
            <w:pPr>
              <w:pStyle w:val="28"/>
            </w:pPr>
            <w:r>
              <w:t>≥35巡查废品收购站的个数</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废品收购站提升整改</w:t>
            </w:r>
          </w:p>
        </w:tc>
        <w:tc>
          <w:tcPr>
            <w:tcW w:w="2835" w:type="dxa"/>
            <w:vAlign w:val="center"/>
          </w:tcPr>
          <w:p>
            <w:pPr>
              <w:pStyle w:val="28"/>
            </w:pPr>
            <w:r>
              <w:t>引导废品收购站提升</w:t>
            </w:r>
          </w:p>
        </w:tc>
        <w:tc>
          <w:tcPr>
            <w:tcW w:w="2551" w:type="dxa"/>
            <w:vAlign w:val="center"/>
          </w:tcPr>
          <w:p>
            <w:pPr>
              <w:pStyle w:val="28"/>
            </w:pPr>
            <w:r>
              <w:t>≥90提升改造率</w:t>
            </w:r>
          </w:p>
        </w:tc>
        <w:tc>
          <w:tcPr>
            <w:tcW w:w="2268" w:type="dxa"/>
            <w:vAlign w:val="center"/>
          </w:tcPr>
          <w:p>
            <w:pPr>
              <w:pStyle w:val="28"/>
            </w:pPr>
            <w:r>
              <w:t>预计改造效果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按期完成改造</w:t>
            </w:r>
          </w:p>
        </w:tc>
        <w:tc>
          <w:tcPr>
            <w:tcW w:w="2835" w:type="dxa"/>
            <w:vAlign w:val="center"/>
          </w:tcPr>
          <w:p>
            <w:pPr>
              <w:pStyle w:val="28"/>
            </w:pPr>
            <w:r>
              <w:t>按期完成改造</w:t>
            </w:r>
          </w:p>
        </w:tc>
        <w:tc>
          <w:tcPr>
            <w:tcW w:w="2551" w:type="dxa"/>
            <w:vAlign w:val="center"/>
          </w:tcPr>
          <w:p>
            <w:pPr>
              <w:pStyle w:val="28"/>
            </w:pPr>
            <w:r>
              <w:t>≥90按期完成率</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预算不超标</w:t>
            </w:r>
          </w:p>
        </w:tc>
        <w:tc>
          <w:tcPr>
            <w:tcW w:w="2835" w:type="dxa"/>
            <w:vAlign w:val="center"/>
          </w:tcPr>
          <w:p>
            <w:pPr>
              <w:pStyle w:val="28"/>
            </w:pPr>
            <w:r>
              <w:t>严控成本支出</w:t>
            </w:r>
          </w:p>
        </w:tc>
        <w:tc>
          <w:tcPr>
            <w:tcW w:w="2551" w:type="dxa"/>
            <w:vAlign w:val="center"/>
          </w:tcPr>
          <w:p>
            <w:pPr>
              <w:pStyle w:val="28"/>
            </w:pPr>
            <w:r>
              <w:t>100预算控制率</w:t>
            </w:r>
          </w:p>
        </w:tc>
        <w:tc>
          <w:tcPr>
            <w:tcW w:w="2268" w:type="dxa"/>
            <w:vAlign w:val="center"/>
          </w:tcPr>
          <w:p>
            <w:pPr>
              <w:pStyle w:val="28"/>
            </w:pPr>
            <w:r>
              <w:t>按预算执行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维护废品回收市场稳定发展</w:t>
            </w:r>
          </w:p>
        </w:tc>
        <w:tc>
          <w:tcPr>
            <w:tcW w:w="2835" w:type="dxa"/>
            <w:vAlign w:val="center"/>
          </w:tcPr>
          <w:p>
            <w:pPr>
              <w:pStyle w:val="28"/>
            </w:pPr>
            <w:r>
              <w:t>维护废品回收市场稳定发展</w:t>
            </w:r>
          </w:p>
        </w:tc>
        <w:tc>
          <w:tcPr>
            <w:tcW w:w="2551" w:type="dxa"/>
            <w:vAlign w:val="center"/>
          </w:tcPr>
          <w:p>
            <w:pPr>
              <w:pStyle w:val="28"/>
            </w:pPr>
            <w:r>
              <w:t>≥90废品回收市场运行稳定率</w:t>
            </w:r>
          </w:p>
        </w:tc>
        <w:tc>
          <w:tcPr>
            <w:tcW w:w="2268" w:type="dxa"/>
            <w:vAlign w:val="center"/>
          </w:tcPr>
          <w:p>
            <w:pPr>
              <w:pStyle w:val="28"/>
            </w:pPr>
            <w:r>
              <w:t>预期运行情况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环境质量改善</w:t>
            </w:r>
          </w:p>
        </w:tc>
        <w:tc>
          <w:tcPr>
            <w:tcW w:w="2835" w:type="dxa"/>
            <w:vAlign w:val="center"/>
          </w:tcPr>
          <w:p>
            <w:pPr>
              <w:pStyle w:val="28"/>
            </w:pPr>
            <w:r>
              <w:t>环境质量改善</w:t>
            </w:r>
          </w:p>
        </w:tc>
        <w:tc>
          <w:tcPr>
            <w:tcW w:w="2551" w:type="dxa"/>
            <w:vAlign w:val="center"/>
          </w:tcPr>
          <w:p>
            <w:pPr>
              <w:pStyle w:val="28"/>
            </w:pPr>
            <w:r>
              <w:t>≥90改善率</w:t>
            </w:r>
          </w:p>
        </w:tc>
        <w:tc>
          <w:tcPr>
            <w:tcW w:w="2268" w:type="dxa"/>
            <w:vAlign w:val="center"/>
          </w:tcPr>
          <w:p>
            <w:pPr>
              <w:pStyle w:val="28"/>
            </w:pPr>
            <w:r>
              <w:t>更好的改善环境质量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生态环境持续改善</w:t>
            </w:r>
          </w:p>
        </w:tc>
        <w:tc>
          <w:tcPr>
            <w:tcW w:w="2835" w:type="dxa"/>
            <w:vAlign w:val="center"/>
          </w:tcPr>
          <w:p>
            <w:pPr>
              <w:pStyle w:val="28"/>
            </w:pPr>
            <w:r>
              <w:t>生态环境持续改善</w:t>
            </w:r>
          </w:p>
        </w:tc>
        <w:tc>
          <w:tcPr>
            <w:tcW w:w="2551" w:type="dxa"/>
            <w:vAlign w:val="center"/>
          </w:tcPr>
          <w:p>
            <w:pPr>
              <w:pStyle w:val="28"/>
            </w:pPr>
            <w:r>
              <w:t>≥90生态环境持续改善率</w:t>
            </w:r>
          </w:p>
        </w:tc>
        <w:tc>
          <w:tcPr>
            <w:tcW w:w="2268" w:type="dxa"/>
            <w:vAlign w:val="center"/>
          </w:tcPr>
          <w:p>
            <w:pPr>
              <w:pStyle w:val="28"/>
            </w:pPr>
            <w:r>
              <w:t>更好的改善环境质量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≥90群众满意度</w:t>
            </w:r>
          </w:p>
        </w:tc>
        <w:tc>
          <w:tcPr>
            <w:tcW w:w="2268" w:type="dxa"/>
            <w:vAlign w:val="center"/>
          </w:tcPr>
          <w:p>
            <w:pPr>
              <w:pStyle w:val="28"/>
            </w:pPr>
            <w:r>
              <w:t>群众满意度</w:t>
            </w:r>
          </w:p>
        </w:tc>
      </w:tr>
    </w:tbl>
    <w:p>
      <w:pPr>
        <w:pStyle w:val="26"/>
      </w:pPr>
    </w:p>
    <w:p>
      <w:pPr>
        <w:pStyle w:val="26"/>
        <w:ind w:firstLine="560"/>
      </w:pPr>
      <w:r>
        <w:rPr>
          <w:rFonts w:ascii="方正仿宋_GBK" w:hAnsi="方正仿宋_GBK" w:eastAsia="方正仿宋_GBK" w:cs="方正仿宋_GBK"/>
          <w:b/>
          <w:color w:val="000000"/>
          <w:sz w:val="28"/>
        </w:rPr>
        <w:t>15、委托招商服务经费绩效目标表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1.招商机构为我县招引符合我县主导产业的3个亿元项目或1个超10亿元的项目</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≥30家</w:t>
            </w:r>
          </w:p>
        </w:tc>
        <w:tc>
          <w:tcPr>
            <w:tcW w:w="2268" w:type="dxa"/>
            <w:vAlign w:val="center"/>
          </w:tcPr>
          <w:p>
            <w:pPr>
              <w:pStyle w:val="28"/>
            </w:pPr>
            <w:r>
              <w:t>符合对接条件的企业个数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超亿元项目</w:t>
            </w:r>
          </w:p>
        </w:tc>
        <w:tc>
          <w:tcPr>
            <w:tcW w:w="2835" w:type="dxa"/>
            <w:vAlign w:val="center"/>
          </w:tcPr>
          <w:p>
            <w:pPr>
              <w:pStyle w:val="28"/>
            </w:pPr>
            <w:r>
              <w:t>超亿元项目</w:t>
            </w:r>
          </w:p>
        </w:tc>
        <w:tc>
          <w:tcPr>
            <w:tcW w:w="2551" w:type="dxa"/>
            <w:vAlign w:val="center"/>
          </w:tcPr>
          <w:p>
            <w:pPr>
              <w:pStyle w:val="28"/>
            </w:pPr>
            <w:r>
              <w:t>3个</w:t>
            </w:r>
          </w:p>
        </w:tc>
        <w:tc>
          <w:tcPr>
            <w:tcW w:w="2268" w:type="dxa"/>
            <w:vAlign w:val="center"/>
          </w:tcPr>
          <w:p>
            <w:pPr>
              <w:pStyle w:val="28"/>
            </w:pPr>
            <w:r>
              <w:t>超亿元项目3个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合同完成时间</w:t>
            </w:r>
          </w:p>
        </w:tc>
        <w:tc>
          <w:tcPr>
            <w:tcW w:w="2551" w:type="dxa"/>
            <w:vAlign w:val="center"/>
          </w:tcPr>
          <w:p>
            <w:pPr>
              <w:pStyle w:val="28"/>
            </w:pPr>
            <w:r>
              <w:t>100百分百</w:t>
            </w:r>
          </w:p>
        </w:tc>
        <w:tc>
          <w:tcPr>
            <w:tcW w:w="2268" w:type="dxa"/>
            <w:vAlign w:val="center"/>
          </w:tcPr>
          <w:p>
            <w:pPr>
              <w:pStyle w:val="28"/>
            </w:pPr>
            <w:r>
              <w:t>委托招商合作协议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能够控制合同成本</w:t>
            </w:r>
          </w:p>
        </w:tc>
        <w:tc>
          <w:tcPr>
            <w:tcW w:w="2551" w:type="dxa"/>
            <w:vAlign w:val="center"/>
          </w:tcPr>
          <w:p>
            <w:pPr>
              <w:pStyle w:val="28"/>
            </w:pPr>
            <w:r>
              <w:t>100百分百</w:t>
            </w:r>
          </w:p>
        </w:tc>
        <w:tc>
          <w:tcPr>
            <w:tcW w:w="2268" w:type="dxa"/>
            <w:vAlign w:val="center"/>
          </w:tcPr>
          <w:p>
            <w:pPr>
              <w:pStyle w:val="28"/>
            </w:pPr>
            <w:r>
              <w:t>委托招商合作协议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 xml:space="preserve"> 对经济发展带来效果</w:t>
            </w:r>
          </w:p>
        </w:tc>
        <w:tc>
          <w:tcPr>
            <w:tcW w:w="2835" w:type="dxa"/>
            <w:vAlign w:val="center"/>
          </w:tcPr>
          <w:p>
            <w:pPr>
              <w:pStyle w:val="28"/>
            </w:pPr>
            <w:r>
              <w:t>经济稳定发展</w:t>
            </w:r>
          </w:p>
        </w:tc>
        <w:tc>
          <w:tcPr>
            <w:tcW w:w="2551" w:type="dxa"/>
            <w:vAlign w:val="center"/>
          </w:tcPr>
          <w:p>
            <w:pPr>
              <w:pStyle w:val="28"/>
            </w:pPr>
            <w:r>
              <w:t>≥3个</w:t>
            </w:r>
          </w:p>
        </w:tc>
        <w:tc>
          <w:tcPr>
            <w:tcW w:w="2268" w:type="dxa"/>
            <w:vAlign w:val="center"/>
          </w:tcPr>
          <w:p>
            <w:pPr>
              <w:pStyle w:val="28"/>
            </w:pPr>
            <w:r>
              <w:t>招引超亿元项目个数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为我县推介符合精准对接条件的企业</w:t>
            </w:r>
          </w:p>
        </w:tc>
        <w:tc>
          <w:tcPr>
            <w:tcW w:w="2551" w:type="dxa"/>
            <w:vAlign w:val="center"/>
          </w:tcPr>
          <w:p>
            <w:pPr>
              <w:pStyle w:val="28"/>
            </w:pPr>
            <w:r>
              <w:t>≥30家</w:t>
            </w:r>
          </w:p>
        </w:tc>
        <w:tc>
          <w:tcPr>
            <w:tcW w:w="2268" w:type="dxa"/>
            <w:vAlign w:val="center"/>
          </w:tcPr>
          <w:p>
            <w:pPr>
              <w:pStyle w:val="28"/>
            </w:pPr>
            <w:r>
              <w:t>符合对接条件的企业个数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精准定位、宣传推介我县招商环境</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委托招商合作协议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来隆考察投资企业家的满意度</w:t>
            </w:r>
          </w:p>
        </w:tc>
        <w:tc>
          <w:tcPr>
            <w:tcW w:w="2835" w:type="dxa"/>
            <w:vAlign w:val="center"/>
          </w:tcPr>
          <w:p>
            <w:pPr>
              <w:pStyle w:val="28"/>
            </w:pPr>
            <w:r>
              <w:t>来隆考察、投资企业家的满意度</w:t>
            </w:r>
          </w:p>
        </w:tc>
        <w:tc>
          <w:tcPr>
            <w:tcW w:w="2551" w:type="dxa"/>
            <w:vAlign w:val="center"/>
          </w:tcPr>
          <w:p>
            <w:pPr>
              <w:pStyle w:val="28"/>
            </w:pPr>
            <w:r>
              <w:t>100百分百</w:t>
            </w:r>
          </w:p>
        </w:tc>
        <w:tc>
          <w:tcPr>
            <w:tcW w:w="2268" w:type="dxa"/>
            <w:vAlign w:val="center"/>
          </w:tcPr>
          <w:p>
            <w:pPr>
              <w:pStyle w:val="28"/>
            </w:pPr>
            <w:r>
              <w:t>来隆考察、投资企业家的满意度</w:t>
            </w:r>
          </w:p>
        </w:tc>
      </w:tr>
    </w:tbl>
    <w:p>
      <w:pPr>
        <w:pStyle w:val="26"/>
      </w:pPr>
    </w:p>
    <w:p>
      <w:pPr>
        <w:pStyle w:val="26"/>
        <w:ind w:firstLine="560"/>
      </w:pPr>
      <w:r>
        <w:rPr>
          <w:rFonts w:ascii="方正仿宋_GBK" w:hAnsi="方正仿宋_GBK" w:eastAsia="方正仿宋_GBK" w:cs="方正仿宋_GBK"/>
          <w:b/>
          <w:color w:val="000000"/>
          <w:sz w:val="28"/>
        </w:rPr>
        <w:t>16、招商局招商经费绩效目标表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1.参与研究制定我县招商引资政策和招商工作年度计划，整理发布招商信息为招商项目和入驻企业提供帮办服务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≥35个</w:t>
            </w:r>
          </w:p>
        </w:tc>
        <w:tc>
          <w:tcPr>
            <w:tcW w:w="2268" w:type="dxa"/>
            <w:vAlign w:val="center"/>
          </w:tcPr>
          <w:p>
            <w:pPr>
              <w:pStyle w:val="28"/>
            </w:pPr>
            <w:r>
              <w:t>对接企业数量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各项综合工作的完成率</w:t>
            </w:r>
          </w:p>
        </w:tc>
        <w:tc>
          <w:tcPr>
            <w:tcW w:w="2835" w:type="dxa"/>
            <w:vAlign w:val="center"/>
          </w:tcPr>
          <w:p>
            <w:pPr>
              <w:pStyle w:val="28"/>
            </w:pPr>
            <w:r>
              <w:t>每项工作的综合完成率</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各项工作的完成时间</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能够控制日常工作成本</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对经济发展带来效果</w:t>
            </w:r>
          </w:p>
        </w:tc>
        <w:tc>
          <w:tcPr>
            <w:tcW w:w="2835" w:type="dxa"/>
            <w:vAlign w:val="center"/>
          </w:tcPr>
          <w:p>
            <w:pPr>
              <w:pStyle w:val="28"/>
            </w:pPr>
            <w:r>
              <w:t>经济稳定发展</w:t>
            </w:r>
          </w:p>
        </w:tc>
        <w:tc>
          <w:tcPr>
            <w:tcW w:w="2551" w:type="dxa"/>
            <w:vAlign w:val="center"/>
          </w:tcPr>
          <w:p>
            <w:pPr>
              <w:pStyle w:val="28"/>
            </w:pPr>
            <w:r>
              <w:t>≥4招引项目个数</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我县招商投资环境对外宣传推广情况</w:t>
            </w:r>
          </w:p>
        </w:tc>
        <w:tc>
          <w:tcPr>
            <w:tcW w:w="2551" w:type="dxa"/>
            <w:vAlign w:val="center"/>
          </w:tcPr>
          <w:p>
            <w:pPr>
              <w:pStyle w:val="28"/>
            </w:pPr>
            <w:r>
              <w:t>≥3次</w:t>
            </w:r>
          </w:p>
        </w:tc>
        <w:tc>
          <w:tcPr>
            <w:tcW w:w="2268" w:type="dxa"/>
            <w:vAlign w:val="center"/>
          </w:tcPr>
          <w:p>
            <w:pPr>
              <w:pStyle w:val="28"/>
            </w:pPr>
            <w:r>
              <w:t>举办招商推介会次数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宣传资料长期使用性</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宣传资料的使用时长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 xml:space="preserve">来隆考察投资企业的满意度 </w:t>
            </w:r>
          </w:p>
        </w:tc>
        <w:tc>
          <w:tcPr>
            <w:tcW w:w="2835" w:type="dxa"/>
            <w:vAlign w:val="center"/>
          </w:tcPr>
          <w:p>
            <w:pPr>
              <w:pStyle w:val="28"/>
            </w:pPr>
            <w:r>
              <w:t>来隆考察投资企业的满意度</w:t>
            </w:r>
          </w:p>
        </w:tc>
        <w:tc>
          <w:tcPr>
            <w:tcW w:w="2551" w:type="dxa"/>
            <w:vAlign w:val="center"/>
          </w:tcPr>
          <w:p>
            <w:pPr>
              <w:pStyle w:val="28"/>
            </w:pPr>
            <w:r>
              <w:t>100百分百</w:t>
            </w:r>
          </w:p>
        </w:tc>
        <w:tc>
          <w:tcPr>
            <w:tcW w:w="2268" w:type="dxa"/>
            <w:vAlign w:val="center"/>
          </w:tcPr>
          <w:p>
            <w:pPr>
              <w:pStyle w:val="28"/>
            </w:pPr>
            <w:r>
              <w:t>来隆考察投资企业的满意度</w:t>
            </w:r>
          </w:p>
        </w:tc>
      </w:tr>
    </w:tbl>
    <w:p>
      <w:pPr>
        <w:pStyle w:val="26"/>
      </w:pPr>
    </w:p>
    <w:p>
      <w:pPr>
        <w:pStyle w:val="26"/>
        <w:ind w:firstLine="560"/>
      </w:pPr>
      <w:r>
        <w:rPr>
          <w:rFonts w:ascii="方正仿宋_GBK" w:hAnsi="方正仿宋_GBK" w:eastAsia="方正仿宋_GBK" w:cs="方正仿宋_GBK"/>
          <w:b/>
          <w:color w:val="000000"/>
          <w:sz w:val="28"/>
        </w:rPr>
        <w:t>17、重大招商专项绩效目标表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1.举办招商选资大型活动，参加大型商会展会，完善招商资料宣传推介我县县情，增加我县美誉度。</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≥30家</w:t>
            </w:r>
          </w:p>
        </w:tc>
        <w:tc>
          <w:tcPr>
            <w:tcW w:w="2268" w:type="dxa"/>
            <w:vAlign w:val="center"/>
          </w:tcPr>
          <w:p>
            <w:pPr>
              <w:pStyle w:val="28"/>
            </w:pPr>
            <w:r>
              <w:t>对接企业数量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各项工作的完成率</w:t>
            </w:r>
          </w:p>
        </w:tc>
        <w:tc>
          <w:tcPr>
            <w:tcW w:w="2835" w:type="dxa"/>
            <w:vAlign w:val="center"/>
          </w:tcPr>
          <w:p>
            <w:pPr>
              <w:pStyle w:val="28"/>
            </w:pPr>
            <w:r>
              <w:t>每项工作的综合完成率</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上级安排工作的完成情况</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是否能够控制日常工作成本</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对经济发展带来效果</w:t>
            </w:r>
          </w:p>
        </w:tc>
        <w:tc>
          <w:tcPr>
            <w:tcW w:w="2835" w:type="dxa"/>
            <w:vAlign w:val="center"/>
          </w:tcPr>
          <w:p>
            <w:pPr>
              <w:pStyle w:val="28"/>
            </w:pPr>
            <w:r>
              <w:t>经济稳定发展</w:t>
            </w:r>
          </w:p>
        </w:tc>
        <w:tc>
          <w:tcPr>
            <w:tcW w:w="2551" w:type="dxa"/>
            <w:vAlign w:val="center"/>
          </w:tcPr>
          <w:p>
            <w:pPr>
              <w:pStyle w:val="28"/>
            </w:pPr>
            <w:r>
              <w:t>≥4个</w:t>
            </w:r>
          </w:p>
        </w:tc>
        <w:tc>
          <w:tcPr>
            <w:tcW w:w="2268" w:type="dxa"/>
            <w:vAlign w:val="center"/>
          </w:tcPr>
          <w:p>
            <w:pPr>
              <w:pStyle w:val="28"/>
            </w:pPr>
            <w:r>
              <w:t>招引项目个数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我县招商投资环境对外宣传推广情况</w:t>
            </w:r>
          </w:p>
        </w:tc>
        <w:tc>
          <w:tcPr>
            <w:tcW w:w="2551" w:type="dxa"/>
            <w:vAlign w:val="center"/>
          </w:tcPr>
          <w:p>
            <w:pPr>
              <w:pStyle w:val="28"/>
            </w:pPr>
            <w:r>
              <w:t>≥3次</w:t>
            </w:r>
          </w:p>
        </w:tc>
        <w:tc>
          <w:tcPr>
            <w:tcW w:w="2268" w:type="dxa"/>
            <w:vAlign w:val="center"/>
          </w:tcPr>
          <w:p>
            <w:pPr>
              <w:pStyle w:val="28"/>
            </w:pPr>
            <w:r>
              <w:t>举办招商推介会次数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宣传资料的长期使用性</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宣传资料使用1年以上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参会企业和客商满意度</w:t>
            </w:r>
          </w:p>
        </w:tc>
        <w:tc>
          <w:tcPr>
            <w:tcW w:w="2835" w:type="dxa"/>
            <w:vAlign w:val="center"/>
          </w:tcPr>
          <w:p>
            <w:pPr>
              <w:pStyle w:val="28"/>
            </w:pPr>
            <w:r>
              <w:t>参会企业和客商满意度</w:t>
            </w:r>
          </w:p>
        </w:tc>
        <w:tc>
          <w:tcPr>
            <w:tcW w:w="2551" w:type="dxa"/>
            <w:vAlign w:val="center"/>
          </w:tcPr>
          <w:p>
            <w:pPr>
              <w:pStyle w:val="28"/>
            </w:pPr>
            <w:r>
              <w:t>100百分百</w:t>
            </w:r>
          </w:p>
        </w:tc>
        <w:tc>
          <w:tcPr>
            <w:tcW w:w="2268" w:type="dxa"/>
            <w:vAlign w:val="center"/>
          </w:tcPr>
          <w:p>
            <w:pPr>
              <w:pStyle w:val="28"/>
            </w:pPr>
            <w:r>
              <w:t>参会企业和客商满意度</w:t>
            </w:r>
          </w:p>
        </w:tc>
      </w:tr>
    </w:tbl>
    <w:p>
      <w:pPr>
        <w:pStyle w:val="26"/>
      </w:pPr>
    </w:p>
    <w:p>
      <w:pPr>
        <w:pStyle w:val="26"/>
        <w:ind w:firstLine="560"/>
      </w:pPr>
      <w:r>
        <w:rPr>
          <w:rFonts w:ascii="方正仿宋_GBK" w:hAnsi="方正仿宋_GBK" w:eastAsia="方正仿宋_GBK" w:cs="方正仿宋_GBK"/>
          <w:b/>
          <w:color w:val="000000"/>
          <w:sz w:val="28"/>
        </w:rPr>
        <w:t>18、驻点招商绩效目标表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1.充分发挥驻外招商办事处桥头堡作用，积极对接先进地区，摸排搜集有效招商线索，推动和引领我县招商工作，力争引进一批有战略意义的龙头企业。</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≥30家</w:t>
            </w:r>
          </w:p>
        </w:tc>
        <w:tc>
          <w:tcPr>
            <w:tcW w:w="2268" w:type="dxa"/>
            <w:vAlign w:val="center"/>
          </w:tcPr>
          <w:p>
            <w:pPr>
              <w:pStyle w:val="28"/>
            </w:pPr>
            <w:r>
              <w:t>联系企业数量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各项综合工作的完成率</w:t>
            </w:r>
          </w:p>
        </w:tc>
        <w:tc>
          <w:tcPr>
            <w:tcW w:w="2835" w:type="dxa"/>
            <w:vAlign w:val="center"/>
          </w:tcPr>
          <w:p>
            <w:pPr>
              <w:pStyle w:val="28"/>
            </w:pPr>
            <w:r>
              <w:t>各项综合工作的完成率</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上级安排工作的完成时间</w:t>
            </w:r>
          </w:p>
        </w:tc>
        <w:tc>
          <w:tcPr>
            <w:tcW w:w="2551" w:type="dxa"/>
            <w:vAlign w:val="center"/>
          </w:tcPr>
          <w:p>
            <w:pPr>
              <w:pStyle w:val="28"/>
            </w:pPr>
            <w:r>
              <w:t>100按时完成</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是否能够控制日常工作成本</w:t>
            </w:r>
          </w:p>
        </w:tc>
        <w:tc>
          <w:tcPr>
            <w:tcW w:w="2551" w:type="dxa"/>
            <w:vAlign w:val="center"/>
          </w:tcPr>
          <w:p>
            <w:pPr>
              <w:pStyle w:val="28"/>
            </w:pPr>
            <w:r>
              <w:t>100百分百控制</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对经济发展带来效果</w:t>
            </w:r>
          </w:p>
        </w:tc>
        <w:tc>
          <w:tcPr>
            <w:tcW w:w="2835" w:type="dxa"/>
            <w:vAlign w:val="center"/>
          </w:tcPr>
          <w:p>
            <w:pPr>
              <w:pStyle w:val="28"/>
            </w:pPr>
            <w:r>
              <w:t>经济稳定发展</w:t>
            </w:r>
          </w:p>
        </w:tc>
        <w:tc>
          <w:tcPr>
            <w:tcW w:w="2551" w:type="dxa"/>
            <w:vAlign w:val="center"/>
          </w:tcPr>
          <w:p>
            <w:pPr>
              <w:pStyle w:val="28"/>
            </w:pPr>
            <w:r>
              <w:t>≥4家</w:t>
            </w:r>
          </w:p>
        </w:tc>
        <w:tc>
          <w:tcPr>
            <w:tcW w:w="2268" w:type="dxa"/>
            <w:vAlign w:val="center"/>
          </w:tcPr>
          <w:p>
            <w:pPr>
              <w:pStyle w:val="28"/>
            </w:pPr>
            <w:r>
              <w:t>招引项目个数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我县招商环境对外宣传推广情况</w:t>
            </w:r>
          </w:p>
        </w:tc>
        <w:tc>
          <w:tcPr>
            <w:tcW w:w="2551" w:type="dxa"/>
            <w:vAlign w:val="center"/>
          </w:tcPr>
          <w:p>
            <w:pPr>
              <w:pStyle w:val="28"/>
            </w:pPr>
            <w:r>
              <w:t>≥3次</w:t>
            </w:r>
          </w:p>
        </w:tc>
        <w:tc>
          <w:tcPr>
            <w:tcW w:w="2268" w:type="dxa"/>
            <w:vAlign w:val="center"/>
          </w:tcPr>
          <w:p>
            <w:pPr>
              <w:pStyle w:val="28"/>
            </w:pPr>
            <w:r>
              <w:t>举办招商推介会次数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招商宣传资料的长期使用性</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招商宣传资料使用时长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来隆考察投资企业的满意度</w:t>
            </w:r>
          </w:p>
        </w:tc>
        <w:tc>
          <w:tcPr>
            <w:tcW w:w="2835" w:type="dxa"/>
            <w:vAlign w:val="center"/>
          </w:tcPr>
          <w:p>
            <w:pPr>
              <w:pStyle w:val="28"/>
            </w:pPr>
            <w:r>
              <w:t>来隆考察投资企业的满意度</w:t>
            </w:r>
          </w:p>
        </w:tc>
        <w:tc>
          <w:tcPr>
            <w:tcW w:w="2551" w:type="dxa"/>
            <w:vAlign w:val="center"/>
          </w:tcPr>
          <w:p>
            <w:pPr>
              <w:pStyle w:val="28"/>
            </w:pPr>
            <w:r>
              <w:t>100百分百</w:t>
            </w:r>
          </w:p>
        </w:tc>
        <w:tc>
          <w:tcPr>
            <w:tcW w:w="2268" w:type="dxa"/>
            <w:vAlign w:val="center"/>
          </w:tcPr>
          <w:p>
            <w:pPr>
              <w:pStyle w:val="28"/>
            </w:pPr>
            <w:r>
              <w:t>来隆考察投资企业的满意度</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2022年，隆尧县商务局安排政府采购预算254.80万元。具体内容见下表。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814隆尧县商务局</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254.80</w:t>
            </w:r>
          </w:p>
        </w:tc>
        <w:tc>
          <w:tcPr>
            <w:tcW w:w="964" w:type="dxa"/>
            <w:vAlign w:val="center"/>
          </w:tcPr>
          <w:p>
            <w:pPr>
              <w:pStyle w:val="17"/>
            </w:pPr>
            <w:r>
              <w:t>254.80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隆尧县商务局本级小计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36.80</w:t>
            </w:r>
          </w:p>
        </w:tc>
        <w:tc>
          <w:tcPr>
            <w:tcW w:w="964" w:type="dxa"/>
            <w:vAlign w:val="center"/>
          </w:tcPr>
          <w:p>
            <w:pPr>
              <w:pStyle w:val="17"/>
            </w:pPr>
            <w:r>
              <w:t>36.80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跨境电商专项</w:t>
            </w:r>
          </w:p>
        </w:tc>
        <w:tc>
          <w:tcPr>
            <w:tcW w:w="964" w:type="dxa"/>
            <w:vAlign w:val="center"/>
          </w:tcPr>
          <w:p>
            <w:pPr>
              <w:pStyle w:val="13"/>
            </w:pPr>
            <w:r>
              <w:t>60.00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36.80</w:t>
            </w:r>
          </w:p>
        </w:tc>
        <w:tc>
          <w:tcPr>
            <w:tcW w:w="964" w:type="dxa"/>
            <w:vAlign w:val="center"/>
          </w:tcPr>
          <w:p>
            <w:pPr>
              <w:pStyle w:val="13"/>
            </w:pPr>
            <w:r>
              <w:t>36.80</w:t>
            </w:r>
          </w:p>
        </w:tc>
        <w:tc>
          <w:tcPr>
            <w:tcW w:w="964" w:type="dxa"/>
            <w:vAlign w:val="center"/>
          </w:tcPr>
          <w:p>
            <w:pPr>
              <w:pStyle w:val="13"/>
            </w:pPr>
            <w:r>
              <w:t>36.80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隆尧县招商服务中心小计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218.00</w:t>
            </w:r>
          </w:p>
        </w:tc>
        <w:tc>
          <w:tcPr>
            <w:tcW w:w="964" w:type="dxa"/>
            <w:vAlign w:val="center"/>
          </w:tcPr>
          <w:p>
            <w:pPr>
              <w:pStyle w:val="17"/>
            </w:pPr>
            <w:r>
              <w:t>218.00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委托招商服务经费</w:t>
            </w:r>
          </w:p>
        </w:tc>
        <w:tc>
          <w:tcPr>
            <w:tcW w:w="964" w:type="dxa"/>
            <w:vAlign w:val="center"/>
          </w:tcPr>
          <w:p>
            <w:pPr>
              <w:pStyle w:val="13"/>
            </w:pPr>
            <w:r>
              <w:t>218.00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218.00</w:t>
            </w:r>
          </w:p>
        </w:tc>
        <w:tc>
          <w:tcPr>
            <w:tcW w:w="964" w:type="dxa"/>
            <w:vAlign w:val="center"/>
          </w:tcPr>
          <w:p>
            <w:pPr>
              <w:pStyle w:val="13"/>
            </w:pPr>
            <w:r>
              <w:t>218.00</w:t>
            </w:r>
          </w:p>
        </w:tc>
        <w:tc>
          <w:tcPr>
            <w:tcW w:w="964" w:type="dxa"/>
            <w:vAlign w:val="center"/>
          </w:tcPr>
          <w:p>
            <w:pPr>
              <w:pStyle w:val="13"/>
            </w:pPr>
            <w:r>
              <w:t>218.00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隆尧县商务局（含所属单位）上年末固定资产金额为31.71万元（详见下表）。本年度拟购置固定资产总额为0.00万元，已按要求列入政府采购预算，详见政府采购预算表。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814隆尧县商务局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489</w:t>
            </w:r>
          </w:p>
        </w:tc>
        <w:tc>
          <w:tcPr>
            <w:tcW w:w="2835" w:type="dxa"/>
            <w:vAlign w:val="center"/>
          </w:tcPr>
          <w:p>
            <w:pPr>
              <w:pStyle w:val="13"/>
            </w:pPr>
            <w:r>
              <w:t>31.71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w:t>
      </w:r>
      <w:r>
        <w:rPr>
          <w:rFonts w:hint="eastAsia" w:eastAsia="方正仿宋_GBK"/>
          <w:color w:val="000000"/>
          <w:sz w:val="28"/>
          <w:lang w:val="en-US" w:eastAsia="zh-CN"/>
        </w:rPr>
        <w:t>部门</w:t>
      </w:r>
      <w:r>
        <w:rPr>
          <w:rFonts w:eastAsia="方正仿宋_GBK"/>
          <w:color w:val="000000"/>
          <w:sz w:val="28"/>
        </w:rPr>
        <w:t>公务出国（境）的住宿费、旅费、伙食补助费、杂费、培训费等支出；公务用车购置及运维费反映</w:t>
      </w:r>
      <w:r>
        <w:rPr>
          <w:rFonts w:hint="eastAsia" w:eastAsia="方正仿宋_GBK"/>
          <w:color w:val="000000"/>
          <w:sz w:val="28"/>
          <w:lang w:val="en-US" w:eastAsia="zh-CN"/>
        </w:rPr>
        <w:t>部门</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val="en-US" w:eastAsia="zh-CN"/>
        </w:rPr>
        <w:t>部门</w:t>
      </w:r>
      <w:r>
        <w:rPr>
          <w:rFonts w:eastAsia="方正仿宋_GBK"/>
          <w:color w:val="000000"/>
          <w:sz w:val="28"/>
        </w:rPr>
        <w:t>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cyZjg5MDk4YmQyNWYwZDdkMDk4NDQyMTI4ODVkOTAifQ=="/>
  </w:docVars>
  <w:rsids>
    <w:rsidRoot w:val="00A82458"/>
    <w:rsid w:val="0065691A"/>
    <w:rsid w:val="007D1BC2"/>
    <w:rsid w:val="00961683"/>
    <w:rsid w:val="00A82458"/>
    <w:rsid w:val="00B2686E"/>
    <w:rsid w:val="00C06E85"/>
    <w:rsid w:val="00E24FA2"/>
    <w:rsid w:val="00F317D9"/>
    <w:rsid w:val="02375564"/>
    <w:rsid w:val="06387418"/>
    <w:rsid w:val="0CC60C94"/>
    <w:rsid w:val="14C3780A"/>
    <w:rsid w:val="1D837088"/>
    <w:rsid w:val="22577640"/>
    <w:rsid w:val="2FDF1E96"/>
    <w:rsid w:val="443219C0"/>
    <w:rsid w:val="455246DA"/>
    <w:rsid w:val="4BE71438"/>
    <w:rsid w:val="53A4713A"/>
    <w:rsid w:val="5CF542FE"/>
    <w:rsid w:val="635B7FF2"/>
    <w:rsid w:val="63E9020D"/>
    <w:rsid w:val="68650419"/>
    <w:rsid w:val="692E44AA"/>
    <w:rsid w:val="75E97CB5"/>
    <w:rsid w:val="7C7C35AB"/>
    <w:rsid w:val="7E325A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02ea5c7d-d318-4777-aae4-a8ecf1784a0e"/>
    <w:qFormat/>
    <w:uiPriority w:val="0"/>
    <w:rPr>
      <w:rFonts w:ascii="Times New Roman" w:hAnsi="Times New Roman" w:eastAsia="Times New Roman" w:cs="Times New Roman"/>
      <w:sz w:val="24"/>
      <w:szCs w:val="24"/>
      <w:lang w:val="en-US" w:eastAsia="uk-UA" w:bidi="ar-SA"/>
    </w:rPr>
  </w:style>
  <w:style w:type="paragraph" w:customStyle="1" w:styleId="27">
    <w:name w:val="单元格样式1_c6dccc3e-1f7d-4c29-b421-a0052de69c12"/>
    <w:basedOn w:val="1"/>
    <w:qFormat/>
    <w:uiPriority w:val="0"/>
    <w:pPr>
      <w:jc w:val="center"/>
    </w:pPr>
    <w:rPr>
      <w:rFonts w:ascii="方正书宋_GBK" w:hAnsi="方正书宋_GBK" w:eastAsia="方正书宋_GBK" w:cs="方正书宋_GBK"/>
      <w:b/>
      <w:sz w:val="21"/>
    </w:rPr>
  </w:style>
  <w:style w:type="paragraph" w:customStyle="1" w:styleId="28">
    <w:name w:val="单元格样式2_e37a9758-86a8-43dd-9f28-a83750ba3abf"/>
    <w:basedOn w:val="1"/>
    <w:qFormat/>
    <w:uiPriority w:val="0"/>
    <w:rPr>
      <w:rFonts w:ascii="方正书宋_GBK" w:hAnsi="方正书宋_GBK" w:eastAsia="方正书宋_GBK" w:cs="方正书宋_GBK"/>
      <w:sz w:val="21"/>
    </w:rPr>
  </w:style>
  <w:style w:type="paragraph" w:customStyle="1" w:styleId="29">
    <w:name w:val="单元格样式3_4f234b92-ab91-41f0-837a-03e59da125ca"/>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2022-02-15T10:07:19Z</dcterms:created>
  <dcterms:modified xsi:type="dcterms:W3CDTF">2022-02-15T02:07:19Z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2022-02-15T10:07:23Z</dcterms:created>
  <dcterms:modified xsi:type="dcterms:W3CDTF">2022-02-15T02:07:23Z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2022-02-15T10:07:15Z</dcterms:created>
  <dcterms:modified xsi:type="dcterms:W3CDTF">2022-02-15T02:07:15Z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2022-02-15T10:07:21Z</dcterms:created>
  <dcterms:modified xsi:type="dcterms:W3CDTF">2022-02-15T02:07:21Z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2022-02-15T10:07:17Z</dcterms:created>
  <dcterms:modified xsi:type="dcterms:W3CDTF">2022-02-15T02:07:17Z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2022-02-15T10:07:23Z</dcterms:created>
  <dcterms:modified xsi:type="dcterms:W3CDTF">2022-02-15T02:07:23Z</dcterms:modified>
</cp:coreProperties>
</file>

<file path=customXml/itemProps1.xml><?xml version="1.0" encoding="utf-8"?>
<ds:datastoreItem xmlns:ds="http://schemas.openxmlformats.org/officeDocument/2006/customXml" ds:itemID="{0D23ABC3-B542-435D-897C-6014101D0DFD}">
  <ds:schemaRefs/>
</ds:datastoreItem>
</file>

<file path=customXml/itemProps10.xml><?xml version="1.0" encoding="utf-8"?>
<ds:datastoreItem xmlns:ds="http://schemas.openxmlformats.org/officeDocument/2006/customXml" ds:itemID="{FFA49C3B-22ED-426A-8A47-C1626F02E048}">
  <ds:schemaRefs/>
</ds:datastoreItem>
</file>

<file path=customXml/itemProps11.xml><?xml version="1.0" encoding="utf-8"?>
<ds:datastoreItem xmlns:ds="http://schemas.openxmlformats.org/officeDocument/2006/customXml" ds:itemID="{26C9ADF1-E256-4164-BFD4-89B6212DC4BD}">
  <ds:schemaRefs/>
</ds:datastoreItem>
</file>

<file path=customXml/itemProps12.xml><?xml version="1.0" encoding="utf-8"?>
<ds:datastoreItem xmlns:ds="http://schemas.openxmlformats.org/officeDocument/2006/customXml" ds:itemID="{67E7C514-476A-4BC1-959A-1E2C199C0303}">
  <ds:schemaRefs/>
</ds:datastoreItem>
</file>

<file path=customXml/itemProps2.xml><?xml version="1.0" encoding="utf-8"?>
<ds:datastoreItem xmlns:ds="http://schemas.openxmlformats.org/officeDocument/2006/customXml" ds:itemID="{C4AE77C3-9DDD-4B9B-9B9C-0291B97918D8}">
  <ds:schemaRefs/>
</ds:datastoreItem>
</file>

<file path=customXml/itemProps3.xml><?xml version="1.0" encoding="utf-8"?>
<ds:datastoreItem xmlns:ds="http://schemas.openxmlformats.org/officeDocument/2006/customXml" ds:itemID="{0189A2F6-780B-4B98-9AC5-D07571A4B87E}">
  <ds:schemaRefs/>
</ds:datastoreItem>
</file>

<file path=customXml/itemProps4.xml><?xml version="1.0" encoding="utf-8"?>
<ds:datastoreItem xmlns:ds="http://schemas.openxmlformats.org/officeDocument/2006/customXml" ds:itemID="{3B85F8BB-337E-40B1-BE51-F9C9FFD8AED4}">
  <ds:schemaRefs/>
</ds:datastoreItem>
</file>

<file path=customXml/itemProps5.xml><?xml version="1.0" encoding="utf-8"?>
<ds:datastoreItem xmlns:ds="http://schemas.openxmlformats.org/officeDocument/2006/customXml" ds:itemID="{F4421A02-D8A2-4444-9877-BE028CB4A248}">
  <ds:schemaRefs/>
</ds:datastoreItem>
</file>

<file path=customXml/itemProps6.xml><?xml version="1.0" encoding="utf-8"?>
<ds:datastoreItem xmlns:ds="http://schemas.openxmlformats.org/officeDocument/2006/customXml" ds:itemID="{815CFECF-6E4A-41F9-9EC7-DC23EACC88CA}">
  <ds:schemaRefs/>
</ds:datastoreItem>
</file>

<file path=customXml/itemProps7.xml><?xml version="1.0" encoding="utf-8"?>
<ds:datastoreItem xmlns:ds="http://schemas.openxmlformats.org/officeDocument/2006/customXml" ds:itemID="{06325A76-EF64-4D46-AAFB-90B1786D1A9B}">
  <ds:schemaRefs/>
</ds:datastoreItem>
</file>

<file path=customXml/itemProps8.xml><?xml version="1.0" encoding="utf-8"?>
<ds:datastoreItem xmlns:ds="http://schemas.openxmlformats.org/officeDocument/2006/customXml" ds:itemID="{9D51A77F-8879-4D8B-8942-B3C73AF6EF28}">
  <ds:schemaRefs/>
</ds:datastoreItem>
</file>

<file path=customXml/itemProps9.xml><?xml version="1.0" encoding="utf-8"?>
<ds:datastoreItem xmlns:ds="http://schemas.openxmlformats.org/officeDocument/2006/customXml" ds:itemID="{64712C18-67A7-4DC7-9235-FE9A3CBB7224}">
  <ds:schemaRefs/>
</ds:datastoreItem>
</file>

<file path=docProps/app.xml><?xml version="1.0" encoding="utf-8"?>
<Properties xmlns="http://schemas.openxmlformats.org/officeDocument/2006/extended-properties" xmlns:vt="http://schemas.openxmlformats.org/officeDocument/2006/docPropsVTypes">
  <Template>Normal</Template>
  <Pages>92</Pages>
  <Words>34915</Words>
  <Characters>40389</Characters>
  <Lines>357</Lines>
  <Paragraphs>100</Paragraphs>
  <TotalTime>5</TotalTime>
  <ScaleCrop>false</ScaleCrop>
  <LinksUpToDate>false</LinksUpToDate>
  <CharactersWithSpaces>40931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2022-02-15T10:07:00Z</dcterms:created>
  <dc:creator>Administrator</dc:creator>
  <cp:lastModifiedBy>心向往新期待</cp:lastModifiedBy>
  <dcterms:modified xsi:type="dcterms:W3CDTF">2023-09-06T01:32:29Z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3400E094062644EFAE2494FC5FE5AEFD</vt:lpwstr>
  </property>
</Properties>
</file>