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rPr>
          <w:rFonts w:hint="eastAsia" w:eastAsiaTheme="minorEastAsia"/>
          <w:lang w:eastAsia="zh-CN"/>
        </w:rPr>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asciiTheme="minorEastAsia" w:hAnsiTheme="minorEastAsia" w:eastAsiaTheme="minorEastAsia"/>
          <w:lang w:val="en-US" w:eastAsia="zh-CN"/>
        </w:rPr>
        <w:t>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asciiTheme="minorEastAsia" w:hAnsiTheme="minorEastAsia" w:eastAsiaTheme="minor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asciiTheme="minorEastAsia" w:hAnsiTheme="minorEastAsia" w:eastAsiaTheme="minor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asciiTheme="minorEastAsia" w:hAnsiTheme="minorEastAsia" w:eastAsiaTheme="minor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asciiTheme="minorEastAsia" w:hAnsiTheme="minorEastAsia" w:eastAsiaTheme="minorEastAsia"/>
          <w:lang w:val="en-US" w:eastAsia="zh-CN"/>
        </w:rPr>
        <w:t>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814隆尧县商务局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1383.62</w:t>
            </w:r>
          </w:p>
        </w:tc>
        <w:tc>
          <w:tcPr>
            <w:tcW w:w="4535" w:type="dxa"/>
            <w:vAlign w:val="center"/>
          </w:tcPr>
          <w:p>
            <w:pPr>
              <w:pStyle w:val="14"/>
            </w:pPr>
            <w:r>
              <w:t>一、一般公共服务支出</w:t>
            </w:r>
          </w:p>
        </w:tc>
        <w:tc>
          <w:tcPr>
            <w:tcW w:w="2126" w:type="dxa"/>
            <w:vAlign w:val="center"/>
          </w:tcPr>
          <w:p>
            <w:pPr>
              <w:pStyle w:val="13"/>
            </w:pPr>
            <w:r>
              <w:t>1330.95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r>
              <w:t>884.93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1383.62</w:t>
            </w:r>
          </w:p>
        </w:tc>
        <w:tc>
          <w:tcPr>
            <w:tcW w:w="4535" w:type="dxa"/>
            <w:vAlign w:val="center"/>
          </w:tcPr>
          <w:p>
            <w:pPr>
              <w:pStyle w:val="16"/>
            </w:pPr>
            <w:r>
              <w:t>本年支出合计</w:t>
            </w:r>
          </w:p>
        </w:tc>
        <w:tc>
          <w:tcPr>
            <w:tcW w:w="2126" w:type="dxa"/>
            <w:vAlign w:val="center"/>
          </w:tcPr>
          <w:p>
            <w:pPr>
              <w:pStyle w:val="17"/>
            </w:pPr>
            <w:r>
              <w:t>2268.55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884.93</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2268.55</w:t>
            </w:r>
          </w:p>
        </w:tc>
        <w:tc>
          <w:tcPr>
            <w:tcW w:w="4535" w:type="dxa"/>
            <w:vAlign w:val="center"/>
          </w:tcPr>
          <w:p>
            <w:pPr>
              <w:pStyle w:val="16"/>
            </w:pPr>
            <w:r>
              <w:t>支出总计</w:t>
            </w:r>
          </w:p>
        </w:tc>
        <w:tc>
          <w:tcPr>
            <w:tcW w:w="2126" w:type="dxa"/>
            <w:vAlign w:val="center"/>
          </w:tcPr>
          <w:p>
            <w:pPr>
              <w:pStyle w:val="17"/>
            </w:pPr>
            <w:r>
              <w:t>2268.55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814隆尧县商务局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2268.55</w:t>
            </w:r>
          </w:p>
        </w:tc>
        <w:tc>
          <w:tcPr>
            <w:tcW w:w="1134" w:type="dxa"/>
            <w:vAlign w:val="center"/>
          </w:tcPr>
          <w:p>
            <w:pPr>
              <w:pStyle w:val="17"/>
            </w:pPr>
            <w:r>
              <w:t>1383.62</w:t>
            </w:r>
          </w:p>
        </w:tc>
        <w:tc>
          <w:tcPr>
            <w:tcW w:w="1134" w:type="dxa"/>
            <w:vAlign w:val="center"/>
          </w:tcPr>
          <w:p>
            <w:pPr>
              <w:pStyle w:val="17"/>
            </w:pPr>
            <w:r>
              <w:t>1383.62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1330.95</w:t>
            </w:r>
          </w:p>
        </w:tc>
        <w:tc>
          <w:tcPr>
            <w:tcW w:w="1134" w:type="dxa"/>
            <w:vAlign w:val="center"/>
          </w:tcPr>
          <w:p>
            <w:pPr>
              <w:pStyle w:val="13"/>
            </w:pPr>
            <w:r>
              <w:t>1330.95</w:t>
            </w:r>
          </w:p>
        </w:tc>
        <w:tc>
          <w:tcPr>
            <w:tcW w:w="1134" w:type="dxa"/>
            <w:vAlign w:val="center"/>
          </w:tcPr>
          <w:p>
            <w:pPr>
              <w:pStyle w:val="13"/>
            </w:pPr>
            <w:r>
              <w:t>1330.95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1330.95</w:t>
            </w:r>
          </w:p>
        </w:tc>
        <w:tc>
          <w:tcPr>
            <w:tcW w:w="1134" w:type="dxa"/>
            <w:vAlign w:val="center"/>
          </w:tcPr>
          <w:p>
            <w:pPr>
              <w:pStyle w:val="13"/>
            </w:pPr>
            <w:r>
              <w:t>1330.95</w:t>
            </w:r>
          </w:p>
        </w:tc>
        <w:tc>
          <w:tcPr>
            <w:tcW w:w="1134" w:type="dxa"/>
            <w:vAlign w:val="center"/>
          </w:tcPr>
          <w:p>
            <w:pPr>
              <w:pStyle w:val="13"/>
            </w:pPr>
            <w:r>
              <w:t>1330.95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2011301</w:t>
            </w:r>
          </w:p>
        </w:tc>
        <w:tc>
          <w:tcPr>
            <w:tcW w:w="1559" w:type="dxa"/>
            <w:vAlign w:val="center"/>
          </w:tcPr>
          <w:p>
            <w:pPr>
              <w:pStyle w:val="14"/>
            </w:pPr>
            <w:r>
              <w:t>行政运行</w:t>
            </w:r>
          </w:p>
        </w:tc>
        <w:tc>
          <w:tcPr>
            <w:tcW w:w="1134" w:type="dxa"/>
            <w:vAlign w:val="center"/>
          </w:tcPr>
          <w:p>
            <w:pPr>
              <w:pStyle w:val="13"/>
            </w:pPr>
            <w:r>
              <w:t>168.39</w:t>
            </w:r>
          </w:p>
        </w:tc>
        <w:tc>
          <w:tcPr>
            <w:tcW w:w="1134" w:type="dxa"/>
            <w:vAlign w:val="center"/>
          </w:tcPr>
          <w:p>
            <w:pPr>
              <w:pStyle w:val="13"/>
            </w:pPr>
            <w:r>
              <w:t>168.39</w:t>
            </w:r>
          </w:p>
        </w:tc>
        <w:tc>
          <w:tcPr>
            <w:tcW w:w="1134" w:type="dxa"/>
            <w:vAlign w:val="center"/>
          </w:tcPr>
          <w:p>
            <w:pPr>
              <w:pStyle w:val="13"/>
            </w:pPr>
            <w:r>
              <w:t>168.39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2011306</w:t>
            </w:r>
          </w:p>
        </w:tc>
        <w:tc>
          <w:tcPr>
            <w:tcW w:w="1559" w:type="dxa"/>
            <w:vAlign w:val="center"/>
          </w:tcPr>
          <w:p>
            <w:pPr>
              <w:pStyle w:val="14"/>
            </w:pPr>
            <w:r>
              <w:t>外资管理</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2011307</w:t>
            </w:r>
          </w:p>
        </w:tc>
        <w:tc>
          <w:tcPr>
            <w:tcW w:w="1559" w:type="dxa"/>
            <w:vAlign w:val="center"/>
          </w:tcPr>
          <w:p>
            <w:pPr>
              <w:pStyle w:val="14"/>
            </w:pPr>
            <w:r>
              <w:t>国内贸易管理</w:t>
            </w:r>
          </w:p>
        </w:tc>
        <w:tc>
          <w:tcPr>
            <w:tcW w:w="1134" w:type="dxa"/>
            <w:vAlign w:val="center"/>
          </w:tcPr>
          <w:p>
            <w:pPr>
              <w:pStyle w:val="13"/>
            </w:pPr>
            <w:r>
              <w:t>510.00</w:t>
            </w:r>
          </w:p>
        </w:tc>
        <w:tc>
          <w:tcPr>
            <w:tcW w:w="1134" w:type="dxa"/>
            <w:vAlign w:val="center"/>
          </w:tcPr>
          <w:p>
            <w:pPr>
              <w:pStyle w:val="13"/>
            </w:pPr>
            <w:r>
              <w:t>510.00</w:t>
            </w:r>
          </w:p>
        </w:tc>
        <w:tc>
          <w:tcPr>
            <w:tcW w:w="1134" w:type="dxa"/>
            <w:vAlign w:val="center"/>
          </w:tcPr>
          <w:p>
            <w:pPr>
              <w:pStyle w:val="13"/>
            </w:pPr>
            <w:r>
              <w:t>510.00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480.96</w:t>
            </w:r>
          </w:p>
        </w:tc>
        <w:tc>
          <w:tcPr>
            <w:tcW w:w="1134" w:type="dxa"/>
            <w:vAlign w:val="center"/>
          </w:tcPr>
          <w:p>
            <w:pPr>
              <w:pStyle w:val="13"/>
            </w:pPr>
            <w:r>
              <w:t>480.96</w:t>
            </w:r>
          </w:p>
        </w:tc>
        <w:tc>
          <w:tcPr>
            <w:tcW w:w="1134" w:type="dxa"/>
            <w:vAlign w:val="center"/>
          </w:tcPr>
          <w:p>
            <w:pPr>
              <w:pStyle w:val="13"/>
            </w:pPr>
            <w:r>
              <w:t>480.96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2011399</w:t>
            </w:r>
          </w:p>
        </w:tc>
        <w:tc>
          <w:tcPr>
            <w:tcW w:w="1559" w:type="dxa"/>
            <w:vAlign w:val="center"/>
          </w:tcPr>
          <w:p>
            <w:pPr>
              <w:pStyle w:val="14"/>
            </w:pPr>
            <w:r>
              <w:t>其他商贸事务支出</w:t>
            </w:r>
          </w:p>
        </w:tc>
        <w:tc>
          <w:tcPr>
            <w:tcW w:w="1134" w:type="dxa"/>
            <w:vAlign w:val="center"/>
          </w:tcPr>
          <w:p>
            <w:pPr>
              <w:pStyle w:val="13"/>
            </w:pPr>
            <w:r>
              <w:t>166.60</w:t>
            </w:r>
          </w:p>
        </w:tc>
        <w:tc>
          <w:tcPr>
            <w:tcW w:w="1134" w:type="dxa"/>
            <w:vAlign w:val="center"/>
          </w:tcPr>
          <w:p>
            <w:pPr>
              <w:pStyle w:val="13"/>
            </w:pPr>
            <w:r>
              <w:t>166.60</w:t>
            </w:r>
          </w:p>
        </w:tc>
        <w:tc>
          <w:tcPr>
            <w:tcW w:w="1134" w:type="dxa"/>
            <w:vAlign w:val="center"/>
          </w:tcPr>
          <w:p>
            <w:pPr>
              <w:pStyle w:val="13"/>
            </w:pPr>
            <w:r>
              <w:t>166.60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22.49</w:t>
            </w:r>
          </w:p>
        </w:tc>
        <w:tc>
          <w:tcPr>
            <w:tcW w:w="1134" w:type="dxa"/>
            <w:vAlign w:val="center"/>
          </w:tcPr>
          <w:p>
            <w:pPr>
              <w:pStyle w:val="13"/>
            </w:pPr>
            <w:r>
              <w:t>22.49</w:t>
            </w:r>
          </w:p>
        </w:tc>
        <w:tc>
          <w:tcPr>
            <w:tcW w:w="1134" w:type="dxa"/>
            <w:vAlign w:val="center"/>
          </w:tcPr>
          <w:p>
            <w:pPr>
              <w:pStyle w:val="13"/>
            </w:pPr>
            <w:r>
              <w:t>22.49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22.49</w:t>
            </w:r>
          </w:p>
        </w:tc>
        <w:tc>
          <w:tcPr>
            <w:tcW w:w="1134" w:type="dxa"/>
            <w:vAlign w:val="center"/>
          </w:tcPr>
          <w:p>
            <w:pPr>
              <w:pStyle w:val="13"/>
            </w:pPr>
            <w:r>
              <w:t>22.49</w:t>
            </w:r>
          </w:p>
        </w:tc>
        <w:tc>
          <w:tcPr>
            <w:tcW w:w="1134" w:type="dxa"/>
            <w:vAlign w:val="center"/>
          </w:tcPr>
          <w:p>
            <w:pPr>
              <w:pStyle w:val="13"/>
            </w:pPr>
            <w:r>
              <w:t>22.49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22.49</w:t>
            </w:r>
          </w:p>
        </w:tc>
        <w:tc>
          <w:tcPr>
            <w:tcW w:w="1134" w:type="dxa"/>
            <w:vAlign w:val="center"/>
          </w:tcPr>
          <w:p>
            <w:pPr>
              <w:pStyle w:val="13"/>
            </w:pPr>
            <w:r>
              <w:t>22.49</w:t>
            </w:r>
          </w:p>
        </w:tc>
        <w:tc>
          <w:tcPr>
            <w:tcW w:w="1134" w:type="dxa"/>
            <w:vAlign w:val="center"/>
          </w:tcPr>
          <w:p>
            <w:pPr>
              <w:pStyle w:val="13"/>
            </w:pPr>
            <w:r>
              <w:t>22.49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10.89</w:t>
            </w:r>
          </w:p>
        </w:tc>
        <w:tc>
          <w:tcPr>
            <w:tcW w:w="1134" w:type="dxa"/>
            <w:vAlign w:val="center"/>
          </w:tcPr>
          <w:p>
            <w:pPr>
              <w:pStyle w:val="13"/>
            </w:pPr>
            <w:r>
              <w:t>10.89</w:t>
            </w:r>
          </w:p>
        </w:tc>
        <w:tc>
          <w:tcPr>
            <w:tcW w:w="1134" w:type="dxa"/>
            <w:vAlign w:val="center"/>
          </w:tcPr>
          <w:p>
            <w:pPr>
              <w:pStyle w:val="13"/>
            </w:pPr>
            <w:r>
              <w:t>10.89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10.89</w:t>
            </w:r>
          </w:p>
        </w:tc>
        <w:tc>
          <w:tcPr>
            <w:tcW w:w="1134" w:type="dxa"/>
            <w:vAlign w:val="center"/>
          </w:tcPr>
          <w:p>
            <w:pPr>
              <w:pStyle w:val="13"/>
            </w:pPr>
            <w:r>
              <w:t>10.89</w:t>
            </w:r>
          </w:p>
        </w:tc>
        <w:tc>
          <w:tcPr>
            <w:tcW w:w="1134" w:type="dxa"/>
            <w:vAlign w:val="center"/>
          </w:tcPr>
          <w:p>
            <w:pPr>
              <w:pStyle w:val="13"/>
            </w:pPr>
            <w:r>
              <w:t>10.89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3.21</w:t>
            </w:r>
          </w:p>
        </w:tc>
        <w:tc>
          <w:tcPr>
            <w:tcW w:w="1134" w:type="dxa"/>
            <w:vAlign w:val="center"/>
          </w:tcPr>
          <w:p>
            <w:pPr>
              <w:pStyle w:val="13"/>
            </w:pPr>
            <w:r>
              <w:t>3.21</w:t>
            </w:r>
          </w:p>
        </w:tc>
        <w:tc>
          <w:tcPr>
            <w:tcW w:w="1134" w:type="dxa"/>
            <w:vAlign w:val="center"/>
          </w:tcPr>
          <w:p>
            <w:pPr>
              <w:pStyle w:val="13"/>
            </w:pPr>
            <w:r>
              <w:t>3.21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216</w:t>
            </w:r>
          </w:p>
        </w:tc>
        <w:tc>
          <w:tcPr>
            <w:tcW w:w="1559" w:type="dxa"/>
            <w:vAlign w:val="center"/>
          </w:tcPr>
          <w:p>
            <w:pPr>
              <w:pStyle w:val="14"/>
            </w:pPr>
            <w:r>
              <w:t>商业服务业等支出</w:t>
            </w:r>
          </w:p>
        </w:tc>
        <w:tc>
          <w:tcPr>
            <w:tcW w:w="1134" w:type="dxa"/>
            <w:vAlign w:val="center"/>
          </w:tcPr>
          <w:p>
            <w:pPr>
              <w:pStyle w:val="13"/>
            </w:pPr>
            <w:r>
              <w:t>884.93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21602</w:t>
            </w:r>
          </w:p>
        </w:tc>
        <w:tc>
          <w:tcPr>
            <w:tcW w:w="1559" w:type="dxa"/>
            <w:vAlign w:val="center"/>
          </w:tcPr>
          <w:p>
            <w:pPr>
              <w:pStyle w:val="14"/>
            </w:pPr>
            <w:r>
              <w:t>商业流通事务</w:t>
            </w:r>
          </w:p>
        </w:tc>
        <w:tc>
          <w:tcPr>
            <w:tcW w:w="1134" w:type="dxa"/>
            <w:vAlign w:val="center"/>
          </w:tcPr>
          <w:p>
            <w:pPr>
              <w:pStyle w:val="13"/>
            </w:pPr>
            <w:r>
              <w:t>384.93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2160299</w:t>
            </w:r>
          </w:p>
        </w:tc>
        <w:tc>
          <w:tcPr>
            <w:tcW w:w="1559" w:type="dxa"/>
            <w:vAlign w:val="center"/>
          </w:tcPr>
          <w:p>
            <w:pPr>
              <w:pStyle w:val="14"/>
            </w:pPr>
            <w:r>
              <w:t>其他商业流通事务支出</w:t>
            </w:r>
          </w:p>
        </w:tc>
        <w:tc>
          <w:tcPr>
            <w:tcW w:w="1134" w:type="dxa"/>
            <w:vAlign w:val="center"/>
          </w:tcPr>
          <w:p>
            <w:pPr>
              <w:pStyle w:val="13"/>
            </w:pPr>
            <w:r>
              <w:t>384.93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21606</w:t>
            </w:r>
          </w:p>
        </w:tc>
        <w:tc>
          <w:tcPr>
            <w:tcW w:w="1559" w:type="dxa"/>
            <w:vAlign w:val="center"/>
          </w:tcPr>
          <w:p>
            <w:pPr>
              <w:pStyle w:val="14"/>
            </w:pPr>
            <w:r>
              <w:t>涉外发展服务支出</w:t>
            </w:r>
          </w:p>
        </w:tc>
        <w:tc>
          <w:tcPr>
            <w:tcW w:w="1134" w:type="dxa"/>
            <w:vAlign w:val="center"/>
          </w:tcPr>
          <w:p>
            <w:pPr>
              <w:pStyle w:val="13"/>
            </w:pPr>
            <w:r>
              <w:t>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2160699</w:t>
            </w:r>
          </w:p>
        </w:tc>
        <w:tc>
          <w:tcPr>
            <w:tcW w:w="1559" w:type="dxa"/>
            <w:vAlign w:val="center"/>
          </w:tcPr>
          <w:p>
            <w:pPr>
              <w:pStyle w:val="14"/>
            </w:pPr>
            <w:r>
              <w:t>其他涉外发展服务支出</w:t>
            </w:r>
          </w:p>
        </w:tc>
        <w:tc>
          <w:tcPr>
            <w:tcW w:w="1134" w:type="dxa"/>
            <w:vAlign w:val="center"/>
          </w:tcPr>
          <w:p>
            <w:pPr>
              <w:pStyle w:val="13"/>
            </w:pPr>
            <w:r>
              <w:t>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19.29</w:t>
            </w:r>
          </w:p>
        </w:tc>
        <w:tc>
          <w:tcPr>
            <w:tcW w:w="1134" w:type="dxa"/>
            <w:vAlign w:val="center"/>
          </w:tcPr>
          <w:p>
            <w:pPr>
              <w:pStyle w:val="13"/>
            </w:pPr>
            <w:r>
              <w:t>19.29</w:t>
            </w:r>
          </w:p>
        </w:tc>
        <w:tc>
          <w:tcPr>
            <w:tcW w:w="1134" w:type="dxa"/>
            <w:vAlign w:val="center"/>
          </w:tcPr>
          <w:p>
            <w:pPr>
              <w:pStyle w:val="13"/>
            </w:pPr>
            <w:r>
              <w:t>19.29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19.29</w:t>
            </w:r>
          </w:p>
        </w:tc>
        <w:tc>
          <w:tcPr>
            <w:tcW w:w="1134" w:type="dxa"/>
            <w:vAlign w:val="center"/>
          </w:tcPr>
          <w:p>
            <w:pPr>
              <w:pStyle w:val="13"/>
            </w:pPr>
            <w:r>
              <w:t>19.29</w:t>
            </w:r>
          </w:p>
        </w:tc>
        <w:tc>
          <w:tcPr>
            <w:tcW w:w="1134" w:type="dxa"/>
            <w:vAlign w:val="center"/>
          </w:tcPr>
          <w:p>
            <w:pPr>
              <w:pStyle w:val="13"/>
            </w:pPr>
            <w:r>
              <w:t>19.29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19.29</w:t>
            </w:r>
          </w:p>
        </w:tc>
        <w:tc>
          <w:tcPr>
            <w:tcW w:w="1134" w:type="dxa"/>
            <w:vAlign w:val="center"/>
          </w:tcPr>
          <w:p>
            <w:pPr>
              <w:pStyle w:val="13"/>
            </w:pPr>
            <w:r>
              <w:t>19.29</w:t>
            </w:r>
          </w:p>
        </w:tc>
        <w:tc>
          <w:tcPr>
            <w:tcW w:w="1134" w:type="dxa"/>
            <w:vAlign w:val="center"/>
          </w:tcPr>
          <w:p>
            <w:pPr>
              <w:pStyle w:val="13"/>
            </w:pPr>
            <w:r>
              <w:t>19.29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2268.55</w:t>
            </w:r>
          </w:p>
        </w:tc>
        <w:tc>
          <w:tcPr>
            <w:tcW w:w="1361" w:type="dxa"/>
            <w:vAlign w:val="center"/>
          </w:tcPr>
          <w:p>
            <w:pPr>
              <w:pStyle w:val="17"/>
            </w:pPr>
            <w:r>
              <w:t>275.79</w:t>
            </w:r>
          </w:p>
        </w:tc>
        <w:tc>
          <w:tcPr>
            <w:tcW w:w="1361" w:type="dxa"/>
            <w:vAlign w:val="center"/>
          </w:tcPr>
          <w:p>
            <w:pPr>
              <w:pStyle w:val="17"/>
            </w:pPr>
            <w:r>
              <w:t>1992.76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1330.95</w:t>
            </w:r>
          </w:p>
        </w:tc>
        <w:tc>
          <w:tcPr>
            <w:tcW w:w="1361" w:type="dxa"/>
            <w:vAlign w:val="center"/>
          </w:tcPr>
          <w:p>
            <w:pPr>
              <w:pStyle w:val="13"/>
            </w:pPr>
            <w:r>
              <w:t>223.12</w:t>
            </w:r>
          </w:p>
        </w:tc>
        <w:tc>
          <w:tcPr>
            <w:tcW w:w="1361" w:type="dxa"/>
            <w:vAlign w:val="center"/>
          </w:tcPr>
          <w:p>
            <w:pPr>
              <w:pStyle w:val="13"/>
            </w:pPr>
            <w:r>
              <w:t>1107.83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1330.95</w:t>
            </w:r>
          </w:p>
        </w:tc>
        <w:tc>
          <w:tcPr>
            <w:tcW w:w="1361" w:type="dxa"/>
            <w:vAlign w:val="center"/>
          </w:tcPr>
          <w:p>
            <w:pPr>
              <w:pStyle w:val="13"/>
            </w:pPr>
            <w:r>
              <w:t>223.12</w:t>
            </w:r>
          </w:p>
        </w:tc>
        <w:tc>
          <w:tcPr>
            <w:tcW w:w="1361" w:type="dxa"/>
            <w:vAlign w:val="center"/>
          </w:tcPr>
          <w:p>
            <w:pPr>
              <w:pStyle w:val="13"/>
            </w:pPr>
            <w:r>
              <w:t>1107.83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2011301</w:t>
            </w:r>
          </w:p>
        </w:tc>
        <w:tc>
          <w:tcPr>
            <w:tcW w:w="4535" w:type="dxa"/>
            <w:vAlign w:val="center"/>
          </w:tcPr>
          <w:p>
            <w:pPr>
              <w:pStyle w:val="14"/>
            </w:pPr>
            <w:r>
              <w:t>行政运行</w:t>
            </w:r>
          </w:p>
        </w:tc>
        <w:tc>
          <w:tcPr>
            <w:tcW w:w="1361" w:type="dxa"/>
            <w:vAlign w:val="center"/>
          </w:tcPr>
          <w:p>
            <w:pPr>
              <w:pStyle w:val="13"/>
            </w:pPr>
            <w:r>
              <w:t>168.39</w:t>
            </w:r>
          </w:p>
        </w:tc>
        <w:tc>
          <w:tcPr>
            <w:tcW w:w="1361" w:type="dxa"/>
            <w:vAlign w:val="center"/>
          </w:tcPr>
          <w:p>
            <w:pPr>
              <w:pStyle w:val="13"/>
            </w:pPr>
            <w:r>
              <w:t>166.66</w:t>
            </w:r>
          </w:p>
        </w:tc>
        <w:tc>
          <w:tcPr>
            <w:tcW w:w="1361" w:type="dxa"/>
            <w:vAlign w:val="center"/>
          </w:tcPr>
          <w:p>
            <w:pPr>
              <w:pStyle w:val="13"/>
            </w:pPr>
            <w:r>
              <w:t>1.73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2011306</w:t>
            </w:r>
          </w:p>
        </w:tc>
        <w:tc>
          <w:tcPr>
            <w:tcW w:w="4535" w:type="dxa"/>
            <w:vAlign w:val="center"/>
          </w:tcPr>
          <w:p>
            <w:pPr>
              <w:pStyle w:val="14"/>
            </w:pPr>
            <w:r>
              <w:t>外资管理</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2011307</w:t>
            </w:r>
          </w:p>
        </w:tc>
        <w:tc>
          <w:tcPr>
            <w:tcW w:w="4535" w:type="dxa"/>
            <w:vAlign w:val="center"/>
          </w:tcPr>
          <w:p>
            <w:pPr>
              <w:pStyle w:val="14"/>
            </w:pPr>
            <w:r>
              <w:t>国内贸易管理</w:t>
            </w:r>
          </w:p>
        </w:tc>
        <w:tc>
          <w:tcPr>
            <w:tcW w:w="1361" w:type="dxa"/>
            <w:vAlign w:val="center"/>
          </w:tcPr>
          <w:p>
            <w:pPr>
              <w:pStyle w:val="13"/>
            </w:pPr>
            <w:r>
              <w:t>510.00</w:t>
            </w:r>
          </w:p>
        </w:tc>
        <w:tc>
          <w:tcPr>
            <w:tcW w:w="1361" w:type="dxa"/>
            <w:vAlign w:val="center"/>
          </w:tcPr>
          <w:p>
            <w:pPr>
              <w:pStyle w:val="13"/>
            </w:pPr>
          </w:p>
        </w:tc>
        <w:tc>
          <w:tcPr>
            <w:tcW w:w="1361" w:type="dxa"/>
            <w:vAlign w:val="center"/>
          </w:tcPr>
          <w:p>
            <w:pPr>
              <w:pStyle w:val="13"/>
            </w:pPr>
            <w:r>
              <w:t>510.00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480.96</w:t>
            </w:r>
          </w:p>
        </w:tc>
        <w:tc>
          <w:tcPr>
            <w:tcW w:w="1361" w:type="dxa"/>
            <w:vAlign w:val="center"/>
          </w:tcPr>
          <w:p>
            <w:pPr>
              <w:pStyle w:val="13"/>
            </w:pPr>
            <w:r>
              <w:t>56.46</w:t>
            </w:r>
          </w:p>
        </w:tc>
        <w:tc>
          <w:tcPr>
            <w:tcW w:w="1361" w:type="dxa"/>
            <w:vAlign w:val="center"/>
          </w:tcPr>
          <w:p>
            <w:pPr>
              <w:pStyle w:val="13"/>
            </w:pPr>
            <w:r>
              <w:t>424.50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2011399</w:t>
            </w:r>
          </w:p>
        </w:tc>
        <w:tc>
          <w:tcPr>
            <w:tcW w:w="4535" w:type="dxa"/>
            <w:vAlign w:val="center"/>
          </w:tcPr>
          <w:p>
            <w:pPr>
              <w:pStyle w:val="14"/>
            </w:pPr>
            <w:r>
              <w:t>其他商贸事务支出</w:t>
            </w:r>
          </w:p>
        </w:tc>
        <w:tc>
          <w:tcPr>
            <w:tcW w:w="1361" w:type="dxa"/>
            <w:vAlign w:val="center"/>
          </w:tcPr>
          <w:p>
            <w:pPr>
              <w:pStyle w:val="13"/>
            </w:pPr>
            <w:r>
              <w:t>166.60</w:t>
            </w:r>
          </w:p>
        </w:tc>
        <w:tc>
          <w:tcPr>
            <w:tcW w:w="1361" w:type="dxa"/>
            <w:vAlign w:val="center"/>
          </w:tcPr>
          <w:p>
            <w:pPr>
              <w:pStyle w:val="13"/>
            </w:pPr>
          </w:p>
        </w:tc>
        <w:tc>
          <w:tcPr>
            <w:tcW w:w="1361" w:type="dxa"/>
            <w:vAlign w:val="center"/>
          </w:tcPr>
          <w:p>
            <w:pPr>
              <w:pStyle w:val="13"/>
            </w:pPr>
            <w:r>
              <w:t>166.60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22.49</w:t>
            </w:r>
          </w:p>
        </w:tc>
        <w:tc>
          <w:tcPr>
            <w:tcW w:w="1361" w:type="dxa"/>
            <w:vAlign w:val="center"/>
          </w:tcPr>
          <w:p>
            <w:pPr>
              <w:pStyle w:val="13"/>
            </w:pPr>
            <w:r>
              <w:t>22.49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22.49</w:t>
            </w:r>
          </w:p>
        </w:tc>
        <w:tc>
          <w:tcPr>
            <w:tcW w:w="1361" w:type="dxa"/>
            <w:vAlign w:val="center"/>
          </w:tcPr>
          <w:p>
            <w:pPr>
              <w:pStyle w:val="13"/>
            </w:pPr>
            <w:r>
              <w:t>22.49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22.49</w:t>
            </w:r>
          </w:p>
        </w:tc>
        <w:tc>
          <w:tcPr>
            <w:tcW w:w="1361" w:type="dxa"/>
            <w:vAlign w:val="center"/>
          </w:tcPr>
          <w:p>
            <w:pPr>
              <w:pStyle w:val="13"/>
            </w:pPr>
            <w:r>
              <w:t>22.49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10.89</w:t>
            </w:r>
          </w:p>
        </w:tc>
        <w:tc>
          <w:tcPr>
            <w:tcW w:w="1361" w:type="dxa"/>
            <w:vAlign w:val="center"/>
          </w:tcPr>
          <w:p>
            <w:pPr>
              <w:pStyle w:val="13"/>
            </w:pPr>
            <w:r>
              <w:t>10.89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10.89</w:t>
            </w:r>
          </w:p>
        </w:tc>
        <w:tc>
          <w:tcPr>
            <w:tcW w:w="1361" w:type="dxa"/>
            <w:vAlign w:val="center"/>
          </w:tcPr>
          <w:p>
            <w:pPr>
              <w:pStyle w:val="13"/>
            </w:pPr>
            <w:r>
              <w:t>10.89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7.68</w:t>
            </w:r>
          </w:p>
        </w:tc>
        <w:tc>
          <w:tcPr>
            <w:tcW w:w="1361" w:type="dxa"/>
            <w:vAlign w:val="center"/>
          </w:tcPr>
          <w:p>
            <w:pPr>
              <w:pStyle w:val="13"/>
            </w:pPr>
            <w:r>
              <w:t>7.68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3.21</w:t>
            </w:r>
          </w:p>
        </w:tc>
        <w:tc>
          <w:tcPr>
            <w:tcW w:w="1361" w:type="dxa"/>
            <w:vAlign w:val="center"/>
          </w:tcPr>
          <w:p>
            <w:pPr>
              <w:pStyle w:val="13"/>
            </w:pPr>
            <w:r>
              <w:t>3.21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216</w:t>
            </w:r>
          </w:p>
        </w:tc>
        <w:tc>
          <w:tcPr>
            <w:tcW w:w="4535" w:type="dxa"/>
            <w:vAlign w:val="center"/>
          </w:tcPr>
          <w:p>
            <w:pPr>
              <w:pStyle w:val="14"/>
            </w:pPr>
            <w:r>
              <w:t>商业服务业等支出</w:t>
            </w:r>
          </w:p>
        </w:tc>
        <w:tc>
          <w:tcPr>
            <w:tcW w:w="1361" w:type="dxa"/>
            <w:vAlign w:val="center"/>
          </w:tcPr>
          <w:p>
            <w:pPr>
              <w:pStyle w:val="13"/>
            </w:pPr>
            <w:r>
              <w:t>884.93</w:t>
            </w:r>
          </w:p>
        </w:tc>
        <w:tc>
          <w:tcPr>
            <w:tcW w:w="1361" w:type="dxa"/>
            <w:vAlign w:val="center"/>
          </w:tcPr>
          <w:p>
            <w:pPr>
              <w:pStyle w:val="13"/>
            </w:pPr>
          </w:p>
        </w:tc>
        <w:tc>
          <w:tcPr>
            <w:tcW w:w="1361" w:type="dxa"/>
            <w:vAlign w:val="center"/>
          </w:tcPr>
          <w:p>
            <w:pPr>
              <w:pStyle w:val="13"/>
            </w:pPr>
            <w:r>
              <w:t>884.93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21602</w:t>
            </w:r>
          </w:p>
        </w:tc>
        <w:tc>
          <w:tcPr>
            <w:tcW w:w="4535" w:type="dxa"/>
            <w:vAlign w:val="center"/>
          </w:tcPr>
          <w:p>
            <w:pPr>
              <w:pStyle w:val="14"/>
            </w:pPr>
            <w:r>
              <w:t>商业流通事务</w:t>
            </w:r>
          </w:p>
        </w:tc>
        <w:tc>
          <w:tcPr>
            <w:tcW w:w="1361" w:type="dxa"/>
            <w:vAlign w:val="center"/>
          </w:tcPr>
          <w:p>
            <w:pPr>
              <w:pStyle w:val="13"/>
            </w:pPr>
            <w:r>
              <w:t>384.93</w:t>
            </w:r>
          </w:p>
        </w:tc>
        <w:tc>
          <w:tcPr>
            <w:tcW w:w="1361" w:type="dxa"/>
            <w:vAlign w:val="center"/>
          </w:tcPr>
          <w:p>
            <w:pPr>
              <w:pStyle w:val="13"/>
            </w:pPr>
          </w:p>
        </w:tc>
        <w:tc>
          <w:tcPr>
            <w:tcW w:w="1361" w:type="dxa"/>
            <w:vAlign w:val="center"/>
          </w:tcPr>
          <w:p>
            <w:pPr>
              <w:pStyle w:val="13"/>
            </w:pPr>
            <w:r>
              <w:t>384.93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2160299</w:t>
            </w:r>
          </w:p>
        </w:tc>
        <w:tc>
          <w:tcPr>
            <w:tcW w:w="4535" w:type="dxa"/>
            <w:vAlign w:val="center"/>
          </w:tcPr>
          <w:p>
            <w:pPr>
              <w:pStyle w:val="14"/>
            </w:pPr>
            <w:r>
              <w:t>其他商业流通事务支出</w:t>
            </w:r>
          </w:p>
        </w:tc>
        <w:tc>
          <w:tcPr>
            <w:tcW w:w="1361" w:type="dxa"/>
            <w:vAlign w:val="center"/>
          </w:tcPr>
          <w:p>
            <w:pPr>
              <w:pStyle w:val="13"/>
            </w:pPr>
            <w:r>
              <w:t>384.93</w:t>
            </w:r>
          </w:p>
        </w:tc>
        <w:tc>
          <w:tcPr>
            <w:tcW w:w="1361" w:type="dxa"/>
            <w:vAlign w:val="center"/>
          </w:tcPr>
          <w:p>
            <w:pPr>
              <w:pStyle w:val="13"/>
            </w:pPr>
          </w:p>
        </w:tc>
        <w:tc>
          <w:tcPr>
            <w:tcW w:w="1361" w:type="dxa"/>
            <w:vAlign w:val="center"/>
          </w:tcPr>
          <w:p>
            <w:pPr>
              <w:pStyle w:val="13"/>
            </w:pPr>
            <w:r>
              <w:t>384.93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21606</w:t>
            </w:r>
          </w:p>
        </w:tc>
        <w:tc>
          <w:tcPr>
            <w:tcW w:w="4535" w:type="dxa"/>
            <w:vAlign w:val="center"/>
          </w:tcPr>
          <w:p>
            <w:pPr>
              <w:pStyle w:val="14"/>
            </w:pPr>
            <w:r>
              <w:t>涉外发展服务支出</w:t>
            </w:r>
          </w:p>
        </w:tc>
        <w:tc>
          <w:tcPr>
            <w:tcW w:w="1361" w:type="dxa"/>
            <w:vAlign w:val="center"/>
          </w:tcPr>
          <w:p>
            <w:pPr>
              <w:pStyle w:val="13"/>
            </w:pPr>
            <w:r>
              <w:t>500.00</w:t>
            </w:r>
          </w:p>
        </w:tc>
        <w:tc>
          <w:tcPr>
            <w:tcW w:w="1361" w:type="dxa"/>
            <w:vAlign w:val="center"/>
          </w:tcPr>
          <w:p>
            <w:pPr>
              <w:pStyle w:val="13"/>
            </w:pPr>
          </w:p>
        </w:tc>
        <w:tc>
          <w:tcPr>
            <w:tcW w:w="1361" w:type="dxa"/>
            <w:vAlign w:val="center"/>
          </w:tcPr>
          <w:p>
            <w:pPr>
              <w:pStyle w:val="13"/>
            </w:pPr>
            <w:r>
              <w:t>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2160699</w:t>
            </w:r>
          </w:p>
        </w:tc>
        <w:tc>
          <w:tcPr>
            <w:tcW w:w="4535" w:type="dxa"/>
            <w:vAlign w:val="center"/>
          </w:tcPr>
          <w:p>
            <w:pPr>
              <w:pStyle w:val="14"/>
            </w:pPr>
            <w:r>
              <w:t>其他涉外发展服务支出</w:t>
            </w:r>
          </w:p>
        </w:tc>
        <w:tc>
          <w:tcPr>
            <w:tcW w:w="1361" w:type="dxa"/>
            <w:vAlign w:val="center"/>
          </w:tcPr>
          <w:p>
            <w:pPr>
              <w:pStyle w:val="13"/>
            </w:pPr>
            <w:r>
              <w:t>500.00</w:t>
            </w:r>
          </w:p>
        </w:tc>
        <w:tc>
          <w:tcPr>
            <w:tcW w:w="1361" w:type="dxa"/>
            <w:vAlign w:val="center"/>
          </w:tcPr>
          <w:p>
            <w:pPr>
              <w:pStyle w:val="13"/>
            </w:pPr>
          </w:p>
        </w:tc>
        <w:tc>
          <w:tcPr>
            <w:tcW w:w="1361" w:type="dxa"/>
            <w:vAlign w:val="center"/>
          </w:tcPr>
          <w:p>
            <w:pPr>
              <w:pStyle w:val="13"/>
            </w:pPr>
            <w:r>
              <w:t>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19.29</w:t>
            </w:r>
          </w:p>
        </w:tc>
        <w:tc>
          <w:tcPr>
            <w:tcW w:w="1361" w:type="dxa"/>
            <w:vAlign w:val="center"/>
          </w:tcPr>
          <w:p>
            <w:pPr>
              <w:pStyle w:val="13"/>
            </w:pPr>
            <w:r>
              <w:t>19.29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19.29</w:t>
            </w:r>
          </w:p>
        </w:tc>
        <w:tc>
          <w:tcPr>
            <w:tcW w:w="1361" w:type="dxa"/>
            <w:vAlign w:val="center"/>
          </w:tcPr>
          <w:p>
            <w:pPr>
              <w:pStyle w:val="13"/>
            </w:pPr>
            <w:r>
              <w:t>19.29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19.29</w:t>
            </w:r>
          </w:p>
        </w:tc>
        <w:tc>
          <w:tcPr>
            <w:tcW w:w="1361" w:type="dxa"/>
            <w:vAlign w:val="center"/>
          </w:tcPr>
          <w:p>
            <w:pPr>
              <w:pStyle w:val="13"/>
            </w:pPr>
            <w:r>
              <w:t>19.29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1383.62</w:t>
            </w:r>
          </w:p>
        </w:tc>
        <w:tc>
          <w:tcPr>
            <w:tcW w:w="3402" w:type="dxa"/>
            <w:vAlign w:val="center"/>
          </w:tcPr>
          <w:p>
            <w:pPr>
              <w:pStyle w:val="14"/>
            </w:pPr>
            <w:r>
              <w:t>一、一般公共服务支出</w:t>
            </w:r>
          </w:p>
        </w:tc>
        <w:tc>
          <w:tcPr>
            <w:tcW w:w="1474" w:type="dxa"/>
            <w:vAlign w:val="center"/>
          </w:tcPr>
          <w:p>
            <w:pPr>
              <w:pStyle w:val="13"/>
            </w:pPr>
            <w:r>
              <w:t>1330.95</w:t>
            </w:r>
          </w:p>
        </w:tc>
        <w:tc>
          <w:tcPr>
            <w:tcW w:w="1474" w:type="dxa"/>
            <w:vAlign w:val="center"/>
          </w:tcPr>
          <w:p>
            <w:pPr>
              <w:pStyle w:val="13"/>
            </w:pPr>
            <w:r>
              <w:t>1330.95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22.49</w:t>
            </w:r>
          </w:p>
        </w:tc>
        <w:tc>
          <w:tcPr>
            <w:tcW w:w="1474" w:type="dxa"/>
            <w:vAlign w:val="center"/>
          </w:tcPr>
          <w:p>
            <w:pPr>
              <w:pStyle w:val="13"/>
            </w:pPr>
            <w:r>
              <w:t>22.49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10.89</w:t>
            </w:r>
          </w:p>
        </w:tc>
        <w:tc>
          <w:tcPr>
            <w:tcW w:w="1474" w:type="dxa"/>
            <w:vAlign w:val="center"/>
          </w:tcPr>
          <w:p>
            <w:pPr>
              <w:pStyle w:val="13"/>
            </w:pPr>
            <w:r>
              <w:t>10.89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r>
              <w:t>884.93</w:t>
            </w:r>
          </w:p>
        </w:tc>
        <w:tc>
          <w:tcPr>
            <w:tcW w:w="1474" w:type="dxa"/>
            <w:vAlign w:val="center"/>
          </w:tcPr>
          <w:p>
            <w:pPr>
              <w:pStyle w:val="13"/>
            </w:pPr>
            <w:r>
              <w:t>884.93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19.29</w:t>
            </w:r>
          </w:p>
        </w:tc>
        <w:tc>
          <w:tcPr>
            <w:tcW w:w="1474" w:type="dxa"/>
            <w:vAlign w:val="center"/>
          </w:tcPr>
          <w:p>
            <w:pPr>
              <w:pStyle w:val="13"/>
            </w:pPr>
            <w:r>
              <w:t>19.29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1383.62</w:t>
            </w:r>
          </w:p>
        </w:tc>
        <w:tc>
          <w:tcPr>
            <w:tcW w:w="3402" w:type="dxa"/>
            <w:vAlign w:val="center"/>
          </w:tcPr>
          <w:p>
            <w:pPr>
              <w:pStyle w:val="16"/>
            </w:pPr>
            <w:r>
              <w:t>本年支出合计</w:t>
            </w:r>
          </w:p>
        </w:tc>
        <w:tc>
          <w:tcPr>
            <w:tcW w:w="1474" w:type="dxa"/>
            <w:vAlign w:val="center"/>
          </w:tcPr>
          <w:p>
            <w:pPr>
              <w:pStyle w:val="17"/>
            </w:pPr>
            <w:r>
              <w:t>2268.55</w:t>
            </w:r>
          </w:p>
        </w:tc>
        <w:tc>
          <w:tcPr>
            <w:tcW w:w="1474" w:type="dxa"/>
            <w:vAlign w:val="center"/>
          </w:tcPr>
          <w:p>
            <w:pPr>
              <w:pStyle w:val="17"/>
            </w:pPr>
            <w:r>
              <w:t>2268.55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884.93</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884.93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2268.55</w:t>
            </w:r>
          </w:p>
        </w:tc>
        <w:tc>
          <w:tcPr>
            <w:tcW w:w="3402" w:type="dxa"/>
            <w:vAlign w:val="center"/>
          </w:tcPr>
          <w:p>
            <w:pPr>
              <w:pStyle w:val="16"/>
            </w:pPr>
            <w:r>
              <w:t>支出总计</w:t>
            </w:r>
          </w:p>
        </w:tc>
        <w:tc>
          <w:tcPr>
            <w:tcW w:w="1474" w:type="dxa"/>
            <w:vAlign w:val="center"/>
          </w:tcPr>
          <w:p>
            <w:pPr>
              <w:pStyle w:val="17"/>
            </w:pPr>
            <w:r>
              <w:t>2268.55</w:t>
            </w:r>
          </w:p>
        </w:tc>
        <w:tc>
          <w:tcPr>
            <w:tcW w:w="1474" w:type="dxa"/>
            <w:vAlign w:val="center"/>
          </w:tcPr>
          <w:p>
            <w:pPr>
              <w:pStyle w:val="17"/>
            </w:pPr>
            <w:r>
              <w:t>2268.55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2268.55</w:t>
            </w:r>
          </w:p>
        </w:tc>
        <w:tc>
          <w:tcPr>
            <w:tcW w:w="2551" w:type="dxa"/>
            <w:vAlign w:val="center"/>
          </w:tcPr>
          <w:p>
            <w:pPr>
              <w:pStyle w:val="17"/>
            </w:pPr>
            <w:r>
              <w:t>275.79</w:t>
            </w:r>
          </w:p>
        </w:tc>
        <w:tc>
          <w:tcPr>
            <w:tcW w:w="2551" w:type="dxa"/>
            <w:vAlign w:val="center"/>
          </w:tcPr>
          <w:p>
            <w:pPr>
              <w:pStyle w:val="17"/>
            </w:pPr>
            <w:r>
              <w:t>1992.76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1330.95</w:t>
            </w:r>
          </w:p>
        </w:tc>
        <w:tc>
          <w:tcPr>
            <w:tcW w:w="2551" w:type="dxa"/>
            <w:vAlign w:val="center"/>
          </w:tcPr>
          <w:p>
            <w:pPr>
              <w:pStyle w:val="13"/>
            </w:pPr>
            <w:r>
              <w:t>223.12</w:t>
            </w:r>
          </w:p>
        </w:tc>
        <w:tc>
          <w:tcPr>
            <w:tcW w:w="2551" w:type="dxa"/>
            <w:vAlign w:val="center"/>
          </w:tcPr>
          <w:p>
            <w:pPr>
              <w:pStyle w:val="13"/>
            </w:pPr>
            <w:r>
              <w:t>1107.83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1330.95</w:t>
            </w:r>
          </w:p>
        </w:tc>
        <w:tc>
          <w:tcPr>
            <w:tcW w:w="2551" w:type="dxa"/>
            <w:vAlign w:val="center"/>
          </w:tcPr>
          <w:p>
            <w:pPr>
              <w:pStyle w:val="13"/>
            </w:pPr>
            <w:r>
              <w:t>223.12</w:t>
            </w:r>
          </w:p>
        </w:tc>
        <w:tc>
          <w:tcPr>
            <w:tcW w:w="2551" w:type="dxa"/>
            <w:vAlign w:val="center"/>
          </w:tcPr>
          <w:p>
            <w:pPr>
              <w:pStyle w:val="13"/>
            </w:pPr>
            <w:r>
              <w:t>1107.83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2011301</w:t>
            </w:r>
          </w:p>
        </w:tc>
        <w:tc>
          <w:tcPr>
            <w:tcW w:w="4535" w:type="dxa"/>
            <w:vAlign w:val="center"/>
          </w:tcPr>
          <w:p>
            <w:pPr>
              <w:pStyle w:val="14"/>
            </w:pPr>
            <w:r>
              <w:t>行政运行</w:t>
            </w:r>
          </w:p>
        </w:tc>
        <w:tc>
          <w:tcPr>
            <w:tcW w:w="2551" w:type="dxa"/>
            <w:vAlign w:val="center"/>
          </w:tcPr>
          <w:p>
            <w:pPr>
              <w:pStyle w:val="13"/>
            </w:pPr>
            <w:r>
              <w:t>168.39</w:t>
            </w:r>
          </w:p>
        </w:tc>
        <w:tc>
          <w:tcPr>
            <w:tcW w:w="2551" w:type="dxa"/>
            <w:vAlign w:val="center"/>
          </w:tcPr>
          <w:p>
            <w:pPr>
              <w:pStyle w:val="13"/>
            </w:pPr>
            <w:r>
              <w:t>166.66</w:t>
            </w:r>
          </w:p>
        </w:tc>
        <w:tc>
          <w:tcPr>
            <w:tcW w:w="2551" w:type="dxa"/>
            <w:vAlign w:val="center"/>
          </w:tcPr>
          <w:p>
            <w:pPr>
              <w:pStyle w:val="13"/>
            </w:pPr>
            <w:r>
              <w:t>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2011306</w:t>
            </w:r>
          </w:p>
        </w:tc>
        <w:tc>
          <w:tcPr>
            <w:tcW w:w="4535" w:type="dxa"/>
            <w:vAlign w:val="center"/>
          </w:tcPr>
          <w:p>
            <w:pPr>
              <w:pStyle w:val="14"/>
            </w:pPr>
            <w:r>
              <w:t>外资管理</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2011307</w:t>
            </w:r>
          </w:p>
        </w:tc>
        <w:tc>
          <w:tcPr>
            <w:tcW w:w="4535" w:type="dxa"/>
            <w:vAlign w:val="center"/>
          </w:tcPr>
          <w:p>
            <w:pPr>
              <w:pStyle w:val="14"/>
            </w:pPr>
            <w:r>
              <w:t>国内贸易管理</w:t>
            </w:r>
          </w:p>
        </w:tc>
        <w:tc>
          <w:tcPr>
            <w:tcW w:w="2551" w:type="dxa"/>
            <w:vAlign w:val="center"/>
          </w:tcPr>
          <w:p>
            <w:pPr>
              <w:pStyle w:val="13"/>
            </w:pPr>
            <w:r>
              <w:t>510.00</w:t>
            </w:r>
          </w:p>
        </w:tc>
        <w:tc>
          <w:tcPr>
            <w:tcW w:w="2551" w:type="dxa"/>
            <w:vAlign w:val="center"/>
          </w:tcPr>
          <w:p>
            <w:pPr>
              <w:pStyle w:val="13"/>
            </w:pPr>
          </w:p>
        </w:tc>
        <w:tc>
          <w:tcPr>
            <w:tcW w:w="2551" w:type="dxa"/>
            <w:vAlign w:val="center"/>
          </w:tcPr>
          <w:p>
            <w:pPr>
              <w:pStyle w:val="13"/>
            </w:pPr>
            <w:r>
              <w:t>510.00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480.96</w:t>
            </w:r>
          </w:p>
        </w:tc>
        <w:tc>
          <w:tcPr>
            <w:tcW w:w="2551" w:type="dxa"/>
            <w:vAlign w:val="center"/>
          </w:tcPr>
          <w:p>
            <w:pPr>
              <w:pStyle w:val="13"/>
            </w:pPr>
            <w:r>
              <w:t>56.46</w:t>
            </w:r>
          </w:p>
        </w:tc>
        <w:tc>
          <w:tcPr>
            <w:tcW w:w="2551" w:type="dxa"/>
            <w:vAlign w:val="center"/>
          </w:tcPr>
          <w:p>
            <w:pPr>
              <w:pStyle w:val="13"/>
            </w:pPr>
            <w:r>
              <w:t>424.50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2011399</w:t>
            </w:r>
          </w:p>
        </w:tc>
        <w:tc>
          <w:tcPr>
            <w:tcW w:w="4535" w:type="dxa"/>
            <w:vAlign w:val="center"/>
          </w:tcPr>
          <w:p>
            <w:pPr>
              <w:pStyle w:val="14"/>
            </w:pPr>
            <w:r>
              <w:t>其他商贸事务支出</w:t>
            </w:r>
          </w:p>
        </w:tc>
        <w:tc>
          <w:tcPr>
            <w:tcW w:w="2551" w:type="dxa"/>
            <w:vAlign w:val="center"/>
          </w:tcPr>
          <w:p>
            <w:pPr>
              <w:pStyle w:val="13"/>
            </w:pPr>
            <w:r>
              <w:t>166.60</w:t>
            </w:r>
          </w:p>
        </w:tc>
        <w:tc>
          <w:tcPr>
            <w:tcW w:w="2551" w:type="dxa"/>
            <w:vAlign w:val="center"/>
          </w:tcPr>
          <w:p>
            <w:pPr>
              <w:pStyle w:val="13"/>
            </w:pPr>
          </w:p>
        </w:tc>
        <w:tc>
          <w:tcPr>
            <w:tcW w:w="2551" w:type="dxa"/>
            <w:vAlign w:val="center"/>
          </w:tcPr>
          <w:p>
            <w:pPr>
              <w:pStyle w:val="13"/>
            </w:pPr>
            <w:r>
              <w:t>166.60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22.49</w:t>
            </w:r>
          </w:p>
        </w:tc>
        <w:tc>
          <w:tcPr>
            <w:tcW w:w="2551" w:type="dxa"/>
            <w:vAlign w:val="center"/>
          </w:tcPr>
          <w:p>
            <w:pPr>
              <w:pStyle w:val="13"/>
            </w:pPr>
            <w:r>
              <w:t>22.49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22.49</w:t>
            </w:r>
          </w:p>
        </w:tc>
        <w:tc>
          <w:tcPr>
            <w:tcW w:w="2551" w:type="dxa"/>
            <w:vAlign w:val="center"/>
          </w:tcPr>
          <w:p>
            <w:pPr>
              <w:pStyle w:val="13"/>
            </w:pPr>
            <w:r>
              <w:t>22.49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22.49</w:t>
            </w:r>
          </w:p>
        </w:tc>
        <w:tc>
          <w:tcPr>
            <w:tcW w:w="2551" w:type="dxa"/>
            <w:vAlign w:val="center"/>
          </w:tcPr>
          <w:p>
            <w:pPr>
              <w:pStyle w:val="13"/>
            </w:pPr>
            <w:r>
              <w:t>22.49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10.89</w:t>
            </w:r>
          </w:p>
        </w:tc>
        <w:tc>
          <w:tcPr>
            <w:tcW w:w="2551" w:type="dxa"/>
            <w:vAlign w:val="center"/>
          </w:tcPr>
          <w:p>
            <w:pPr>
              <w:pStyle w:val="13"/>
            </w:pPr>
            <w:r>
              <w:t>10.89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10.89</w:t>
            </w:r>
          </w:p>
        </w:tc>
        <w:tc>
          <w:tcPr>
            <w:tcW w:w="2551" w:type="dxa"/>
            <w:vAlign w:val="center"/>
          </w:tcPr>
          <w:p>
            <w:pPr>
              <w:pStyle w:val="13"/>
            </w:pPr>
            <w:r>
              <w:t>10.89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7.68</w:t>
            </w:r>
          </w:p>
        </w:tc>
        <w:tc>
          <w:tcPr>
            <w:tcW w:w="2551" w:type="dxa"/>
            <w:vAlign w:val="center"/>
          </w:tcPr>
          <w:p>
            <w:pPr>
              <w:pStyle w:val="13"/>
            </w:pPr>
            <w:r>
              <w:t>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3.21</w:t>
            </w:r>
          </w:p>
        </w:tc>
        <w:tc>
          <w:tcPr>
            <w:tcW w:w="2551" w:type="dxa"/>
            <w:vAlign w:val="center"/>
          </w:tcPr>
          <w:p>
            <w:pPr>
              <w:pStyle w:val="13"/>
            </w:pPr>
            <w:r>
              <w:t>3.21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216</w:t>
            </w:r>
          </w:p>
        </w:tc>
        <w:tc>
          <w:tcPr>
            <w:tcW w:w="4535" w:type="dxa"/>
            <w:vAlign w:val="center"/>
          </w:tcPr>
          <w:p>
            <w:pPr>
              <w:pStyle w:val="14"/>
            </w:pPr>
            <w:r>
              <w:t>商业服务业等支出</w:t>
            </w:r>
          </w:p>
        </w:tc>
        <w:tc>
          <w:tcPr>
            <w:tcW w:w="2551" w:type="dxa"/>
            <w:vAlign w:val="center"/>
          </w:tcPr>
          <w:p>
            <w:pPr>
              <w:pStyle w:val="13"/>
            </w:pPr>
            <w:r>
              <w:t>884.93</w:t>
            </w:r>
          </w:p>
        </w:tc>
        <w:tc>
          <w:tcPr>
            <w:tcW w:w="2551" w:type="dxa"/>
            <w:vAlign w:val="center"/>
          </w:tcPr>
          <w:p>
            <w:pPr>
              <w:pStyle w:val="13"/>
            </w:pPr>
          </w:p>
        </w:tc>
        <w:tc>
          <w:tcPr>
            <w:tcW w:w="2551" w:type="dxa"/>
            <w:vAlign w:val="center"/>
          </w:tcPr>
          <w:p>
            <w:pPr>
              <w:pStyle w:val="13"/>
            </w:pPr>
            <w:r>
              <w:t>884.93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21602</w:t>
            </w:r>
          </w:p>
        </w:tc>
        <w:tc>
          <w:tcPr>
            <w:tcW w:w="4535" w:type="dxa"/>
            <w:vAlign w:val="center"/>
          </w:tcPr>
          <w:p>
            <w:pPr>
              <w:pStyle w:val="14"/>
            </w:pPr>
            <w:r>
              <w:t>商业流通事务</w:t>
            </w:r>
          </w:p>
        </w:tc>
        <w:tc>
          <w:tcPr>
            <w:tcW w:w="2551" w:type="dxa"/>
            <w:vAlign w:val="center"/>
          </w:tcPr>
          <w:p>
            <w:pPr>
              <w:pStyle w:val="13"/>
            </w:pPr>
            <w:r>
              <w:t>384.93</w:t>
            </w:r>
          </w:p>
        </w:tc>
        <w:tc>
          <w:tcPr>
            <w:tcW w:w="2551" w:type="dxa"/>
            <w:vAlign w:val="center"/>
          </w:tcPr>
          <w:p>
            <w:pPr>
              <w:pStyle w:val="13"/>
            </w:pPr>
          </w:p>
        </w:tc>
        <w:tc>
          <w:tcPr>
            <w:tcW w:w="2551" w:type="dxa"/>
            <w:vAlign w:val="center"/>
          </w:tcPr>
          <w:p>
            <w:pPr>
              <w:pStyle w:val="13"/>
            </w:pPr>
            <w:r>
              <w:t>384.93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2160299</w:t>
            </w:r>
          </w:p>
        </w:tc>
        <w:tc>
          <w:tcPr>
            <w:tcW w:w="4535" w:type="dxa"/>
            <w:vAlign w:val="center"/>
          </w:tcPr>
          <w:p>
            <w:pPr>
              <w:pStyle w:val="14"/>
            </w:pPr>
            <w:r>
              <w:t>其他商业流通事务支出</w:t>
            </w:r>
          </w:p>
        </w:tc>
        <w:tc>
          <w:tcPr>
            <w:tcW w:w="2551" w:type="dxa"/>
            <w:vAlign w:val="center"/>
          </w:tcPr>
          <w:p>
            <w:pPr>
              <w:pStyle w:val="13"/>
            </w:pPr>
            <w:r>
              <w:t>384.93</w:t>
            </w:r>
          </w:p>
        </w:tc>
        <w:tc>
          <w:tcPr>
            <w:tcW w:w="2551" w:type="dxa"/>
            <w:vAlign w:val="center"/>
          </w:tcPr>
          <w:p>
            <w:pPr>
              <w:pStyle w:val="13"/>
            </w:pPr>
          </w:p>
        </w:tc>
        <w:tc>
          <w:tcPr>
            <w:tcW w:w="2551" w:type="dxa"/>
            <w:vAlign w:val="center"/>
          </w:tcPr>
          <w:p>
            <w:pPr>
              <w:pStyle w:val="13"/>
            </w:pPr>
            <w:r>
              <w:t>384.93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21606</w:t>
            </w:r>
          </w:p>
        </w:tc>
        <w:tc>
          <w:tcPr>
            <w:tcW w:w="4535" w:type="dxa"/>
            <w:vAlign w:val="center"/>
          </w:tcPr>
          <w:p>
            <w:pPr>
              <w:pStyle w:val="14"/>
            </w:pPr>
            <w:r>
              <w:t>涉外发展服务支出</w:t>
            </w:r>
          </w:p>
        </w:tc>
        <w:tc>
          <w:tcPr>
            <w:tcW w:w="2551" w:type="dxa"/>
            <w:vAlign w:val="center"/>
          </w:tcPr>
          <w:p>
            <w:pPr>
              <w:pStyle w:val="13"/>
            </w:pPr>
            <w:r>
              <w:t>500.00</w:t>
            </w:r>
          </w:p>
        </w:tc>
        <w:tc>
          <w:tcPr>
            <w:tcW w:w="2551" w:type="dxa"/>
            <w:vAlign w:val="center"/>
          </w:tcPr>
          <w:p>
            <w:pPr>
              <w:pStyle w:val="13"/>
            </w:pPr>
          </w:p>
        </w:tc>
        <w:tc>
          <w:tcPr>
            <w:tcW w:w="2551"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2160699</w:t>
            </w:r>
          </w:p>
        </w:tc>
        <w:tc>
          <w:tcPr>
            <w:tcW w:w="4535" w:type="dxa"/>
            <w:vAlign w:val="center"/>
          </w:tcPr>
          <w:p>
            <w:pPr>
              <w:pStyle w:val="14"/>
            </w:pPr>
            <w:r>
              <w:t>其他涉外发展服务支出</w:t>
            </w:r>
          </w:p>
        </w:tc>
        <w:tc>
          <w:tcPr>
            <w:tcW w:w="2551" w:type="dxa"/>
            <w:vAlign w:val="center"/>
          </w:tcPr>
          <w:p>
            <w:pPr>
              <w:pStyle w:val="13"/>
            </w:pPr>
            <w:r>
              <w:t>500.00</w:t>
            </w:r>
          </w:p>
        </w:tc>
        <w:tc>
          <w:tcPr>
            <w:tcW w:w="2551" w:type="dxa"/>
            <w:vAlign w:val="center"/>
          </w:tcPr>
          <w:p>
            <w:pPr>
              <w:pStyle w:val="13"/>
            </w:pPr>
          </w:p>
        </w:tc>
        <w:tc>
          <w:tcPr>
            <w:tcW w:w="2551"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19.29</w:t>
            </w:r>
          </w:p>
        </w:tc>
        <w:tc>
          <w:tcPr>
            <w:tcW w:w="2551" w:type="dxa"/>
            <w:vAlign w:val="center"/>
          </w:tcPr>
          <w:p>
            <w:pPr>
              <w:pStyle w:val="13"/>
            </w:pPr>
            <w:r>
              <w:t>19.29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19.29</w:t>
            </w:r>
          </w:p>
        </w:tc>
        <w:tc>
          <w:tcPr>
            <w:tcW w:w="2551" w:type="dxa"/>
            <w:vAlign w:val="center"/>
          </w:tcPr>
          <w:p>
            <w:pPr>
              <w:pStyle w:val="13"/>
            </w:pPr>
            <w:r>
              <w:t>19.29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19.29</w:t>
            </w:r>
          </w:p>
        </w:tc>
        <w:tc>
          <w:tcPr>
            <w:tcW w:w="2551" w:type="dxa"/>
            <w:vAlign w:val="center"/>
          </w:tcPr>
          <w:p>
            <w:pPr>
              <w:pStyle w:val="13"/>
            </w:pPr>
            <w:r>
              <w:t>19.29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275.79</w:t>
            </w:r>
          </w:p>
        </w:tc>
        <w:tc>
          <w:tcPr>
            <w:tcW w:w="2551" w:type="dxa"/>
            <w:vAlign w:val="center"/>
          </w:tcPr>
          <w:p>
            <w:pPr>
              <w:pStyle w:val="17"/>
            </w:pPr>
            <w:r>
              <w:t>250.83</w:t>
            </w:r>
          </w:p>
        </w:tc>
        <w:tc>
          <w:tcPr>
            <w:tcW w:w="2551" w:type="dxa"/>
            <w:vAlign w:val="center"/>
          </w:tcPr>
          <w:p>
            <w:pPr>
              <w:pStyle w:val="17"/>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229.95</w:t>
            </w:r>
          </w:p>
        </w:tc>
        <w:tc>
          <w:tcPr>
            <w:tcW w:w="2551" w:type="dxa"/>
            <w:vAlign w:val="center"/>
          </w:tcPr>
          <w:p>
            <w:pPr>
              <w:pStyle w:val="13"/>
            </w:pPr>
            <w:r>
              <w:t>229.95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94.14</w:t>
            </w:r>
          </w:p>
        </w:tc>
        <w:tc>
          <w:tcPr>
            <w:tcW w:w="2551" w:type="dxa"/>
            <w:vAlign w:val="center"/>
          </w:tcPr>
          <w:p>
            <w:pPr>
              <w:pStyle w:val="13"/>
            </w:pPr>
            <w:r>
              <w:t>94.14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26.89</w:t>
            </w:r>
          </w:p>
        </w:tc>
        <w:tc>
          <w:tcPr>
            <w:tcW w:w="2551" w:type="dxa"/>
            <w:vAlign w:val="center"/>
          </w:tcPr>
          <w:p>
            <w:pPr>
              <w:pStyle w:val="13"/>
            </w:pPr>
            <w:r>
              <w:t>26.89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45.07</w:t>
            </w:r>
          </w:p>
        </w:tc>
        <w:tc>
          <w:tcPr>
            <w:tcW w:w="2551" w:type="dxa"/>
            <w:vAlign w:val="center"/>
          </w:tcPr>
          <w:p>
            <w:pPr>
              <w:pStyle w:val="13"/>
            </w:pPr>
            <w:r>
              <w:t>45.07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9.85</w:t>
            </w:r>
          </w:p>
        </w:tc>
        <w:tc>
          <w:tcPr>
            <w:tcW w:w="2551" w:type="dxa"/>
            <w:vAlign w:val="center"/>
          </w:tcPr>
          <w:p>
            <w:pPr>
              <w:pStyle w:val="13"/>
            </w:pPr>
            <w:r>
              <w:t>9.85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22.49</w:t>
            </w:r>
          </w:p>
        </w:tc>
        <w:tc>
          <w:tcPr>
            <w:tcW w:w="2551" w:type="dxa"/>
            <w:vAlign w:val="center"/>
          </w:tcPr>
          <w:p>
            <w:pPr>
              <w:pStyle w:val="13"/>
            </w:pPr>
            <w:r>
              <w:t>22.49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10.89</w:t>
            </w:r>
          </w:p>
        </w:tc>
        <w:tc>
          <w:tcPr>
            <w:tcW w:w="2551" w:type="dxa"/>
            <w:vAlign w:val="center"/>
          </w:tcPr>
          <w:p>
            <w:pPr>
              <w:pStyle w:val="13"/>
            </w:pPr>
            <w:r>
              <w:t>10.89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1.33</w:t>
            </w:r>
          </w:p>
        </w:tc>
        <w:tc>
          <w:tcPr>
            <w:tcW w:w="2551" w:type="dxa"/>
            <w:vAlign w:val="center"/>
          </w:tcPr>
          <w:p>
            <w:pPr>
              <w:pStyle w:val="13"/>
            </w:pPr>
            <w:r>
              <w:t>1.33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19.29</w:t>
            </w:r>
          </w:p>
        </w:tc>
        <w:tc>
          <w:tcPr>
            <w:tcW w:w="2551" w:type="dxa"/>
            <w:vAlign w:val="center"/>
          </w:tcPr>
          <w:p>
            <w:pPr>
              <w:pStyle w:val="13"/>
            </w:pPr>
            <w:r>
              <w:t>19.29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24.96</w:t>
            </w:r>
          </w:p>
        </w:tc>
        <w:tc>
          <w:tcPr>
            <w:tcW w:w="2551" w:type="dxa"/>
            <w:vAlign w:val="center"/>
          </w:tcPr>
          <w:p>
            <w:pPr>
              <w:pStyle w:val="13"/>
            </w:pPr>
          </w:p>
        </w:tc>
        <w:tc>
          <w:tcPr>
            <w:tcW w:w="2551" w:type="dxa"/>
            <w:vAlign w:val="center"/>
          </w:tcPr>
          <w:p>
            <w:pPr>
              <w:pStyle w:val="13"/>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2.92</w:t>
            </w:r>
          </w:p>
        </w:tc>
        <w:tc>
          <w:tcPr>
            <w:tcW w:w="2551" w:type="dxa"/>
            <w:vAlign w:val="center"/>
          </w:tcPr>
          <w:p>
            <w:pPr>
              <w:pStyle w:val="13"/>
            </w:pPr>
          </w:p>
        </w:tc>
        <w:tc>
          <w:tcPr>
            <w:tcW w:w="2551" w:type="dxa"/>
            <w:vAlign w:val="center"/>
          </w:tcPr>
          <w:p>
            <w:pPr>
              <w:pStyle w:val="13"/>
            </w:pPr>
            <w:r>
              <w:t>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2.60</w:t>
            </w:r>
          </w:p>
        </w:tc>
        <w:tc>
          <w:tcPr>
            <w:tcW w:w="2551" w:type="dxa"/>
            <w:vAlign w:val="center"/>
          </w:tcPr>
          <w:p>
            <w:pPr>
              <w:pStyle w:val="13"/>
            </w:pPr>
          </w:p>
        </w:tc>
        <w:tc>
          <w:tcPr>
            <w:tcW w:w="2551" w:type="dxa"/>
            <w:vAlign w:val="center"/>
          </w:tcPr>
          <w:p>
            <w:pPr>
              <w:pStyle w:val="13"/>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0.46</w:t>
            </w:r>
          </w:p>
        </w:tc>
        <w:tc>
          <w:tcPr>
            <w:tcW w:w="2551" w:type="dxa"/>
            <w:vAlign w:val="center"/>
          </w:tcPr>
          <w:p>
            <w:pPr>
              <w:pStyle w:val="13"/>
            </w:pPr>
          </w:p>
        </w:tc>
        <w:tc>
          <w:tcPr>
            <w:tcW w:w="2551"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0.14</w:t>
            </w:r>
          </w:p>
        </w:tc>
        <w:tc>
          <w:tcPr>
            <w:tcW w:w="2551" w:type="dxa"/>
            <w:vAlign w:val="center"/>
          </w:tcPr>
          <w:p>
            <w:pPr>
              <w:pStyle w:val="13"/>
            </w:pPr>
          </w:p>
        </w:tc>
        <w:tc>
          <w:tcPr>
            <w:tcW w:w="2551"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14.16</w:t>
            </w:r>
          </w:p>
        </w:tc>
        <w:tc>
          <w:tcPr>
            <w:tcW w:w="2551" w:type="dxa"/>
            <w:vAlign w:val="center"/>
          </w:tcPr>
          <w:p>
            <w:pPr>
              <w:pStyle w:val="13"/>
            </w:pPr>
          </w:p>
        </w:tc>
        <w:tc>
          <w:tcPr>
            <w:tcW w:w="2551" w:type="dxa"/>
            <w:vAlign w:val="center"/>
          </w:tcPr>
          <w:p>
            <w:pPr>
              <w:pStyle w:val="13"/>
            </w:pPr>
            <w:r>
              <w:t>14.16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20.89</w:t>
            </w:r>
          </w:p>
        </w:tc>
        <w:tc>
          <w:tcPr>
            <w:tcW w:w="2551" w:type="dxa"/>
            <w:vAlign w:val="center"/>
          </w:tcPr>
          <w:p>
            <w:pPr>
              <w:pStyle w:val="13"/>
            </w:pPr>
            <w:r>
              <w:t>20.89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18.22</w:t>
            </w:r>
          </w:p>
        </w:tc>
        <w:tc>
          <w:tcPr>
            <w:tcW w:w="2551" w:type="dxa"/>
            <w:vAlign w:val="center"/>
          </w:tcPr>
          <w:p>
            <w:pPr>
              <w:pStyle w:val="13"/>
            </w:pPr>
            <w:r>
              <w:t>18.22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2.66</w:t>
            </w:r>
          </w:p>
        </w:tc>
        <w:tc>
          <w:tcPr>
            <w:tcW w:w="2551" w:type="dxa"/>
            <w:vAlign w:val="center"/>
          </w:tcPr>
          <w:p>
            <w:pPr>
              <w:pStyle w:val="13"/>
            </w:pPr>
            <w:r>
              <w:t>2.66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814隆尧县商务局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rPr>
                <w:rFonts w:hint="eastAsia"/>
                <w:lang w:val="en-US" w:eastAsia="zh-CN"/>
              </w:rPr>
              <w:t>30</w:t>
            </w:r>
            <w:r>
              <w:t>.30</w:t>
            </w:r>
          </w:p>
        </w:tc>
        <w:tc>
          <w:tcPr>
            <w:tcW w:w="2381" w:type="dxa"/>
            <w:vAlign w:val="center"/>
          </w:tcPr>
          <w:p>
            <w:pPr>
              <w:pStyle w:val="17"/>
            </w:pPr>
            <w:r>
              <w:rPr>
                <w:rFonts w:hint="eastAsia"/>
                <w:lang w:val="en-US" w:eastAsia="zh-CN"/>
              </w:rPr>
              <w:t>30</w:t>
            </w:r>
            <w:r>
              <w:t>.30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30.30</w:t>
            </w:r>
          </w:p>
        </w:tc>
        <w:tc>
          <w:tcPr>
            <w:tcW w:w="2381" w:type="dxa"/>
            <w:vAlign w:val="center"/>
          </w:tcPr>
          <w:p>
            <w:pPr>
              <w:pStyle w:val="13"/>
            </w:pPr>
            <w:r>
              <w:t>30.30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30.30</w:t>
            </w:r>
          </w:p>
        </w:tc>
        <w:tc>
          <w:tcPr>
            <w:tcW w:w="2381" w:type="dxa"/>
            <w:vAlign w:val="center"/>
          </w:tcPr>
          <w:p>
            <w:pPr>
              <w:pStyle w:val="13"/>
            </w:pPr>
            <w:r>
              <w:t>30.30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隆尧县商务局2023年部门预算信息公开情况说明</w:t>
      </w:r>
    </w:p>
    <w:p>
      <w:pPr>
        <w:jc w:val="center"/>
      </w:pPr>
      <w:r>
        <w:rPr>
          <w:rFonts w:ascii="方正小标宋_GBK" w:hAnsi="方正小标宋_GBK" w:eastAsia="方正小标宋_GBK" w:cs="方正小标宋_GBK"/>
          <w:color w:val="000000"/>
          <w:sz w:val="44"/>
        </w:rPr>
        <w:t>隆尧县商务局2023年部门预算信息公开情况说明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按照《预算法》、《地方预决算公开操作规程》和《关于进一步推进预算公开工作的实施意见》规定，现将隆尧县商务局2023年部门预算公开如下：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pPr>
        <w:pStyle w:val="19"/>
      </w:pPr>
      <w:r>
        <w:t>（二）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pPr>
        <w:pStyle w:val="19"/>
      </w:pPr>
      <w:r>
        <w:t>（三）提出流通体制改革建议。负责推进流通产业结构调整，指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pPr>
        <w:pStyle w:val="19"/>
      </w:pPr>
      <w:r>
        <w:t>（四）牵头推进商务领域信用体系建设，建立商务诚信公共服务平台。规范商贸企业交易行为，牵头推动重要产品追溯体系建设；按有关规定对特殊流通行业进行监督管理。</w:t>
      </w:r>
    </w:p>
    <w:p>
      <w:pPr>
        <w:pStyle w:val="19"/>
      </w:pPr>
      <w:r>
        <w:t>（五）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pPr>
        <w:pStyle w:val="19"/>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和外贸促进体系建设。</w:t>
      </w:r>
    </w:p>
    <w:p>
      <w:pPr>
        <w:pStyle w:val="19"/>
      </w:pPr>
      <w:r>
        <w:t>（七）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pPr>
        <w:pStyle w:val="19"/>
      </w:pPr>
      <w:r>
        <w:t>（八）会同有关部门贯彻执行国家和省、市促进服务出口和服务外包发展的规划、政策，牵头拟订全县服务贸易发展规划并组织实施。</w:t>
      </w:r>
    </w:p>
    <w:p>
      <w:pPr>
        <w:pStyle w:val="19"/>
      </w:pPr>
      <w:r>
        <w:t>（九）贯彻执行国家和省、市利用外资法律法规规章和外商投资产业政策。拟订全县外商投资政策并组织实施；依法对外商投资企业的设立及变更事项进行管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pPr>
        <w:pStyle w:val="19"/>
      </w:pPr>
      <w:r>
        <w:t>（十）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工作；负责对外援助有关工作；指导全县对外投资和经济合作促进工作。</w:t>
      </w:r>
    </w:p>
    <w:p>
      <w:pPr>
        <w:pStyle w:val="19"/>
      </w:pPr>
      <w:r>
        <w:t>（十一）配合商务部、省商务厅、市商务局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pPr>
        <w:pStyle w:val="19"/>
      </w:pPr>
      <w:r>
        <w:t>（十二）负责全县商务系统涉及世贸组织相关事务的研究、指导和服务工作，配合商务部、省商务厅、市商务局解决世贸组织框架下涉及我县的贸易争端，负责推进全县进出口贸易的标准化建设。</w:t>
      </w:r>
    </w:p>
    <w:p>
      <w:pPr>
        <w:pStyle w:val="19"/>
      </w:pPr>
      <w:r>
        <w:t>（十三）贯彻执行国家和省、市制定的对自由贸易区国家和地区的经贸规划、政策，并组织实施，管理联合国及其他国际组织或外国政府对我县经济技术合作方面的无偿援助及赠款等发展合作业务。</w:t>
      </w:r>
    </w:p>
    <w:p>
      <w:pPr>
        <w:pStyle w:val="19"/>
      </w:pPr>
      <w:r>
        <w:t>（十四）负责全县会展业促进与管理工作，指导、管理境内外对外经济技术展览会和赴境外非商业性办展活动。</w:t>
      </w:r>
    </w:p>
    <w:p>
      <w:pPr>
        <w:pStyle w:val="19"/>
      </w:pPr>
      <w:r>
        <w:t>（十五）监测分析全县商务运行情况，承担全县商务系统对外宣传和信息发布工作。</w:t>
      </w:r>
    </w:p>
    <w:p>
      <w:pPr>
        <w:pStyle w:val="19"/>
      </w:pPr>
      <w:r>
        <w:t>（十六）贯彻落实党中央和省委、市委、县委关于外事和港澳工作的方针政策和决策部署，坚持和加强党对外事和港澳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尧县人民对外友好协会的工作。</w:t>
      </w:r>
    </w:p>
    <w:p>
      <w:pPr>
        <w:pStyle w:val="19"/>
      </w:pPr>
      <w:r>
        <w:t>（十七）完成县委、县政府交办的其他任务。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隆尧县商务局本级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隆尧县招商服务中心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asciiTheme="minorEastAsia" w:hAnsiTheme="minorEastAsia" w:eastAsiaTheme="minorEastAsia"/>
          <w:color w:val="000000"/>
          <w:sz w:val="28"/>
          <w:lang w:eastAsia="zh-CN"/>
        </w:rPr>
        <w:t>县</w:t>
      </w:r>
      <w:r>
        <w:rPr>
          <w:rFonts w:eastAsia="方正仿宋_GBK"/>
          <w:color w:val="000000"/>
          <w:sz w:val="28"/>
        </w:rPr>
        <w:t>部门预算的编制实行综合预算管理，即全部收入和支出都反映在预算中。隆尧县商务局机关及所属事业单位的收支包含在部门预算中。</w:t>
      </w:r>
    </w:p>
    <w:p>
      <w:pPr>
        <w:pStyle w:val="20"/>
      </w:pPr>
      <w:r>
        <w:t>1、收入说明</w:t>
      </w:r>
    </w:p>
    <w:p>
      <w:pPr>
        <w:pStyle w:val="20"/>
      </w:pPr>
      <w:r>
        <w:t>反映本部门当年全部收入。2023年预算收入2268.5552万元，其中：一般公共预算收入2268.5552万元，基金预算收入0万元，财政专户核拨收入0万元，其他来源收入0万元。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隆尧县商务局年度部门预算中支出预算的总体情况。2023年部门支出预算为2268.5552万元，其中基本支出275.7972万元，包括人员经费250.</w:t>
      </w:r>
      <w:r>
        <w:rPr>
          <w:rFonts w:hint="eastAsia"/>
          <w:lang w:val="en-US" w:eastAsia="zh-CN"/>
        </w:rPr>
        <w:t>8</w:t>
      </w:r>
      <w:r>
        <w:t>372万元和日常公用经费</w:t>
      </w:r>
      <w:r>
        <w:rPr>
          <w:rFonts w:hint="eastAsia"/>
          <w:lang w:val="en-US" w:eastAsia="zh-CN"/>
        </w:rPr>
        <w:t>24.96</w:t>
      </w:r>
      <w:r>
        <w:t>万元；项目支出1992.758万元，包括2022年促消费专项490万元；上年结转/冀财建【2021】192号/中央/2022年中央服务业发展资金/电子商务示范县500万元；上年结转/邢财建【2022】57号/市级/中央服务业发展资金（农产品供应链体系建设）384.93万元；名校英才入冀房租补助专项1.2万元；外资外贸专项5万元；再生资源专项2万元；跨境电商专项60万元；外事专项2万元；盘活存量/冀财建【2020】95号/中央/2021年中央服务业发展资金/电子商务示范县100万元；退役士兵公益岗位专项3.4万元；成品油市场监督监管专项10万元；电子商务专项8万元；办案补助/房屋租赁费1.728万元；商局招商经费7.5万元；重大招商专项17万元；全县集中招商专项400万元。</w:t>
      </w:r>
    </w:p>
    <w:p>
      <w:pPr>
        <w:pStyle w:val="20"/>
      </w:pPr>
      <w:r>
        <w:t>3、比上年增减情况</w:t>
      </w:r>
    </w:p>
    <w:p>
      <w:pPr>
        <w:pStyle w:val="20"/>
      </w:pPr>
      <w:r>
        <w:t>2023年部门预算收支安排2268.5552万元，较2022年减少179.01747万元，其中：基本支出增加39.7472万元，主要是人员增加，相应增加人员经费和日常公用经费；项目支出减少218.762万元，主要是上年结转项目支出减少。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w:t>
      </w:r>
      <w:r>
        <w:rPr>
          <w:rFonts w:hint="eastAsia"/>
          <w:lang w:val="en-US" w:eastAsia="zh-CN"/>
        </w:rPr>
        <w:t>3</w:t>
      </w:r>
      <w:r>
        <w:t>年，我部门运行经费共计安排24.96万元。其中办公费2.92万元；水费1万元；电费2.6万元；办公取暖费2.3万元；物业管理费1万元；公务交通补贴（其他交通费）14.16万元；职工福利费0.14万元；工会经费0.46万元；党组织活动经费0.38万元。</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rPr>
          <w:rFonts w:hint="eastAsia"/>
        </w:rPr>
        <w:t>2023年，我部门财政拨款“三公”经费预算安排</w:t>
      </w:r>
      <w:r>
        <w:rPr>
          <w:rFonts w:hint="eastAsia"/>
          <w:lang w:val="en-US" w:eastAsia="zh-CN"/>
        </w:rPr>
        <w:t>30.3</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万元（其中：公务用车购置费为</w:t>
      </w:r>
      <w:r>
        <w:rPr>
          <w:rFonts w:hint="eastAsia"/>
          <w:lang w:val="en-US" w:eastAsia="zh-CN"/>
        </w:rPr>
        <w:t>0</w:t>
      </w:r>
      <w:r>
        <w:rPr>
          <w:rFonts w:hint="eastAsia"/>
        </w:rPr>
        <w:t>万元，公务用车运行维护费</w:t>
      </w:r>
      <w:r>
        <w:rPr>
          <w:rFonts w:hint="eastAsia"/>
          <w:lang w:val="en-US" w:eastAsia="zh-CN"/>
        </w:rPr>
        <w:t>0</w:t>
      </w:r>
      <w:r>
        <w:rPr>
          <w:rFonts w:hint="eastAsia"/>
        </w:rPr>
        <w:t>万元)；公务接待费</w:t>
      </w:r>
      <w:r>
        <w:rPr>
          <w:rFonts w:hint="eastAsia"/>
          <w:lang w:val="en-US" w:eastAsia="zh-CN"/>
        </w:rPr>
        <w:t>30.3</w:t>
      </w:r>
      <w:r>
        <w:rPr>
          <w:rFonts w:hint="eastAsia"/>
        </w:rPr>
        <w:t>万元。公务接待费与2022年相比减少</w:t>
      </w:r>
      <w:r>
        <w:rPr>
          <w:rFonts w:hint="eastAsia"/>
          <w:lang w:val="en-US" w:eastAsia="zh-CN"/>
        </w:rPr>
        <w:t>0.2</w:t>
      </w:r>
      <w:r>
        <w:rPr>
          <w:rFonts w:hint="eastAsia"/>
        </w:rPr>
        <w:t>万元，减少的主要原因是：</w:t>
      </w:r>
      <w:r>
        <w:t>我单位本着厉行节约原则，在做好客商接待工作的同时，不搞铺张浪费，减少“三公”经费的支出。</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一．集聚发展动能，盘活发展存量</w:t>
      </w:r>
    </w:p>
    <w:p>
      <w:pPr>
        <w:pStyle w:val="23"/>
      </w:pPr>
      <w:r>
        <w:t>一是继续自我施压，力争做到在2023年限额以上企业零售额增长10%，同时新增限额以上企业4家。二是开展“迎元旦”、“迎春节”等促销费系列活动。三是积极鼓励企业入统。加大对限下企业“下转上”培育力度，继续开展“一对一”结对帮扶，做到应统尽统。加强与现有入统企业的沟通联系，每月召开限上企业座谈会，打消企业统计报数与税收挂钩的顾虑，督促企业应统尽统，同时密切掌握企业在疫情后的经营情况，全县50家限上企业由县级领导按照“一企一策”开展“一对一”包联帮扶，跟踪落实帮扶措施，发现问题及时解决，为企业排忧解难，促进企业良好运营。四是加快发展线上线下融合经济，促进消费增长。鼓励今麦郎面品、饮品在商超特设销售专柜让利促销、回馈家乡。鼓励党政机关、医院、学校、企事业单位等政府采购优选限上零售企业。鼓励限上企业开展产品展销活动，通过短视频、直播等途径，开展线上下单，线下提货的方式，拓宽消费渠道，促进线上线下融合发展。</w:t>
      </w:r>
    </w:p>
    <w:p>
      <w:pPr>
        <w:pStyle w:val="23"/>
      </w:pPr>
      <w:r>
        <w:rPr>
          <w:rFonts w:hint="eastAsia" w:asciiTheme="minorEastAsia" w:hAnsiTheme="minorEastAsia" w:eastAsiaTheme="minorEastAsia"/>
          <w:lang w:eastAsia="zh-CN"/>
        </w:rPr>
        <w:t>二</w:t>
      </w:r>
      <w:r>
        <w:t>．强化激励保障，提升服务效能</w:t>
      </w:r>
    </w:p>
    <w:p>
      <w:pPr>
        <w:pStyle w:val="23"/>
      </w:pPr>
      <w:r>
        <w:t>在外贸进出口方面，一是开展企业入企走访服务，引导和帮助符合条件的企业特别是中小企业申报进出口经营资格，壮大外贸经营者队伍;积极培植一批出口创汇骨干企业，对有出口实绩、发展潜力大的企业进行重点扶持，努力培育一批主业突出、核心竞争力强的出口龙头企业，拉动全县外贸增长，拟新办理自营进出口备案企业15家以上。二是开展对外贸企业精准培训，广泛宣传对外贸易政策，积极组织企业参加“线上线下”对外投资洽谈会、推介会。鼓励企业加大线上推广力度，出口转内销。三是开展精准帮扶外资、外贸企业活动，对重点企业实施县级领导包联机制，及时协调解决外资、外贸企业生产发展中存在的问题与困难。四是扎实推进跨境电商园建设。积极引导我县跨境电商企业开展跨境电商B2B出口9710、9810业务。支持外贸企业扩大出口规模，千方百计保主体、保市场、保订单。五是全力以赴超额完成上级下达的外贸进出口任务目标。</w:t>
      </w:r>
    </w:p>
    <w:p>
      <w:pPr>
        <w:pStyle w:val="23"/>
      </w:pPr>
      <w:r>
        <w:rPr>
          <w:rFonts w:hint="eastAsia" w:asciiTheme="minorEastAsia" w:hAnsiTheme="minorEastAsia" w:eastAsiaTheme="minorEastAsia"/>
          <w:lang w:eastAsia="zh-CN"/>
        </w:rPr>
        <w:t>三</w:t>
      </w:r>
      <w:r>
        <w:t>．强化担当作为，赋能产业提升</w:t>
      </w:r>
    </w:p>
    <w:p>
      <w:pPr>
        <w:pStyle w:val="23"/>
      </w:pPr>
      <w:r>
        <w:t>在利用外资方面：一是加大招商引资力度。督促招商服务中心各专业招商团组搜集线索，加大招引外资企业力度，力争增加利用外资后劲。二是加大挖潜力度，对照外资入统新要求，对现有外资企业摸底帮扶，对符合入统条件企业做到应统尽统。三是紧盯总投资1.4亿元隆任农业科技（河北）有限公司万吨有机果蔬加工合资项目和隆尧中澳制钉同沙特阿拉伯ALSAHEL ALFADDY TRADING EST总投资1亿元合资制钉项目，该项目正在选址，力争明年超额完成下达的外资任务。</w:t>
      </w:r>
    </w:p>
    <w:p>
      <w:pPr>
        <w:spacing w:line="500" w:lineRule="exact"/>
        <w:ind w:firstLine="560"/>
      </w:pPr>
      <w:r>
        <w:rPr>
          <w:rFonts w:eastAsia="方正仿宋_GBK"/>
          <w:color w:val="000000"/>
          <w:sz w:val="28"/>
        </w:rPr>
        <w:t>（二）分项绩效目标</w:t>
      </w:r>
    </w:p>
    <w:p>
      <w:pPr>
        <w:pStyle w:val="24"/>
      </w:pPr>
      <w:r>
        <w:t>一．对内贸易管理</w:t>
      </w:r>
    </w:p>
    <w:p>
      <w:pPr>
        <w:pStyle w:val="24"/>
      </w:pPr>
      <w:r>
        <w:t>1.重点抓好商贸行业集聚发展，大力推进“个转企”“小升限”工作，同时做好农产品批发市场配套设施与农贸市场标准化建设，以及商业中心、商业街区、城市商业综合体的建设引导与服务推进。同时不断创新消费举措。积极依托我县的生态、产业等资源优势，优化发展环境，完善功能支撑，大力推动电子商务与传统行业渗透融合，隆尧传统工业企业、传统商贸企业，积极利用电子商务手段加强研发、生产和营销活动，不断增强企业的竞争力。</w:t>
      </w:r>
    </w:p>
    <w:p>
      <w:pPr>
        <w:pStyle w:val="24"/>
      </w:pPr>
      <w:r>
        <w:t>2.电子商务，积极谋划电商集聚发展，整合电商企业，整合物流快递，提高电商公共服务能力，努力开发产品，打造电商品牌，与电商有效结合，并与物流快递协同发展。县政府统筹相关部门共同推进；建立综合型现代快递物流产业园区；建立覆盖城乡的电商快递物流配送体系；打通农村快递物流最后一公里；建立完善专门从事电子商务的商贸物流信息平台。加快直播共享仓库建设，打造隆尧特色食品天猫优品店；支持农产品“生鲜电子商务+冷链配送”等消费新模式。</w:t>
      </w:r>
    </w:p>
    <w:p>
      <w:pPr>
        <w:pStyle w:val="24"/>
      </w:pPr>
      <w:r>
        <w:t>3.成品油市场监督监管，加强市场监测，积极支持成品油经营企业的发展，为企业提供良好的发展环境，按照《隆尧县人民政府办公室关于印发&lt;关于建立打击非法加油站点（黑流动加油车）工作机制的实施意见&gt;和&lt;关于开展打击非法加油站点（黑流动加油车）的工作方案&gt;的通知》要求，做好牵头工作，收集汇总各成员单位日常摸排上报情况和接收处理群众举报，对油品质量进行抽检，对不合格油品进行处理。</w:t>
      </w:r>
    </w:p>
    <w:p>
      <w:pPr>
        <w:pStyle w:val="24"/>
      </w:pPr>
      <w:r>
        <w:t>4. 再生资源利用，负责管理、规范和指导全县再生资源回收工作。</w:t>
      </w:r>
    </w:p>
    <w:p>
      <w:pPr>
        <w:pStyle w:val="24"/>
      </w:pPr>
      <w:r>
        <w:t>5.促进贸易流通，扶持商贸流通领域中小企业发展，支持大型商贸企业、商贸连锁经营企业或第三方商贸物流企业的标准化配送中心建设及改造。推动流通体制改革和连锁经营、物流配送、商业特许经营等现代流通方式的发展，指导流通领域节能降耗工作。</w:t>
      </w:r>
    </w:p>
    <w:p>
      <w:pPr>
        <w:pStyle w:val="24"/>
      </w:pPr>
      <w:r>
        <w:t>二．外贸进出口</w:t>
      </w:r>
    </w:p>
    <w:p>
      <w:pPr>
        <w:pStyle w:val="24"/>
      </w:pPr>
      <w:r>
        <w:t>1.积极利用外贸扶持政策、扶持企业发展。采取主动上门服务措施，宣传政策，提高产品销售外向度，帮助企业走出国门，开拓国际市场，增加企业出口动力。培育出口龙头企业，优化进出口产品结构。通过政策支持，推动企业产品开展国内外认证，提高进出口品牌竞争力。鼓励企业参与各类展会，寻找出口商机。积极落实各级奖补政策，增加企业出口创汇积极，为企业走出去搞好服务。通过组织企业参加各类线上展会，促进外贸企业开拓国际市场。让企业拿自己品牌订单，截留通过第三方出口的企业数据。</w:t>
      </w:r>
    </w:p>
    <w:p>
      <w:pPr>
        <w:pStyle w:val="24"/>
      </w:pPr>
      <w:r>
        <w:t>2．加快建设跨境电商产业园区。出台扶持政策，鼓励企业开展线上跨境国际贸易业务。培育第三方外贸综合服务平台，截留第三方出口数据。为外贸企业开展“妈妈式”服务，当好“店小二”角色，实现集聚效应，助推外贸进出口企业高质量发展。</w:t>
      </w:r>
    </w:p>
    <w:p>
      <w:pPr>
        <w:pStyle w:val="24"/>
      </w:pPr>
      <w:r>
        <w:t>三．招商引资</w:t>
      </w:r>
    </w:p>
    <w:p>
      <w:pPr>
        <w:pStyle w:val="24"/>
      </w:pPr>
      <w:r>
        <w:t>紧紧围绕全县发展总体思路，坚持“项目为王、效率至上”理念，全力推进招商选资工作。</w:t>
      </w:r>
    </w:p>
    <w:p>
      <w:pPr>
        <w:spacing w:line="500" w:lineRule="exact"/>
        <w:ind w:firstLine="560"/>
      </w:pPr>
      <w:r>
        <w:rPr>
          <w:rFonts w:eastAsia="方正仿宋_GBK"/>
          <w:color w:val="000000"/>
          <w:sz w:val="28"/>
        </w:rPr>
        <w:t>（三）工作保障措施</w:t>
      </w:r>
    </w:p>
    <w:p>
      <w:pPr>
        <w:pStyle w:val="25"/>
      </w:pPr>
      <w:r>
        <w:t>1.招商引资明确招商任务，压实招商主体责任，制定全县招商选资工作方案，明确各单位年度招商任务目标，压实招商责任，在全县营造浓厚招商氛围。强化招商力量，全力推进区域招商。选派一批优秀干部充实到驻北京、上海、深圳三个招商办事处，强化驻外专业招商力量。围绕主导产业，大力开展精准招商。加强调度考核，推动全县招商积极性。</w:t>
      </w:r>
    </w:p>
    <w:p>
      <w:pPr>
        <w:pStyle w:val="25"/>
      </w:pPr>
      <w:r>
        <w:t>2.积极利用外贸扶持政策、扶持企业发展，继续培育龙头企业和若干出口产业基地，不断优化进出口产品结构，积极参组织企业参加国内展会和国际性展会，寻找出口商机。</w:t>
      </w:r>
    </w:p>
    <w:p>
      <w:pPr>
        <w:pStyle w:val="25"/>
      </w:pPr>
      <w:r>
        <w:t>3.积极发挥电子商务的作用，搞好人员培训、业务指导。优化我县电商环境，吸引产业链上下游的电子商务平台企业、应用企业、运营企业、专业服务机构入驻发展。加快我县电子商务聚集区和跨境电商园区的建设。</w:t>
      </w:r>
    </w:p>
    <w:p>
      <w:pPr>
        <w:pStyle w:val="25"/>
      </w:pPr>
      <w:r>
        <w:t>4.加强部门配合，进一步摸排全县企业情况，积极与市场监管、税务局等相关部门联系，根据线上企业申报条件，对新成立的批发、零售、住宿、餐饮企业进行全面调查摸底。</w:t>
      </w:r>
    </w:p>
    <w:p>
      <w:pPr>
        <w:pStyle w:val="25"/>
      </w:pPr>
      <w:r>
        <w:t>5.全方位监控，不间断排查，对已经取缔和查封的加油点密切监控，防止死灰复燃，加强日常监管，做好大气污染防止的各项工作。</w:t>
      </w:r>
    </w:p>
    <w:p>
      <w:pPr>
        <w:pStyle w:val="25"/>
      </w:pPr>
      <w:r>
        <w:t>6.进一步完善信访机制，加大矛盾排查处理力度，努力把矛盾化解在内部，消灭在萌芽状态。</w:t>
      </w:r>
    </w:p>
    <w:p>
      <w:pPr>
        <w:pStyle w:val="25"/>
      </w:pPr>
      <w:r>
        <w:t>7.从制度建设入手，建立健全各项规章制度，厉行节约，反对浪费，加强党风廉政建设，杜绝腐败，继续保持市级文明单位荣誉称号，全面树立机关新形象。</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本年度无专项资金。</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1、2022年促消费专项绩效目标表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1.促进经济发展，最大限度释放消费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补贴企业个数</w:t>
            </w:r>
          </w:p>
        </w:tc>
        <w:tc>
          <w:tcPr>
            <w:tcW w:w="2835" w:type="dxa"/>
            <w:vAlign w:val="center"/>
          </w:tcPr>
          <w:p>
            <w:pPr>
              <w:pStyle w:val="14"/>
            </w:pPr>
            <w:r>
              <w:t>补贴企业个数</w:t>
            </w:r>
          </w:p>
        </w:tc>
        <w:tc>
          <w:tcPr>
            <w:tcW w:w="2551" w:type="dxa"/>
            <w:vAlign w:val="center"/>
          </w:tcPr>
          <w:p>
            <w:pPr>
              <w:pStyle w:val="14"/>
            </w:pPr>
            <w:r>
              <w:t>≥15个</w:t>
            </w:r>
          </w:p>
        </w:tc>
        <w:tc>
          <w:tcPr>
            <w:tcW w:w="2268" w:type="dxa"/>
            <w:vAlign w:val="center"/>
          </w:tcPr>
          <w:p>
            <w:pPr>
              <w:pStyle w:val="14"/>
            </w:pPr>
            <w:r>
              <w:rPr>
                <w:rFonts w:hint="eastAsia"/>
                <w:lang w:val="en-US" w:eastAsia="zh-CN"/>
              </w:rPr>
              <w:t>发放消费券</w:t>
            </w:r>
            <w:r>
              <w:t>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鼓励本地商贸龙头企业个数</w:t>
            </w:r>
          </w:p>
        </w:tc>
        <w:tc>
          <w:tcPr>
            <w:tcW w:w="2835" w:type="dxa"/>
            <w:vAlign w:val="center"/>
          </w:tcPr>
          <w:p>
            <w:pPr>
              <w:pStyle w:val="14"/>
            </w:pPr>
            <w:r>
              <w:t>鼓励本地商贸龙头企业参与促销费活动</w:t>
            </w:r>
          </w:p>
        </w:tc>
        <w:tc>
          <w:tcPr>
            <w:tcW w:w="2551" w:type="dxa"/>
            <w:vAlign w:val="center"/>
          </w:tcPr>
          <w:p>
            <w:pPr>
              <w:pStyle w:val="14"/>
            </w:pPr>
            <w:r>
              <w:t>≥5个</w:t>
            </w:r>
          </w:p>
        </w:tc>
        <w:tc>
          <w:tcPr>
            <w:tcW w:w="2268" w:type="dxa"/>
            <w:vAlign w:val="center"/>
          </w:tcPr>
          <w:p>
            <w:pPr>
              <w:pStyle w:val="14"/>
            </w:pPr>
            <w:r>
              <w:t>参与促销费活动商贸龙头企业个数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rFonts w:hint="default" w:eastAsia="方正书宋_GBK"/>
                <w:lang w:val="en-US" w:eastAsia="zh-CN"/>
              </w:rPr>
            </w:pPr>
            <w:r>
              <w:rPr>
                <w:rFonts w:hint="eastAsia"/>
                <w:lang w:val="en-US" w:eastAsia="zh-CN"/>
              </w:rPr>
              <w:t>及时发放率</w:t>
            </w:r>
          </w:p>
        </w:tc>
        <w:tc>
          <w:tcPr>
            <w:tcW w:w="2835" w:type="dxa"/>
            <w:vAlign w:val="center"/>
          </w:tcPr>
          <w:p>
            <w:pPr>
              <w:pStyle w:val="14"/>
            </w:pPr>
            <w:r>
              <w:t>按时补贴企业发放消费券金额</w:t>
            </w:r>
          </w:p>
        </w:tc>
        <w:tc>
          <w:tcPr>
            <w:tcW w:w="2551" w:type="dxa"/>
            <w:vAlign w:val="center"/>
          </w:tcPr>
          <w:p>
            <w:pPr>
              <w:pStyle w:val="14"/>
            </w:pPr>
            <w:r>
              <w:t>≥90</w:t>
            </w:r>
            <w:r>
              <w:rPr>
                <w:rFonts w:hint="eastAsia"/>
                <w:lang w:val="en-US" w:eastAsia="zh-CN"/>
              </w:rPr>
              <w:t>百分比</w:t>
            </w:r>
          </w:p>
        </w:tc>
        <w:tc>
          <w:tcPr>
            <w:tcW w:w="2268" w:type="dxa"/>
            <w:vAlign w:val="center"/>
          </w:tcPr>
          <w:p>
            <w:pPr>
              <w:pStyle w:val="14"/>
            </w:pPr>
            <w:r>
              <w:rPr>
                <w:rFonts w:hint="eastAsia"/>
                <w:lang w:val="en-US" w:eastAsia="zh-CN"/>
              </w:rPr>
              <w:t>约定奖补时限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rPr>
                <w:rFonts w:hint="default" w:eastAsia="方正书宋_GBK"/>
                <w:lang w:val="en-US" w:eastAsia="zh-CN"/>
              </w:rPr>
            </w:pPr>
            <w:r>
              <w:rPr>
                <w:rFonts w:hint="eastAsia"/>
                <w:lang w:val="en-US" w:eastAsia="zh-CN"/>
              </w:rPr>
              <w:t>补贴成本</w:t>
            </w:r>
          </w:p>
        </w:tc>
        <w:tc>
          <w:tcPr>
            <w:tcW w:w="2835" w:type="dxa"/>
            <w:vAlign w:val="center"/>
          </w:tcPr>
          <w:p>
            <w:pPr>
              <w:pStyle w:val="14"/>
            </w:pPr>
            <w:r>
              <w:t>严格按照</w:t>
            </w:r>
            <w:r>
              <w:rPr>
                <w:rFonts w:hint="eastAsia"/>
                <w:lang w:val="en-US" w:eastAsia="zh-CN"/>
              </w:rPr>
              <w:t>企业发放</w:t>
            </w:r>
            <w:r>
              <w:t>消费券实际成本</w:t>
            </w:r>
            <w:r>
              <w:rPr>
                <w:rFonts w:hint="eastAsia"/>
                <w:lang w:val="en-US" w:eastAsia="zh-CN"/>
              </w:rPr>
              <w:t>奖补</w:t>
            </w:r>
          </w:p>
        </w:tc>
        <w:tc>
          <w:tcPr>
            <w:tcW w:w="2551" w:type="dxa"/>
            <w:vAlign w:val="center"/>
          </w:tcPr>
          <w:p>
            <w:pPr>
              <w:pStyle w:val="14"/>
            </w:pPr>
            <w:r>
              <w:t>≤</w:t>
            </w:r>
            <w:r>
              <w:rPr>
                <w:rFonts w:hint="eastAsia"/>
                <w:lang w:val="en-US" w:eastAsia="zh-CN"/>
              </w:rPr>
              <w:t>500万元</w:t>
            </w:r>
          </w:p>
        </w:tc>
        <w:tc>
          <w:tcPr>
            <w:tcW w:w="2268" w:type="dxa"/>
            <w:vAlign w:val="center"/>
          </w:tcPr>
          <w:p>
            <w:pPr>
              <w:pStyle w:val="14"/>
            </w:pPr>
            <w:r>
              <w:rPr>
                <w:rFonts w:hint="eastAsia"/>
                <w:lang w:val="en-US" w:eastAsia="zh-CN"/>
              </w:rPr>
              <w:t>年初</w:t>
            </w: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拉动消费金额</w:t>
            </w:r>
          </w:p>
        </w:tc>
        <w:tc>
          <w:tcPr>
            <w:tcW w:w="2835" w:type="dxa"/>
            <w:vAlign w:val="center"/>
          </w:tcPr>
          <w:p>
            <w:pPr>
              <w:pStyle w:val="14"/>
            </w:pPr>
            <w:r>
              <w:t>激发消费热情，带动消费</w:t>
            </w:r>
          </w:p>
        </w:tc>
        <w:tc>
          <w:tcPr>
            <w:tcW w:w="2551" w:type="dxa"/>
            <w:vAlign w:val="center"/>
          </w:tcPr>
          <w:p>
            <w:pPr>
              <w:pStyle w:val="14"/>
            </w:pPr>
            <w:r>
              <w:t>≥1000万元</w:t>
            </w:r>
          </w:p>
        </w:tc>
        <w:tc>
          <w:tcPr>
            <w:tcW w:w="2268" w:type="dxa"/>
            <w:vAlign w:val="center"/>
          </w:tcPr>
          <w:p>
            <w:pPr>
              <w:pStyle w:val="14"/>
            </w:pPr>
            <w:r>
              <w:rPr>
                <w:rFonts w:hint="eastAsia"/>
                <w:lang w:val="en-US" w:eastAsia="zh-CN"/>
              </w:rPr>
              <w:t>历年</w:t>
            </w:r>
            <w:r>
              <w:t>带动消费情况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rPr>
                <w:rFonts w:hint="eastAsia" w:eastAsia="方正书宋_GBK"/>
                <w:lang w:eastAsia="zh-CN"/>
              </w:rPr>
            </w:pPr>
            <w:r>
              <w:t>≥90</w:t>
            </w:r>
            <w:r>
              <w:rPr>
                <w:rFonts w:hint="eastAsia"/>
                <w:lang w:val="en-US" w:eastAsia="zh-CN"/>
              </w:rPr>
              <w:t>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2、办案补助/房屋租赁费绩效目标表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1.保障自收自支人员工资发放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发放工资人数</w:t>
            </w:r>
          </w:p>
        </w:tc>
        <w:tc>
          <w:tcPr>
            <w:tcW w:w="2835" w:type="dxa"/>
            <w:vAlign w:val="center"/>
          </w:tcPr>
          <w:p>
            <w:pPr>
              <w:pStyle w:val="14"/>
            </w:pPr>
            <w:r>
              <w:t>发放工资人数</w:t>
            </w:r>
          </w:p>
        </w:tc>
        <w:tc>
          <w:tcPr>
            <w:tcW w:w="2551" w:type="dxa"/>
            <w:vAlign w:val="center"/>
          </w:tcPr>
          <w:p>
            <w:pPr>
              <w:pStyle w:val="14"/>
            </w:pPr>
            <w:r>
              <w:t>≥7人</w:t>
            </w:r>
          </w:p>
        </w:tc>
        <w:tc>
          <w:tcPr>
            <w:tcW w:w="2268" w:type="dxa"/>
            <w:vAlign w:val="center"/>
          </w:tcPr>
          <w:p>
            <w:pPr>
              <w:pStyle w:val="14"/>
            </w:pPr>
            <w:r>
              <w:t>自收自支实际人数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发放完成率</w:t>
            </w:r>
          </w:p>
        </w:tc>
        <w:tc>
          <w:tcPr>
            <w:tcW w:w="2835" w:type="dxa"/>
            <w:vAlign w:val="center"/>
          </w:tcPr>
          <w:p>
            <w:pPr>
              <w:pStyle w:val="14"/>
            </w:pPr>
            <w:r>
              <w:t>实际发放率</w:t>
            </w:r>
          </w:p>
        </w:tc>
        <w:tc>
          <w:tcPr>
            <w:tcW w:w="2551" w:type="dxa"/>
            <w:vAlign w:val="center"/>
          </w:tcPr>
          <w:p>
            <w:pPr>
              <w:pStyle w:val="14"/>
            </w:pPr>
            <w:r>
              <w:t>100百分比</w:t>
            </w:r>
          </w:p>
        </w:tc>
        <w:tc>
          <w:tcPr>
            <w:tcW w:w="2268" w:type="dxa"/>
            <w:vAlign w:val="center"/>
          </w:tcPr>
          <w:p>
            <w:pPr>
              <w:pStyle w:val="14"/>
            </w:pPr>
            <w:r>
              <w:rPr>
                <w:rFonts w:hint="eastAsia"/>
                <w:lang w:val="en-US" w:eastAsia="zh-CN"/>
              </w:rP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rFonts w:hint="eastAsia" w:eastAsia="方正书宋_GBK"/>
                <w:lang w:eastAsia="zh-CN"/>
              </w:rPr>
            </w:pPr>
            <w:r>
              <w:t>按时发放</w:t>
            </w:r>
            <w:r>
              <w:rPr>
                <w:rFonts w:hint="eastAsia"/>
                <w:lang w:val="en-US" w:eastAsia="zh-CN"/>
              </w:rPr>
              <w:t>率</w:t>
            </w:r>
          </w:p>
        </w:tc>
        <w:tc>
          <w:tcPr>
            <w:tcW w:w="2835" w:type="dxa"/>
            <w:vAlign w:val="center"/>
          </w:tcPr>
          <w:p>
            <w:pPr>
              <w:pStyle w:val="14"/>
            </w:pPr>
            <w:r>
              <w:t>按时发放工资</w:t>
            </w:r>
          </w:p>
        </w:tc>
        <w:tc>
          <w:tcPr>
            <w:tcW w:w="2551" w:type="dxa"/>
            <w:vAlign w:val="center"/>
          </w:tcPr>
          <w:p>
            <w:pPr>
              <w:pStyle w:val="14"/>
            </w:pPr>
            <w:r>
              <w:t>100百分比</w:t>
            </w:r>
          </w:p>
        </w:tc>
        <w:tc>
          <w:tcPr>
            <w:tcW w:w="2268" w:type="dxa"/>
            <w:vAlign w:val="center"/>
          </w:tcPr>
          <w:p>
            <w:pPr>
              <w:pStyle w:val="14"/>
            </w:pPr>
            <w:r>
              <w:rPr>
                <w:rFonts w:hint="eastAsia"/>
                <w:lang w:val="en-US" w:eastAsia="zh-CN"/>
              </w:rP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rPr>
                <w:rFonts w:hint="eastAsia" w:eastAsia="方正书宋_GBK"/>
                <w:lang w:val="en-US" w:eastAsia="zh-CN"/>
              </w:rPr>
            </w:pPr>
            <w:r>
              <w:t>预算</w:t>
            </w:r>
            <w:r>
              <w:rPr>
                <w:rFonts w:hint="eastAsia"/>
                <w:lang w:val="en-US" w:eastAsia="zh-CN"/>
              </w:rPr>
              <w:t>成本</w:t>
            </w:r>
          </w:p>
        </w:tc>
        <w:tc>
          <w:tcPr>
            <w:tcW w:w="2835" w:type="dxa"/>
            <w:vAlign w:val="center"/>
          </w:tcPr>
          <w:p>
            <w:pPr>
              <w:pStyle w:val="14"/>
            </w:pPr>
            <w:r>
              <w:t>按</w:t>
            </w:r>
            <w:r>
              <w:rPr>
                <w:rFonts w:hint="eastAsia"/>
                <w:lang w:val="en-US" w:eastAsia="zh-CN"/>
              </w:rPr>
              <w:t>预算数</w:t>
            </w:r>
            <w:r>
              <w:t>发放</w:t>
            </w:r>
          </w:p>
        </w:tc>
        <w:tc>
          <w:tcPr>
            <w:tcW w:w="2551" w:type="dxa"/>
            <w:vAlign w:val="center"/>
          </w:tcPr>
          <w:p>
            <w:pPr>
              <w:pStyle w:val="14"/>
            </w:pPr>
            <w:r>
              <w:t>≤1.73</w:t>
            </w:r>
            <w:r>
              <w:rPr>
                <w:rFonts w:hint="eastAsia"/>
                <w:lang w:val="en-US" w:eastAsia="zh-CN"/>
              </w:rPr>
              <w:t>万元</w:t>
            </w:r>
          </w:p>
        </w:tc>
        <w:tc>
          <w:tcPr>
            <w:tcW w:w="2268" w:type="dxa"/>
            <w:vAlign w:val="center"/>
          </w:tcPr>
          <w:p>
            <w:pPr>
              <w:pStyle w:val="14"/>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rPr>
                <w:rFonts w:hint="eastAsia" w:eastAsia="方正书宋_GBK"/>
                <w:lang w:val="en-US" w:eastAsia="zh-CN"/>
              </w:rPr>
            </w:pPr>
            <w:r>
              <w:t>员工权益保障</w:t>
            </w:r>
            <w:r>
              <w:rPr>
                <w:rFonts w:hint="eastAsia"/>
                <w:lang w:val="en-US" w:eastAsia="zh-CN"/>
              </w:rPr>
              <w:t>率</w:t>
            </w:r>
          </w:p>
        </w:tc>
        <w:tc>
          <w:tcPr>
            <w:tcW w:w="2835" w:type="dxa"/>
            <w:vAlign w:val="center"/>
          </w:tcPr>
          <w:p>
            <w:pPr>
              <w:pStyle w:val="14"/>
            </w:pPr>
            <w:r>
              <w:rPr>
                <w:rFonts w:hint="eastAsia"/>
                <w:lang w:val="en-US" w:eastAsia="zh-CN"/>
              </w:rPr>
              <w:t>有效</w:t>
            </w:r>
            <w:r>
              <w:t>保障员工基本权益</w:t>
            </w:r>
          </w:p>
        </w:tc>
        <w:tc>
          <w:tcPr>
            <w:tcW w:w="2551" w:type="dxa"/>
            <w:vAlign w:val="center"/>
          </w:tcPr>
          <w:p>
            <w:pPr>
              <w:pStyle w:val="14"/>
            </w:pPr>
            <w:r>
              <w:t>≥90</w:t>
            </w:r>
            <w:r>
              <w:rPr>
                <w:rFonts w:hint="eastAsia"/>
                <w:lang w:val="en-US" w:eastAsia="zh-CN"/>
              </w:rPr>
              <w:t>百分比</w:t>
            </w:r>
          </w:p>
        </w:tc>
        <w:tc>
          <w:tcPr>
            <w:tcW w:w="2268" w:type="dxa"/>
            <w:vAlign w:val="center"/>
          </w:tcPr>
          <w:p>
            <w:pPr>
              <w:pStyle w:val="14"/>
            </w:pPr>
            <w:r>
              <w:rPr>
                <w:rFonts w:hint="eastAsia"/>
                <w:lang w:val="en-US"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100百分比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3、成品油市场监督监管专项绩效目标表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1.彻底打击取缔非法经营加油站点经营窝点，有效遏制非法经营引发的环境污染和安全生产事故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巡查加油站个数</w:t>
            </w:r>
          </w:p>
        </w:tc>
        <w:tc>
          <w:tcPr>
            <w:tcW w:w="2835" w:type="dxa"/>
            <w:vAlign w:val="center"/>
          </w:tcPr>
          <w:p>
            <w:pPr>
              <w:pStyle w:val="14"/>
            </w:pPr>
            <w:r>
              <w:t>全年检查加油站个数</w:t>
            </w:r>
          </w:p>
        </w:tc>
        <w:tc>
          <w:tcPr>
            <w:tcW w:w="2551" w:type="dxa"/>
            <w:vAlign w:val="center"/>
          </w:tcPr>
          <w:p>
            <w:pPr>
              <w:pStyle w:val="14"/>
            </w:pPr>
            <w:r>
              <w:t>≥50个</w:t>
            </w:r>
          </w:p>
        </w:tc>
        <w:tc>
          <w:tcPr>
            <w:tcW w:w="2268" w:type="dxa"/>
            <w:vAlign w:val="center"/>
          </w:tcPr>
          <w:p>
            <w:pPr>
              <w:pStyle w:val="14"/>
            </w:pPr>
            <w:r>
              <w:rPr>
                <w:rFonts w:hint="eastAsia"/>
                <w:lang w:val="en-US" w:eastAsia="zh-CN"/>
              </w:rPr>
              <w:t>县域加油站数量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联合检查</w:t>
            </w:r>
            <w:r>
              <w:rPr>
                <w:rFonts w:hint="eastAsia"/>
                <w:lang w:val="en-US" w:eastAsia="zh-CN"/>
              </w:rPr>
              <w:t>次数</w:t>
            </w:r>
          </w:p>
        </w:tc>
        <w:tc>
          <w:tcPr>
            <w:tcW w:w="2835" w:type="dxa"/>
            <w:vAlign w:val="center"/>
          </w:tcPr>
          <w:p>
            <w:pPr>
              <w:pStyle w:val="14"/>
            </w:pPr>
            <w:r>
              <w:t>全年组织开展联合检查</w:t>
            </w:r>
            <w:r>
              <w:rPr>
                <w:rFonts w:hint="eastAsia"/>
                <w:lang w:val="en-US" w:eastAsia="zh-CN"/>
              </w:rPr>
              <w:t>次数</w:t>
            </w:r>
          </w:p>
        </w:tc>
        <w:tc>
          <w:tcPr>
            <w:tcW w:w="2551" w:type="dxa"/>
            <w:vAlign w:val="center"/>
          </w:tcPr>
          <w:p>
            <w:pPr>
              <w:pStyle w:val="14"/>
            </w:pPr>
            <w:r>
              <w:t>≥3次</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rPr>
                <w:rFonts w:hint="eastAsia" w:eastAsiaTheme="minorEastAsia"/>
                <w:lang w:eastAsia="zh-CN"/>
              </w:rPr>
              <w:t>完成及时率</w:t>
            </w:r>
          </w:p>
        </w:tc>
        <w:tc>
          <w:tcPr>
            <w:tcW w:w="2835" w:type="dxa"/>
            <w:vAlign w:val="center"/>
          </w:tcPr>
          <w:p>
            <w:pPr>
              <w:pStyle w:val="14"/>
            </w:pPr>
            <w:r>
              <w:rPr>
                <w:rFonts w:hint="eastAsia"/>
                <w:lang w:val="en-US" w:eastAsia="zh-CN"/>
              </w:rPr>
              <w:t>按时</w:t>
            </w:r>
            <w:r>
              <w:t>对全县加油站点进行监督管理</w:t>
            </w:r>
          </w:p>
        </w:tc>
        <w:tc>
          <w:tcPr>
            <w:tcW w:w="2551" w:type="dxa"/>
            <w:vAlign w:val="center"/>
          </w:tcPr>
          <w:p>
            <w:pPr>
              <w:pStyle w:val="14"/>
            </w:pPr>
            <w:r>
              <w:t>≥9</w:t>
            </w:r>
            <w:r>
              <w:rPr>
                <w:rFonts w:hint="eastAsia"/>
                <w:lang w:val="en-US" w:eastAsia="zh-CN"/>
              </w:rPr>
              <w:t>0百分比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rPr>
                <w:rFonts w:hint="eastAsia" w:eastAsia="方正书宋_GBK"/>
                <w:lang w:val="en-US" w:eastAsia="zh-CN"/>
              </w:rPr>
            </w:pPr>
            <w:r>
              <w:t>预算</w:t>
            </w:r>
            <w:r>
              <w:rPr>
                <w:rFonts w:hint="eastAsia"/>
                <w:lang w:val="en-US" w:eastAsia="zh-CN"/>
              </w:rPr>
              <w:t>成本</w:t>
            </w:r>
          </w:p>
        </w:tc>
        <w:tc>
          <w:tcPr>
            <w:tcW w:w="2835" w:type="dxa"/>
            <w:vAlign w:val="center"/>
          </w:tcPr>
          <w:p>
            <w:pPr>
              <w:pStyle w:val="14"/>
            </w:pPr>
            <w:r>
              <w:rPr>
                <w:rFonts w:hint="eastAsia"/>
                <w:lang w:val="en-US" w:eastAsia="zh-CN"/>
              </w:rPr>
              <w:t>严格按照</w:t>
            </w:r>
            <w:r>
              <w:t>预算</w:t>
            </w:r>
            <w:r>
              <w:rPr>
                <w:rFonts w:hint="eastAsia"/>
                <w:lang w:val="en-US" w:eastAsia="zh-CN"/>
              </w:rPr>
              <w:t>执行</w:t>
            </w:r>
          </w:p>
        </w:tc>
        <w:tc>
          <w:tcPr>
            <w:tcW w:w="2551" w:type="dxa"/>
            <w:vAlign w:val="center"/>
          </w:tcPr>
          <w:p>
            <w:pPr>
              <w:pStyle w:val="14"/>
            </w:pPr>
            <w:r>
              <w:t>≤</w:t>
            </w:r>
            <w:r>
              <w:rPr>
                <w:rFonts w:hint="eastAsia"/>
                <w:lang w:val="en-US" w:eastAsia="zh-CN"/>
              </w:rPr>
              <w:t>10万元</w:t>
            </w:r>
          </w:p>
        </w:tc>
        <w:tc>
          <w:tcPr>
            <w:tcW w:w="2268" w:type="dxa"/>
            <w:vAlign w:val="center"/>
          </w:tcPr>
          <w:p>
            <w:pPr>
              <w:pStyle w:val="14"/>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rPr>
                <w:rFonts w:hint="eastAsia" w:eastAsia="方正书宋_GBK"/>
                <w:lang w:val="en-US" w:eastAsia="zh-CN"/>
              </w:rPr>
            </w:pPr>
            <w:r>
              <w:t>成品油市场</w:t>
            </w:r>
            <w:r>
              <w:rPr>
                <w:rFonts w:hint="eastAsia"/>
                <w:lang w:val="en-US" w:eastAsia="zh-CN"/>
              </w:rPr>
              <w:t>增长率</w:t>
            </w:r>
          </w:p>
        </w:tc>
        <w:tc>
          <w:tcPr>
            <w:tcW w:w="2835" w:type="dxa"/>
            <w:vAlign w:val="center"/>
          </w:tcPr>
          <w:p>
            <w:pPr>
              <w:pStyle w:val="14"/>
            </w:pPr>
            <w:r>
              <w:t>保持成品油市场正常秩序</w:t>
            </w:r>
            <w:r>
              <w:rPr>
                <w:rFonts w:hint="eastAsia"/>
                <w:lang w:eastAsia="zh-CN"/>
              </w:rPr>
              <w:t>，</w:t>
            </w:r>
            <w:r>
              <w:t>维护成品油市场秩序</w:t>
            </w:r>
          </w:p>
        </w:tc>
        <w:tc>
          <w:tcPr>
            <w:tcW w:w="2551" w:type="dxa"/>
            <w:vAlign w:val="center"/>
          </w:tcPr>
          <w:p>
            <w:pPr>
              <w:pStyle w:val="14"/>
            </w:pPr>
            <w:r>
              <w:t>≥</w:t>
            </w:r>
            <w:r>
              <w:rPr>
                <w:rFonts w:hint="eastAsia"/>
                <w:lang w:val="en-US" w:eastAsia="zh-CN"/>
              </w:rPr>
              <w:t>3百分比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rPr>
                <w:rFonts w:hint="eastAsia" w:eastAsia="方正书宋_GBK"/>
                <w:lang w:eastAsia="zh-CN"/>
              </w:rPr>
            </w:pPr>
            <w:r>
              <w:t>油气回收</w:t>
            </w:r>
            <w:r>
              <w:rPr>
                <w:rFonts w:hint="eastAsia"/>
                <w:lang w:val="en-US" w:eastAsia="zh-CN"/>
              </w:rPr>
              <w:t>率</w:t>
            </w:r>
          </w:p>
        </w:tc>
        <w:tc>
          <w:tcPr>
            <w:tcW w:w="2835" w:type="dxa"/>
            <w:vAlign w:val="center"/>
          </w:tcPr>
          <w:p>
            <w:pPr>
              <w:pStyle w:val="14"/>
            </w:pPr>
            <w:r>
              <w:t>全县加油站油气回收正常运行</w:t>
            </w:r>
            <w:r>
              <w:rPr>
                <w:rFonts w:hint="eastAsia"/>
                <w:lang w:eastAsia="zh-CN"/>
              </w:rPr>
              <w:t>，</w:t>
            </w:r>
            <w:r>
              <w:t>防止污染大气</w:t>
            </w:r>
          </w:p>
        </w:tc>
        <w:tc>
          <w:tcPr>
            <w:tcW w:w="2551" w:type="dxa"/>
            <w:vAlign w:val="center"/>
          </w:tcPr>
          <w:p>
            <w:pPr>
              <w:pStyle w:val="14"/>
            </w:pPr>
            <w:r>
              <w:t>≥9</w:t>
            </w:r>
            <w:r>
              <w:rPr>
                <w:rFonts w:hint="eastAsia"/>
                <w:lang w:val="en-US" w:eastAsia="zh-CN"/>
              </w:rPr>
              <w:t>0百分比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r>
              <w:rPr>
                <w:rFonts w:hint="eastAsia"/>
                <w:lang w:val="en-US" w:eastAsia="zh-CN"/>
              </w:rPr>
              <w:t>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4、电子商务专项绩效目标表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1.加快电子商务建设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建设县级农村电子商务公共服务中心</w:t>
            </w:r>
            <w:r>
              <w:rPr>
                <w:rFonts w:hint="eastAsia"/>
                <w:lang w:val="en-US" w:eastAsia="zh-CN"/>
              </w:rPr>
              <w:t>个数</w:t>
            </w:r>
          </w:p>
        </w:tc>
        <w:tc>
          <w:tcPr>
            <w:tcW w:w="2835" w:type="dxa"/>
            <w:vAlign w:val="center"/>
          </w:tcPr>
          <w:p>
            <w:pPr>
              <w:pStyle w:val="14"/>
            </w:pPr>
            <w:r>
              <w:t>县级农村电子商务公共服务中心</w:t>
            </w:r>
          </w:p>
        </w:tc>
        <w:tc>
          <w:tcPr>
            <w:tcW w:w="2551" w:type="dxa"/>
            <w:vAlign w:val="center"/>
          </w:tcPr>
          <w:p>
            <w:pPr>
              <w:pStyle w:val="14"/>
            </w:pPr>
            <w:r>
              <w:t>≥1家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rPr>
                <w:rFonts w:hint="eastAsia"/>
                <w:lang w:val="en-US" w:eastAsia="zh-CN"/>
              </w:rPr>
              <w:t>预计销售额</w:t>
            </w:r>
          </w:p>
        </w:tc>
        <w:tc>
          <w:tcPr>
            <w:tcW w:w="2835" w:type="dxa"/>
            <w:vAlign w:val="center"/>
          </w:tcPr>
          <w:p>
            <w:pPr>
              <w:pStyle w:val="14"/>
            </w:pPr>
            <w:r>
              <w:t>对乡村振兴和扶贫脱贫攻坚的促进作用</w:t>
            </w:r>
          </w:p>
        </w:tc>
        <w:tc>
          <w:tcPr>
            <w:tcW w:w="2551" w:type="dxa"/>
            <w:vAlign w:val="center"/>
          </w:tcPr>
          <w:p>
            <w:pPr>
              <w:pStyle w:val="14"/>
            </w:pPr>
            <w:r>
              <w:t>≥1年/亿</w:t>
            </w:r>
          </w:p>
        </w:tc>
        <w:tc>
          <w:tcPr>
            <w:tcW w:w="2268" w:type="dxa"/>
            <w:vAlign w:val="center"/>
          </w:tcPr>
          <w:p>
            <w:pPr>
              <w:pStyle w:val="14"/>
            </w:pPr>
            <w:r>
              <w:rPr>
                <w:rFonts w:hint="eastAsia"/>
                <w:lang w:val="en-US" w:eastAsia="zh-CN"/>
              </w:rPr>
              <w:t>历史统计结果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按时完成农村电商公共服务中心建设工作</w:t>
            </w:r>
          </w:p>
        </w:tc>
        <w:tc>
          <w:tcPr>
            <w:tcW w:w="2551" w:type="dxa"/>
            <w:vAlign w:val="center"/>
          </w:tcPr>
          <w:p>
            <w:pPr>
              <w:pStyle w:val="14"/>
            </w:pPr>
            <w:r>
              <w:t>≥90百分比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建设成本支出</w:t>
            </w:r>
          </w:p>
        </w:tc>
        <w:tc>
          <w:tcPr>
            <w:tcW w:w="2835" w:type="dxa"/>
            <w:vAlign w:val="center"/>
          </w:tcPr>
          <w:p>
            <w:pPr>
              <w:pStyle w:val="14"/>
            </w:pPr>
            <w:r>
              <w:t>严控</w:t>
            </w:r>
            <w:r>
              <w:rPr>
                <w:rFonts w:hint="eastAsia"/>
                <w:lang w:val="en-US" w:eastAsia="zh-CN"/>
              </w:rPr>
              <w:t>预算</w:t>
            </w:r>
            <w:r>
              <w:t>成本</w:t>
            </w:r>
          </w:p>
        </w:tc>
        <w:tc>
          <w:tcPr>
            <w:tcW w:w="2551" w:type="dxa"/>
            <w:vAlign w:val="center"/>
          </w:tcPr>
          <w:p>
            <w:pPr>
              <w:pStyle w:val="14"/>
            </w:pPr>
            <w:r>
              <w:t>≤</w:t>
            </w:r>
            <w:r>
              <w:rPr>
                <w:rFonts w:hint="eastAsia"/>
                <w:lang w:val="en-US" w:eastAsia="zh-CN"/>
              </w:rPr>
              <w:t>8万元</w:t>
            </w:r>
          </w:p>
        </w:tc>
        <w:tc>
          <w:tcPr>
            <w:tcW w:w="2268" w:type="dxa"/>
            <w:vAlign w:val="center"/>
          </w:tcPr>
          <w:p>
            <w:pPr>
              <w:pStyle w:val="14"/>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电商交易额增长</w:t>
            </w:r>
            <w:r>
              <w:rPr>
                <w:rFonts w:hint="eastAsia"/>
                <w:lang w:val="en-US" w:eastAsia="zh-CN"/>
              </w:rPr>
              <w:t>率</w:t>
            </w:r>
          </w:p>
        </w:tc>
        <w:tc>
          <w:tcPr>
            <w:tcW w:w="2835" w:type="dxa"/>
            <w:vAlign w:val="center"/>
          </w:tcPr>
          <w:p>
            <w:pPr>
              <w:pStyle w:val="14"/>
            </w:pPr>
            <w:r>
              <w:t>全年电商交易额增长</w:t>
            </w:r>
            <w:r>
              <w:rPr>
                <w:rFonts w:hint="eastAsia"/>
                <w:lang w:val="en-US" w:eastAsia="zh-CN"/>
              </w:rPr>
              <w:t>率</w:t>
            </w:r>
          </w:p>
        </w:tc>
        <w:tc>
          <w:tcPr>
            <w:tcW w:w="2551" w:type="dxa"/>
            <w:vAlign w:val="center"/>
          </w:tcPr>
          <w:p>
            <w:pPr>
              <w:pStyle w:val="14"/>
            </w:pPr>
            <w:r>
              <w:t>≥10百分比</w:t>
            </w:r>
          </w:p>
        </w:tc>
        <w:tc>
          <w:tcPr>
            <w:tcW w:w="2268" w:type="dxa"/>
            <w:vAlign w:val="center"/>
          </w:tcPr>
          <w:p>
            <w:pPr>
              <w:pStyle w:val="14"/>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rPr>
                <w:rFonts w:hint="eastAsia" w:eastAsia="方正书宋_GBK"/>
                <w:lang w:val="en-US" w:eastAsia="zh-CN"/>
              </w:rPr>
            </w:pPr>
            <w:r>
              <w:t>物流配送体系改善</w:t>
            </w:r>
            <w:r>
              <w:rPr>
                <w:rFonts w:hint="eastAsia"/>
                <w:lang w:val="en-US" w:eastAsia="zh-CN"/>
              </w:rPr>
              <w:t>率</w:t>
            </w:r>
          </w:p>
        </w:tc>
        <w:tc>
          <w:tcPr>
            <w:tcW w:w="2835" w:type="dxa"/>
            <w:vAlign w:val="center"/>
          </w:tcPr>
          <w:p>
            <w:pPr>
              <w:pStyle w:val="14"/>
            </w:pPr>
            <w:r>
              <w:t>改善物流配送体系</w:t>
            </w:r>
          </w:p>
        </w:tc>
        <w:tc>
          <w:tcPr>
            <w:tcW w:w="2551" w:type="dxa"/>
            <w:vAlign w:val="center"/>
          </w:tcPr>
          <w:p>
            <w:pPr>
              <w:pStyle w:val="14"/>
            </w:pPr>
            <w:r>
              <w:t>≥</w:t>
            </w:r>
            <w:r>
              <w:rPr>
                <w:rFonts w:hint="eastAsia"/>
                <w:lang w:val="en-US" w:eastAsia="zh-CN"/>
              </w:rPr>
              <w:t>3百分比</w:t>
            </w:r>
          </w:p>
        </w:tc>
        <w:tc>
          <w:tcPr>
            <w:tcW w:w="2268" w:type="dxa"/>
            <w:vAlign w:val="center"/>
          </w:tcPr>
          <w:p>
            <w:pPr>
              <w:pStyle w:val="14"/>
            </w:pPr>
            <w:r>
              <w:rPr>
                <w:rFonts w:hint="eastAsia"/>
                <w:lang w:val="en-US"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5、冀财建【2021】192号/中央/2022年中央服务业发展资金/电子商务示范县绩效目标表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1.促进农村电子商务建设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农村电商服务在行政村服务</w:t>
            </w:r>
            <w:r>
              <w:rPr>
                <w:rFonts w:hint="eastAsia"/>
                <w:lang w:val="en-US" w:eastAsia="zh-CN"/>
              </w:rPr>
              <w:t>个数</w:t>
            </w:r>
          </w:p>
        </w:tc>
        <w:tc>
          <w:tcPr>
            <w:tcW w:w="2835" w:type="dxa"/>
            <w:vAlign w:val="center"/>
          </w:tcPr>
          <w:p>
            <w:pPr>
              <w:pStyle w:val="14"/>
            </w:pPr>
            <w:r>
              <w:t>农村电商服务在行政村服务覆盖率</w:t>
            </w:r>
          </w:p>
        </w:tc>
        <w:tc>
          <w:tcPr>
            <w:tcW w:w="2551" w:type="dxa"/>
            <w:vAlign w:val="center"/>
          </w:tcPr>
          <w:p>
            <w:pPr>
              <w:pStyle w:val="14"/>
            </w:pPr>
            <w:r>
              <w:t>≥50个</w:t>
            </w:r>
          </w:p>
        </w:tc>
        <w:tc>
          <w:tcPr>
            <w:tcW w:w="2268" w:type="dxa"/>
            <w:vAlign w:val="center"/>
          </w:tcPr>
          <w:p>
            <w:pPr>
              <w:pStyle w:val="14"/>
            </w:pPr>
            <w:r>
              <w:rPr>
                <w:rFonts w:hint="eastAsia"/>
                <w:lang w:val="en-US" w:eastAsia="zh-CN"/>
              </w:rPr>
              <w:t>电子商务进农村工作安排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default" w:eastAsia="方正书宋_GBK"/>
                <w:lang w:val="en-US" w:eastAsia="zh-CN"/>
              </w:rPr>
            </w:pPr>
            <w:r>
              <w:t>标准化程度</w:t>
            </w:r>
            <w:r>
              <w:rPr>
                <w:rFonts w:hint="eastAsia"/>
                <w:lang w:val="en-US" w:eastAsia="zh-CN"/>
              </w:rPr>
              <w:t>企业个数</w:t>
            </w:r>
          </w:p>
        </w:tc>
        <w:tc>
          <w:tcPr>
            <w:tcW w:w="2835" w:type="dxa"/>
            <w:vAlign w:val="center"/>
          </w:tcPr>
          <w:p>
            <w:pPr>
              <w:pStyle w:val="14"/>
            </w:pPr>
            <w:r>
              <w:t>完善企业标准，提升农产品标准化程度</w:t>
            </w:r>
          </w:p>
        </w:tc>
        <w:tc>
          <w:tcPr>
            <w:tcW w:w="2551" w:type="dxa"/>
            <w:vAlign w:val="center"/>
          </w:tcPr>
          <w:p>
            <w:pPr>
              <w:pStyle w:val="14"/>
            </w:pPr>
            <w:r>
              <w:t>≥1个</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rFonts w:hint="default"/>
                <w:lang w:val="en-US"/>
              </w:rPr>
            </w:pPr>
            <w:r>
              <w:rPr>
                <w:rFonts w:hint="eastAsia"/>
                <w:lang w:val="en-US" w:eastAsia="zh-CN"/>
              </w:rPr>
              <w:t>按期完成率</w:t>
            </w:r>
          </w:p>
        </w:tc>
        <w:tc>
          <w:tcPr>
            <w:tcW w:w="2835" w:type="dxa"/>
            <w:vAlign w:val="center"/>
          </w:tcPr>
          <w:p>
            <w:pPr>
              <w:pStyle w:val="14"/>
            </w:pPr>
            <w:r>
              <w:rPr>
                <w:rFonts w:hint="eastAsia"/>
                <w:lang w:val="en-US" w:eastAsia="zh-CN"/>
              </w:rPr>
              <w:t>按按期推进农村电商建设</w:t>
            </w:r>
          </w:p>
        </w:tc>
        <w:tc>
          <w:tcPr>
            <w:tcW w:w="2551" w:type="dxa"/>
            <w:vAlign w:val="center"/>
          </w:tcPr>
          <w:p>
            <w:pPr>
              <w:pStyle w:val="14"/>
            </w:pPr>
            <w:r>
              <w:t>≥90百分比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r>
              <w:rPr>
                <w:rFonts w:hint="eastAsia"/>
                <w:lang w:val="en-US" w:eastAsia="zh-CN"/>
              </w:rPr>
              <w:t>支出</w:t>
            </w:r>
          </w:p>
        </w:tc>
        <w:tc>
          <w:tcPr>
            <w:tcW w:w="2835" w:type="dxa"/>
            <w:vAlign w:val="center"/>
          </w:tcPr>
          <w:p>
            <w:pPr>
              <w:pStyle w:val="14"/>
            </w:pPr>
            <w:r>
              <w:rPr>
                <w:rFonts w:hint="eastAsia"/>
                <w:lang w:val="en-US" w:eastAsia="zh-CN"/>
              </w:rPr>
              <w:t>严格按照</w:t>
            </w:r>
            <w:r>
              <w:t>预算</w:t>
            </w:r>
            <w:r>
              <w:rPr>
                <w:rFonts w:hint="eastAsia"/>
                <w:lang w:val="en-US" w:eastAsia="zh-CN"/>
              </w:rPr>
              <w:t>执行</w:t>
            </w:r>
          </w:p>
        </w:tc>
        <w:tc>
          <w:tcPr>
            <w:tcW w:w="2551" w:type="dxa"/>
            <w:vAlign w:val="center"/>
          </w:tcPr>
          <w:p>
            <w:pPr>
              <w:pStyle w:val="14"/>
            </w:pPr>
            <w:r>
              <w:t>≤</w:t>
            </w:r>
            <w:r>
              <w:rPr>
                <w:rFonts w:hint="eastAsia"/>
                <w:lang w:val="en-US" w:eastAsia="zh-CN"/>
              </w:rPr>
              <w:t>500万元</w:t>
            </w:r>
          </w:p>
        </w:tc>
        <w:tc>
          <w:tcPr>
            <w:tcW w:w="2268" w:type="dxa"/>
            <w:vAlign w:val="center"/>
          </w:tcPr>
          <w:p>
            <w:pPr>
              <w:pStyle w:val="14"/>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农产品网络零售额同比增速</w:t>
            </w:r>
          </w:p>
        </w:tc>
        <w:tc>
          <w:tcPr>
            <w:tcW w:w="2835" w:type="dxa"/>
            <w:vAlign w:val="center"/>
          </w:tcPr>
          <w:p>
            <w:pPr>
              <w:pStyle w:val="14"/>
            </w:pPr>
            <w:r>
              <w:t>农产品网络零售额同比增速</w:t>
            </w:r>
          </w:p>
        </w:tc>
        <w:tc>
          <w:tcPr>
            <w:tcW w:w="2551" w:type="dxa"/>
            <w:vAlign w:val="center"/>
          </w:tcPr>
          <w:p>
            <w:pPr>
              <w:pStyle w:val="14"/>
            </w:pPr>
            <w:r>
              <w:t>≥10百分比</w:t>
            </w:r>
          </w:p>
        </w:tc>
        <w:tc>
          <w:tcPr>
            <w:tcW w:w="2268" w:type="dxa"/>
            <w:vAlign w:val="center"/>
          </w:tcPr>
          <w:p>
            <w:pPr>
              <w:pStyle w:val="14"/>
            </w:pPr>
            <w:r>
              <w:rPr>
                <w:rFonts w:hint="eastAsia"/>
                <w:lang w:val="en-US" w:eastAsia="zh-CN"/>
              </w:rPr>
              <w:t>历史均值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对接电商企业帮扶项目</w:t>
            </w:r>
            <w:r>
              <w:rPr>
                <w:rFonts w:hint="eastAsia"/>
                <w:lang w:val="en-US" w:eastAsia="zh-CN"/>
              </w:rPr>
              <w:t>个数</w:t>
            </w:r>
          </w:p>
        </w:tc>
        <w:tc>
          <w:tcPr>
            <w:tcW w:w="2835" w:type="dxa"/>
            <w:vAlign w:val="center"/>
          </w:tcPr>
          <w:p>
            <w:pPr>
              <w:pStyle w:val="14"/>
            </w:pPr>
            <w:r>
              <w:t>促进电商精准帮扶对电商企业帮扶项目</w:t>
            </w:r>
          </w:p>
        </w:tc>
        <w:tc>
          <w:tcPr>
            <w:tcW w:w="2551" w:type="dxa"/>
            <w:vAlign w:val="center"/>
          </w:tcPr>
          <w:p>
            <w:pPr>
              <w:pStyle w:val="14"/>
            </w:pPr>
            <w:r>
              <w:t>≥2个</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提升农产品品牌化</w:t>
            </w:r>
            <w:r>
              <w:rPr>
                <w:rFonts w:hint="eastAsia"/>
                <w:lang w:val="en-US" w:eastAsia="zh-CN"/>
              </w:rPr>
              <w:t>个数</w:t>
            </w:r>
          </w:p>
        </w:tc>
        <w:tc>
          <w:tcPr>
            <w:tcW w:w="2835" w:type="dxa"/>
            <w:vAlign w:val="center"/>
          </w:tcPr>
          <w:p>
            <w:pPr>
              <w:pStyle w:val="14"/>
            </w:pPr>
            <w:r>
              <w:t>提升农产品品牌化程度</w:t>
            </w:r>
          </w:p>
        </w:tc>
        <w:tc>
          <w:tcPr>
            <w:tcW w:w="2551" w:type="dxa"/>
            <w:vAlign w:val="center"/>
          </w:tcPr>
          <w:p>
            <w:pPr>
              <w:pStyle w:val="14"/>
            </w:pPr>
            <w:r>
              <w:t>1个</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6、跨境电商专项绩效目标表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1.加快跨境电商园区建设，出台扶持政策，鼓励企业开展线上跨境国际贸易，增加企业外贸进出口渠道</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增加跨境电商企业个数</w:t>
            </w:r>
          </w:p>
        </w:tc>
        <w:tc>
          <w:tcPr>
            <w:tcW w:w="2835" w:type="dxa"/>
            <w:vAlign w:val="center"/>
          </w:tcPr>
          <w:p>
            <w:pPr>
              <w:pStyle w:val="14"/>
            </w:pPr>
            <w:r>
              <w:t>全年增加跨境电商企业个数</w:t>
            </w:r>
          </w:p>
        </w:tc>
        <w:tc>
          <w:tcPr>
            <w:tcW w:w="2551" w:type="dxa"/>
            <w:vAlign w:val="center"/>
          </w:tcPr>
          <w:p>
            <w:pPr>
              <w:pStyle w:val="14"/>
            </w:pPr>
            <w:r>
              <w:t>≥5个</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跨境电商企业入驻率</w:t>
            </w:r>
          </w:p>
        </w:tc>
        <w:tc>
          <w:tcPr>
            <w:tcW w:w="2835" w:type="dxa"/>
            <w:vAlign w:val="center"/>
          </w:tcPr>
          <w:p>
            <w:pPr>
              <w:pStyle w:val="14"/>
            </w:pPr>
            <w:r>
              <w:t>全年跨境电商园区企业入驻率</w:t>
            </w:r>
          </w:p>
        </w:tc>
        <w:tc>
          <w:tcPr>
            <w:tcW w:w="2551" w:type="dxa"/>
            <w:vAlign w:val="center"/>
          </w:tcPr>
          <w:p>
            <w:pPr>
              <w:pStyle w:val="14"/>
            </w:pPr>
            <w:r>
              <w:t>≥85百分比</w:t>
            </w:r>
          </w:p>
        </w:tc>
        <w:tc>
          <w:tcPr>
            <w:tcW w:w="2268" w:type="dxa"/>
            <w:vAlign w:val="center"/>
          </w:tcPr>
          <w:p>
            <w:pPr>
              <w:pStyle w:val="14"/>
              <w:rPr>
                <w:rFonts w:hint="default" w:eastAsia="方正书宋_GBK"/>
                <w:lang w:val="en-US" w:eastAsia="zh-CN"/>
              </w:rPr>
            </w:pPr>
            <w:r>
              <w:rPr>
                <w:rFonts w:hint="eastAsia"/>
                <w:lang w:val="en-US" w:eastAsia="zh-CN"/>
              </w:rPr>
              <w:t>预计入驻率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按期完成率</w:t>
            </w:r>
          </w:p>
        </w:tc>
        <w:tc>
          <w:tcPr>
            <w:tcW w:w="2551" w:type="dxa"/>
            <w:vAlign w:val="center"/>
          </w:tcPr>
          <w:p>
            <w:pPr>
              <w:pStyle w:val="14"/>
            </w:pPr>
            <w:r>
              <w:t>≥95百分比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跨境电商建设支出</w:t>
            </w:r>
          </w:p>
        </w:tc>
        <w:tc>
          <w:tcPr>
            <w:tcW w:w="2835" w:type="dxa"/>
            <w:vAlign w:val="center"/>
          </w:tcPr>
          <w:p>
            <w:pPr>
              <w:pStyle w:val="14"/>
            </w:pPr>
            <w:r>
              <w:t>按预算严控跨境电商建设支出</w:t>
            </w:r>
          </w:p>
        </w:tc>
        <w:tc>
          <w:tcPr>
            <w:tcW w:w="2551" w:type="dxa"/>
            <w:vAlign w:val="center"/>
          </w:tcPr>
          <w:p>
            <w:pPr>
              <w:pStyle w:val="14"/>
            </w:pPr>
            <w:r>
              <w:t>≤</w:t>
            </w:r>
            <w:r>
              <w:rPr>
                <w:rFonts w:hint="eastAsia"/>
                <w:lang w:val="en-US" w:eastAsia="zh-CN"/>
              </w:rPr>
              <w:t>60万元</w:t>
            </w:r>
          </w:p>
        </w:tc>
        <w:tc>
          <w:tcPr>
            <w:tcW w:w="2268" w:type="dxa"/>
            <w:vAlign w:val="center"/>
          </w:tcPr>
          <w:p>
            <w:pPr>
              <w:pStyle w:val="14"/>
            </w:pPr>
            <w:r>
              <w:rPr>
                <w:rFonts w:hint="eastAsia"/>
                <w:lang w:val="en-US" w:eastAsia="zh-CN"/>
              </w:rPr>
              <w:t>年初</w:t>
            </w: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预期增长率</w:t>
            </w:r>
          </w:p>
        </w:tc>
        <w:tc>
          <w:tcPr>
            <w:tcW w:w="2835" w:type="dxa"/>
            <w:vAlign w:val="center"/>
          </w:tcPr>
          <w:p>
            <w:pPr>
              <w:pStyle w:val="14"/>
            </w:pPr>
            <w:r>
              <w:t>对本地企业带来经济效果</w:t>
            </w:r>
          </w:p>
        </w:tc>
        <w:tc>
          <w:tcPr>
            <w:tcW w:w="2551" w:type="dxa"/>
            <w:vAlign w:val="center"/>
          </w:tcPr>
          <w:p>
            <w:pPr>
              <w:pStyle w:val="14"/>
            </w:pPr>
            <w:r>
              <w:t>≥10百分比</w:t>
            </w:r>
          </w:p>
        </w:tc>
        <w:tc>
          <w:tcPr>
            <w:tcW w:w="2268" w:type="dxa"/>
            <w:vAlign w:val="center"/>
          </w:tcPr>
          <w:p>
            <w:pPr>
              <w:pStyle w:val="14"/>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rPr>
                <w:rFonts w:hint="eastAsia" w:eastAsia="方正书宋_GBK"/>
                <w:lang w:val="en-US" w:eastAsia="zh-CN"/>
              </w:rPr>
            </w:pPr>
            <w:r>
              <w:t>外贸新业态经营模式增加</w:t>
            </w:r>
            <w:r>
              <w:rPr>
                <w:rFonts w:hint="eastAsia"/>
                <w:lang w:val="en-US" w:eastAsia="zh-CN"/>
              </w:rPr>
              <w:t>数</w:t>
            </w:r>
          </w:p>
        </w:tc>
        <w:tc>
          <w:tcPr>
            <w:tcW w:w="2835" w:type="dxa"/>
            <w:vAlign w:val="center"/>
          </w:tcPr>
          <w:p>
            <w:pPr>
              <w:pStyle w:val="14"/>
            </w:pPr>
            <w:r>
              <w:t>让外贸新业态影响企业经营思维，改善经营模式</w:t>
            </w:r>
          </w:p>
        </w:tc>
        <w:tc>
          <w:tcPr>
            <w:tcW w:w="2551" w:type="dxa"/>
            <w:vAlign w:val="center"/>
          </w:tcPr>
          <w:p>
            <w:pPr>
              <w:pStyle w:val="14"/>
            </w:pPr>
            <w:r>
              <w:t>≥</w:t>
            </w:r>
            <w:r>
              <w:rPr>
                <w:rFonts w:hint="eastAsia"/>
                <w:lang w:val="en-US" w:eastAsia="zh-CN"/>
              </w:rPr>
              <w:t>1</w:t>
            </w:r>
            <w:r>
              <w:t>个</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7、名校英才入冀房屋补贴专项绩效目标表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1.名校英才入冀房租补助专项</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发放房补人数</w:t>
            </w:r>
          </w:p>
        </w:tc>
        <w:tc>
          <w:tcPr>
            <w:tcW w:w="2835" w:type="dxa"/>
            <w:vAlign w:val="center"/>
          </w:tcPr>
          <w:p>
            <w:pPr>
              <w:pStyle w:val="14"/>
            </w:pPr>
            <w:r>
              <w:t>发放房补人数</w:t>
            </w:r>
          </w:p>
        </w:tc>
        <w:tc>
          <w:tcPr>
            <w:tcW w:w="2551" w:type="dxa"/>
            <w:vAlign w:val="center"/>
          </w:tcPr>
          <w:p>
            <w:pPr>
              <w:pStyle w:val="14"/>
            </w:pPr>
            <w:r>
              <w:t>1人</w:t>
            </w:r>
          </w:p>
        </w:tc>
        <w:tc>
          <w:tcPr>
            <w:tcW w:w="2268" w:type="dxa"/>
            <w:vAlign w:val="center"/>
          </w:tcPr>
          <w:p>
            <w:pPr>
              <w:pStyle w:val="14"/>
            </w:pPr>
            <w:r>
              <w:t>发放房补人数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发放完成率</w:t>
            </w:r>
          </w:p>
        </w:tc>
        <w:tc>
          <w:tcPr>
            <w:tcW w:w="2835" w:type="dxa"/>
            <w:vAlign w:val="center"/>
          </w:tcPr>
          <w:p>
            <w:pPr>
              <w:pStyle w:val="14"/>
            </w:pPr>
            <w:r>
              <w:t>发放完成率</w:t>
            </w:r>
          </w:p>
        </w:tc>
        <w:tc>
          <w:tcPr>
            <w:tcW w:w="2551" w:type="dxa"/>
            <w:vAlign w:val="center"/>
          </w:tcPr>
          <w:p>
            <w:pPr>
              <w:pStyle w:val="14"/>
            </w:pPr>
            <w:r>
              <w:t>100百分比</w:t>
            </w:r>
          </w:p>
        </w:tc>
        <w:tc>
          <w:tcPr>
            <w:tcW w:w="2268" w:type="dxa"/>
            <w:vAlign w:val="center"/>
          </w:tcPr>
          <w:p>
            <w:pPr>
              <w:pStyle w:val="14"/>
            </w:pPr>
            <w:r>
              <w:rPr>
                <w:rFonts w:hint="eastAsia"/>
                <w:lang w:val="en-US" w:eastAsia="zh-CN"/>
              </w:rP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rFonts w:hint="eastAsia" w:eastAsia="方正书宋_GBK"/>
                <w:lang w:val="en-US" w:eastAsia="zh-CN"/>
              </w:rPr>
            </w:pPr>
            <w:r>
              <w:t>按时发放</w:t>
            </w:r>
            <w:r>
              <w:rPr>
                <w:rFonts w:hint="eastAsia"/>
                <w:lang w:val="en-US" w:eastAsia="zh-CN"/>
              </w:rPr>
              <w:t>率</w:t>
            </w:r>
          </w:p>
        </w:tc>
        <w:tc>
          <w:tcPr>
            <w:tcW w:w="2835" w:type="dxa"/>
            <w:vAlign w:val="center"/>
          </w:tcPr>
          <w:p>
            <w:pPr>
              <w:pStyle w:val="14"/>
            </w:pPr>
            <w:r>
              <w:t>按时发放</w:t>
            </w:r>
          </w:p>
        </w:tc>
        <w:tc>
          <w:tcPr>
            <w:tcW w:w="2551" w:type="dxa"/>
            <w:vAlign w:val="center"/>
          </w:tcPr>
          <w:p>
            <w:pPr>
              <w:pStyle w:val="14"/>
            </w:pPr>
            <w:r>
              <w:t>100百分比</w:t>
            </w:r>
          </w:p>
        </w:tc>
        <w:tc>
          <w:tcPr>
            <w:tcW w:w="2268" w:type="dxa"/>
            <w:vAlign w:val="center"/>
          </w:tcPr>
          <w:p>
            <w:pPr>
              <w:pStyle w:val="14"/>
            </w:pPr>
            <w:r>
              <w:rPr>
                <w:rFonts w:hint="eastAsia"/>
                <w:lang w:val="en-US" w:eastAsia="zh-CN"/>
              </w:rP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rPr>
                <w:rFonts w:hint="default" w:eastAsia="方正书宋_GBK"/>
                <w:lang w:val="en-US" w:eastAsia="zh-CN"/>
              </w:rPr>
            </w:pPr>
            <w:r>
              <w:rPr>
                <w:rFonts w:hint="eastAsia"/>
                <w:lang w:val="en-US" w:eastAsia="zh-CN"/>
              </w:rPr>
              <w:t>预算成本</w:t>
            </w:r>
          </w:p>
        </w:tc>
        <w:tc>
          <w:tcPr>
            <w:tcW w:w="2835" w:type="dxa"/>
            <w:vAlign w:val="center"/>
          </w:tcPr>
          <w:p>
            <w:pPr>
              <w:pStyle w:val="14"/>
            </w:pPr>
            <w:r>
              <w:t>按应发数额发放</w:t>
            </w:r>
          </w:p>
        </w:tc>
        <w:tc>
          <w:tcPr>
            <w:tcW w:w="2551" w:type="dxa"/>
            <w:vAlign w:val="center"/>
          </w:tcPr>
          <w:p>
            <w:pPr>
              <w:pStyle w:val="14"/>
            </w:pPr>
            <w:r>
              <w:t>1.2万元</w:t>
            </w:r>
          </w:p>
        </w:tc>
        <w:tc>
          <w:tcPr>
            <w:tcW w:w="2268" w:type="dxa"/>
            <w:vAlign w:val="center"/>
          </w:tcPr>
          <w:p>
            <w:pPr>
              <w:pStyle w:val="14"/>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工作提升率</w:t>
            </w:r>
          </w:p>
        </w:tc>
        <w:tc>
          <w:tcPr>
            <w:tcW w:w="2835" w:type="dxa"/>
            <w:vAlign w:val="center"/>
          </w:tcPr>
          <w:p>
            <w:pPr>
              <w:pStyle w:val="14"/>
            </w:pPr>
            <w:r>
              <w:t>提升工作效率</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rPr>
                <w:rFonts w:hint="eastAsia" w:eastAsia="方正书宋_GBK"/>
                <w:lang w:val="en-US" w:eastAsia="zh-CN"/>
              </w:rPr>
            </w:pPr>
            <w:r>
              <w:t>100</w:t>
            </w:r>
            <w:r>
              <w:rPr>
                <w:rFonts w:hint="eastAsia"/>
                <w:lang w:val="en-US" w:eastAsia="zh-CN"/>
              </w:rPr>
              <w:t>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8、盘活存量/冀财建【2020】95号/中央/2021年中央服务发展资金/电子商务示范县绩效目标表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468"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1.完善农村电子商务公共服务体系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农村电商服务在行政村服务</w:t>
            </w:r>
            <w:r>
              <w:rPr>
                <w:rFonts w:hint="eastAsia"/>
                <w:lang w:val="en-US" w:eastAsia="zh-CN"/>
              </w:rPr>
              <w:t>个数</w:t>
            </w:r>
          </w:p>
        </w:tc>
        <w:tc>
          <w:tcPr>
            <w:tcW w:w="2835" w:type="dxa"/>
            <w:vAlign w:val="center"/>
          </w:tcPr>
          <w:p>
            <w:pPr>
              <w:pStyle w:val="14"/>
            </w:pPr>
            <w:r>
              <w:t>农村电商服务在行政村服务覆盖率</w:t>
            </w:r>
          </w:p>
        </w:tc>
        <w:tc>
          <w:tcPr>
            <w:tcW w:w="2551" w:type="dxa"/>
            <w:vAlign w:val="center"/>
          </w:tcPr>
          <w:p>
            <w:pPr>
              <w:pStyle w:val="14"/>
            </w:pPr>
            <w:r>
              <w:t>≥50个</w:t>
            </w:r>
          </w:p>
        </w:tc>
        <w:tc>
          <w:tcPr>
            <w:tcW w:w="2268" w:type="dxa"/>
            <w:vAlign w:val="center"/>
          </w:tcPr>
          <w:p>
            <w:pPr>
              <w:pStyle w:val="14"/>
            </w:pPr>
            <w:r>
              <w:rPr>
                <w:rFonts w:hint="eastAsia"/>
                <w:lang w:val="en-US" w:eastAsia="zh-CN"/>
              </w:rPr>
              <w:t>电子商务进农村工作安排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标准化程度</w:t>
            </w:r>
            <w:r>
              <w:rPr>
                <w:rFonts w:hint="eastAsia"/>
                <w:lang w:val="en-US" w:eastAsia="zh-CN"/>
              </w:rPr>
              <w:t>企业个数</w:t>
            </w:r>
          </w:p>
        </w:tc>
        <w:tc>
          <w:tcPr>
            <w:tcW w:w="2835" w:type="dxa"/>
            <w:vAlign w:val="center"/>
          </w:tcPr>
          <w:p>
            <w:pPr>
              <w:pStyle w:val="14"/>
            </w:pPr>
            <w:r>
              <w:t>完善企业标准，提升农产品标准化程度</w:t>
            </w:r>
          </w:p>
        </w:tc>
        <w:tc>
          <w:tcPr>
            <w:tcW w:w="2551" w:type="dxa"/>
            <w:vAlign w:val="center"/>
          </w:tcPr>
          <w:p>
            <w:pPr>
              <w:pStyle w:val="14"/>
            </w:pPr>
            <w:r>
              <w:t>≥1个</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rPr>
                <w:rFonts w:hint="eastAsia"/>
                <w:lang w:val="en-US" w:eastAsia="zh-CN"/>
              </w:rPr>
              <w:t>按期完成率</w:t>
            </w:r>
          </w:p>
        </w:tc>
        <w:tc>
          <w:tcPr>
            <w:tcW w:w="2835" w:type="dxa"/>
            <w:vAlign w:val="center"/>
          </w:tcPr>
          <w:p>
            <w:pPr>
              <w:pStyle w:val="14"/>
            </w:pPr>
            <w:r>
              <w:rPr>
                <w:rFonts w:hint="eastAsia"/>
                <w:lang w:val="en-US" w:eastAsia="zh-CN"/>
              </w:rPr>
              <w:t>按按期推进农村电商建设</w:t>
            </w:r>
          </w:p>
        </w:tc>
        <w:tc>
          <w:tcPr>
            <w:tcW w:w="2551" w:type="dxa"/>
            <w:vAlign w:val="center"/>
          </w:tcPr>
          <w:p>
            <w:pPr>
              <w:pStyle w:val="14"/>
            </w:pPr>
            <w:r>
              <w:t>≥90百分比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r>
              <w:rPr>
                <w:rFonts w:hint="eastAsia"/>
                <w:lang w:val="en-US" w:eastAsia="zh-CN"/>
              </w:rPr>
              <w:t>支出</w:t>
            </w:r>
          </w:p>
        </w:tc>
        <w:tc>
          <w:tcPr>
            <w:tcW w:w="2835" w:type="dxa"/>
            <w:vAlign w:val="center"/>
          </w:tcPr>
          <w:p>
            <w:pPr>
              <w:pStyle w:val="14"/>
            </w:pPr>
            <w:r>
              <w:rPr>
                <w:rFonts w:hint="eastAsia"/>
                <w:lang w:val="en-US" w:eastAsia="zh-CN"/>
              </w:rPr>
              <w:t>严格按照</w:t>
            </w:r>
            <w:r>
              <w:t>预算</w:t>
            </w:r>
            <w:r>
              <w:rPr>
                <w:rFonts w:hint="eastAsia"/>
                <w:lang w:val="en-US" w:eastAsia="zh-CN"/>
              </w:rPr>
              <w:t>执行</w:t>
            </w:r>
          </w:p>
        </w:tc>
        <w:tc>
          <w:tcPr>
            <w:tcW w:w="2551" w:type="dxa"/>
            <w:vAlign w:val="center"/>
          </w:tcPr>
          <w:p>
            <w:pPr>
              <w:pStyle w:val="14"/>
            </w:pPr>
            <w:r>
              <w:t>≤</w:t>
            </w:r>
            <w:r>
              <w:rPr>
                <w:rFonts w:hint="eastAsia"/>
                <w:lang w:val="en-US" w:eastAsia="zh-CN"/>
              </w:rPr>
              <w:t>100万元</w:t>
            </w:r>
          </w:p>
        </w:tc>
        <w:tc>
          <w:tcPr>
            <w:tcW w:w="2268" w:type="dxa"/>
            <w:vAlign w:val="center"/>
          </w:tcPr>
          <w:p>
            <w:pPr>
              <w:pStyle w:val="14"/>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农产品网络零售额同比增速</w:t>
            </w:r>
          </w:p>
        </w:tc>
        <w:tc>
          <w:tcPr>
            <w:tcW w:w="2835" w:type="dxa"/>
            <w:vAlign w:val="center"/>
          </w:tcPr>
          <w:p>
            <w:pPr>
              <w:pStyle w:val="14"/>
            </w:pPr>
            <w:r>
              <w:t>农产品网络零售额同比增速</w:t>
            </w:r>
          </w:p>
        </w:tc>
        <w:tc>
          <w:tcPr>
            <w:tcW w:w="2551" w:type="dxa"/>
            <w:vAlign w:val="center"/>
          </w:tcPr>
          <w:p>
            <w:pPr>
              <w:pStyle w:val="14"/>
            </w:pPr>
            <w:r>
              <w:t>≥10百分比</w:t>
            </w:r>
          </w:p>
        </w:tc>
        <w:tc>
          <w:tcPr>
            <w:tcW w:w="2268" w:type="dxa"/>
            <w:vAlign w:val="center"/>
          </w:tcPr>
          <w:p>
            <w:pPr>
              <w:pStyle w:val="14"/>
            </w:pPr>
            <w:r>
              <w:rPr>
                <w:rFonts w:hint="eastAsia"/>
                <w:lang w:val="en-US" w:eastAsia="zh-CN"/>
              </w:rPr>
              <w:t>历史均值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对接电商企业帮扶项目</w:t>
            </w:r>
            <w:r>
              <w:rPr>
                <w:rFonts w:hint="eastAsia"/>
                <w:lang w:val="en-US" w:eastAsia="zh-CN"/>
              </w:rPr>
              <w:t>个数</w:t>
            </w:r>
          </w:p>
        </w:tc>
        <w:tc>
          <w:tcPr>
            <w:tcW w:w="2835" w:type="dxa"/>
            <w:vAlign w:val="center"/>
          </w:tcPr>
          <w:p>
            <w:pPr>
              <w:pStyle w:val="14"/>
            </w:pPr>
            <w:r>
              <w:t>促进电商精准帮扶对电商企业帮扶项目</w:t>
            </w:r>
          </w:p>
        </w:tc>
        <w:tc>
          <w:tcPr>
            <w:tcW w:w="2551" w:type="dxa"/>
            <w:vAlign w:val="center"/>
          </w:tcPr>
          <w:p>
            <w:pPr>
              <w:pStyle w:val="14"/>
            </w:pPr>
            <w:r>
              <w:t>≥2个</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提升农产品品牌化</w:t>
            </w:r>
            <w:r>
              <w:rPr>
                <w:rFonts w:hint="eastAsia"/>
                <w:lang w:val="en-US" w:eastAsia="zh-CN"/>
              </w:rPr>
              <w:t>个数</w:t>
            </w:r>
          </w:p>
        </w:tc>
        <w:tc>
          <w:tcPr>
            <w:tcW w:w="2835" w:type="dxa"/>
            <w:vAlign w:val="center"/>
          </w:tcPr>
          <w:p>
            <w:pPr>
              <w:pStyle w:val="14"/>
            </w:pPr>
            <w:r>
              <w:t>提升农产品品牌化程度</w:t>
            </w:r>
          </w:p>
        </w:tc>
        <w:tc>
          <w:tcPr>
            <w:tcW w:w="2551" w:type="dxa"/>
            <w:vAlign w:val="center"/>
          </w:tcPr>
          <w:p>
            <w:pPr>
              <w:pStyle w:val="14"/>
            </w:pPr>
            <w:r>
              <w:t>1个</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9、退役士兵公益岗位专项绩效目标表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val="uk-UA" w:eastAsia="zh-CN"/>
              </w:rPr>
            </w:pPr>
            <w:r>
              <w:t>1.用于退役士兵工资及保险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发放退役士兵工资人数</w:t>
            </w:r>
          </w:p>
        </w:tc>
        <w:tc>
          <w:tcPr>
            <w:tcW w:w="2835" w:type="dxa"/>
            <w:vAlign w:val="center"/>
          </w:tcPr>
          <w:p>
            <w:pPr>
              <w:pStyle w:val="14"/>
            </w:pPr>
            <w:r>
              <w:t>发放退役士兵工资人数</w:t>
            </w:r>
          </w:p>
        </w:tc>
        <w:tc>
          <w:tcPr>
            <w:tcW w:w="2551" w:type="dxa"/>
            <w:vAlign w:val="center"/>
          </w:tcPr>
          <w:p>
            <w:pPr>
              <w:pStyle w:val="14"/>
            </w:pPr>
            <w:r>
              <w:t>1人</w:t>
            </w:r>
          </w:p>
        </w:tc>
        <w:tc>
          <w:tcPr>
            <w:tcW w:w="2268" w:type="dxa"/>
            <w:vAlign w:val="center"/>
          </w:tcPr>
          <w:p>
            <w:pPr>
              <w:pStyle w:val="14"/>
            </w:pPr>
            <w:r>
              <w:t>退役士兵实际人数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发放完成率</w:t>
            </w:r>
          </w:p>
        </w:tc>
        <w:tc>
          <w:tcPr>
            <w:tcW w:w="2835" w:type="dxa"/>
            <w:vAlign w:val="center"/>
          </w:tcPr>
          <w:p>
            <w:pPr>
              <w:pStyle w:val="14"/>
            </w:pPr>
            <w:r>
              <w:t>按季度发放</w:t>
            </w:r>
          </w:p>
        </w:tc>
        <w:tc>
          <w:tcPr>
            <w:tcW w:w="2551" w:type="dxa"/>
            <w:vAlign w:val="center"/>
          </w:tcPr>
          <w:p>
            <w:pPr>
              <w:pStyle w:val="14"/>
            </w:pPr>
            <w:r>
              <w:rPr>
                <w:rFonts w:hint="eastAsia"/>
                <w:lang w:val="en-US" w:eastAsia="zh-CN"/>
              </w:rPr>
              <w:t>100</w:t>
            </w:r>
            <w:r>
              <w:t>百分比</w:t>
            </w:r>
          </w:p>
        </w:tc>
        <w:tc>
          <w:tcPr>
            <w:tcW w:w="2268" w:type="dxa"/>
            <w:vAlign w:val="center"/>
          </w:tcPr>
          <w:p>
            <w:pPr>
              <w:pStyle w:val="14"/>
            </w:pPr>
            <w:r>
              <w:rPr>
                <w:rFonts w:hint="eastAsia"/>
                <w:lang w:val="en-US" w:eastAsia="zh-CN"/>
              </w:rP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rFonts w:hint="eastAsia" w:eastAsia="方正书宋_GBK"/>
                <w:lang w:eastAsia="zh-CN"/>
              </w:rPr>
            </w:pPr>
            <w:r>
              <w:t>按时发放</w:t>
            </w:r>
            <w:r>
              <w:rPr>
                <w:rFonts w:hint="eastAsia"/>
                <w:lang w:val="en-US" w:eastAsia="zh-CN"/>
              </w:rPr>
              <w:t>率</w:t>
            </w:r>
          </w:p>
        </w:tc>
        <w:tc>
          <w:tcPr>
            <w:tcW w:w="2835" w:type="dxa"/>
            <w:vAlign w:val="center"/>
          </w:tcPr>
          <w:p>
            <w:pPr>
              <w:pStyle w:val="14"/>
            </w:pPr>
            <w:r>
              <w:t>按时发放工资</w:t>
            </w:r>
          </w:p>
        </w:tc>
        <w:tc>
          <w:tcPr>
            <w:tcW w:w="2551" w:type="dxa"/>
            <w:vAlign w:val="center"/>
          </w:tcPr>
          <w:p>
            <w:pPr>
              <w:pStyle w:val="14"/>
            </w:pPr>
            <w:r>
              <w:rPr>
                <w:rFonts w:hint="eastAsia"/>
                <w:lang w:val="en-US" w:eastAsia="zh-CN"/>
              </w:rPr>
              <w:t>100</w:t>
            </w:r>
            <w:r>
              <w:t>百分比</w:t>
            </w:r>
          </w:p>
        </w:tc>
        <w:tc>
          <w:tcPr>
            <w:tcW w:w="2268" w:type="dxa"/>
            <w:vAlign w:val="center"/>
          </w:tcPr>
          <w:p>
            <w:pPr>
              <w:pStyle w:val="14"/>
            </w:pPr>
            <w:r>
              <w:rPr>
                <w:rFonts w:hint="eastAsia"/>
                <w:lang w:val="en-US" w:eastAsia="zh-CN"/>
              </w:rP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rPr>
                <w:rFonts w:hint="default" w:eastAsia="方正书宋_GBK"/>
                <w:lang w:val="en-US" w:eastAsia="zh-CN"/>
              </w:rPr>
            </w:pPr>
            <w:r>
              <w:rPr>
                <w:rFonts w:hint="eastAsia"/>
                <w:lang w:val="en-US" w:eastAsia="zh-CN"/>
              </w:rPr>
              <w:t>预算成本</w:t>
            </w:r>
          </w:p>
        </w:tc>
        <w:tc>
          <w:tcPr>
            <w:tcW w:w="2835" w:type="dxa"/>
            <w:vAlign w:val="center"/>
          </w:tcPr>
          <w:p>
            <w:pPr>
              <w:pStyle w:val="14"/>
            </w:pPr>
            <w:r>
              <w:t>按应发数额发放</w:t>
            </w:r>
          </w:p>
        </w:tc>
        <w:tc>
          <w:tcPr>
            <w:tcW w:w="2551" w:type="dxa"/>
            <w:vAlign w:val="center"/>
          </w:tcPr>
          <w:p>
            <w:pPr>
              <w:pStyle w:val="14"/>
            </w:pPr>
            <w:r>
              <w:t>≤</w:t>
            </w:r>
            <w:r>
              <w:rPr>
                <w:rFonts w:hint="eastAsia"/>
                <w:lang w:val="en-US" w:eastAsia="zh-CN"/>
              </w:rPr>
              <w:t>3.5万元</w:t>
            </w:r>
          </w:p>
        </w:tc>
        <w:tc>
          <w:tcPr>
            <w:tcW w:w="2268" w:type="dxa"/>
            <w:vAlign w:val="center"/>
          </w:tcPr>
          <w:p>
            <w:pPr>
              <w:pStyle w:val="14"/>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eastAsia" w:eastAsia="方正书宋_GBK"/>
                <w:lang w:val="en-US" w:eastAsia="zh-CN"/>
              </w:rPr>
            </w:pPr>
            <w:r>
              <w:rPr>
                <w:rFonts w:hint="eastAsia"/>
                <w:lang w:eastAsia="zh-CN"/>
              </w:rPr>
              <w:t>补贴政策知晓率</w:t>
            </w:r>
          </w:p>
        </w:tc>
        <w:tc>
          <w:tcPr>
            <w:tcW w:w="2835" w:type="dxa"/>
            <w:vAlign w:val="center"/>
          </w:tcPr>
          <w:p>
            <w:pPr>
              <w:pStyle w:val="14"/>
            </w:pPr>
            <w:r>
              <w:rPr>
                <w:rFonts w:hint="eastAsia"/>
                <w:lang w:eastAsia="zh-CN"/>
              </w:rPr>
              <w:t>知晓补贴政策的退役军人占总退役军人的比例</w:t>
            </w:r>
          </w:p>
        </w:tc>
        <w:tc>
          <w:tcPr>
            <w:tcW w:w="2551" w:type="dxa"/>
            <w:vAlign w:val="center"/>
          </w:tcPr>
          <w:p>
            <w:pPr>
              <w:pStyle w:val="14"/>
              <w:rPr>
                <w:rFonts w:hint="eastAsia" w:eastAsia="方正书宋_GBK"/>
                <w:lang w:val="en-US" w:eastAsia="zh-CN"/>
              </w:rPr>
            </w:pPr>
            <w:r>
              <w:t>≥95</w:t>
            </w:r>
            <w:r>
              <w:rPr>
                <w:rFonts w:hint="eastAsia"/>
                <w:lang w:val="en-US" w:eastAsia="zh-CN"/>
              </w:rPr>
              <w:t>百分比</w:t>
            </w:r>
          </w:p>
        </w:tc>
        <w:tc>
          <w:tcPr>
            <w:tcW w:w="2268" w:type="dxa"/>
            <w:vAlign w:val="center"/>
          </w:tcPr>
          <w:p>
            <w:pPr>
              <w:pStyle w:val="14"/>
              <w:rPr>
                <w:rFonts w:hint="default"/>
                <w:lang w:val="en-US"/>
              </w:rPr>
            </w:pPr>
            <w:r>
              <w:rPr>
                <w:rFonts w:hint="eastAsia"/>
                <w:lang w:val="en-US" w:eastAsia="zh-CN"/>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10、外事专项绩效目标表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1.持续加强外事系统政治建设，抓好组织体系建设，加强外事队伍建设，构建统筹有力、协调有效、管理有序、纪律严明的外事工作新机制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管理外籍人员</w:t>
            </w:r>
            <w:r>
              <w:rPr>
                <w:rFonts w:hint="eastAsia"/>
                <w:lang w:val="en-US" w:eastAsia="zh-CN"/>
              </w:rPr>
              <w:t>个数</w:t>
            </w:r>
          </w:p>
        </w:tc>
        <w:tc>
          <w:tcPr>
            <w:tcW w:w="2835" w:type="dxa"/>
            <w:vAlign w:val="center"/>
          </w:tcPr>
          <w:p>
            <w:pPr>
              <w:pStyle w:val="14"/>
            </w:pPr>
            <w:r>
              <w:t>管理外籍人员</w:t>
            </w:r>
            <w:r>
              <w:rPr>
                <w:rFonts w:hint="eastAsia"/>
                <w:lang w:val="en-US" w:eastAsia="zh-CN"/>
              </w:rPr>
              <w:t>个数</w:t>
            </w:r>
          </w:p>
        </w:tc>
        <w:tc>
          <w:tcPr>
            <w:tcW w:w="2551" w:type="dxa"/>
            <w:vAlign w:val="center"/>
          </w:tcPr>
          <w:p>
            <w:pPr>
              <w:pStyle w:val="14"/>
            </w:pPr>
            <w:r>
              <w:t>≥31人</w:t>
            </w:r>
          </w:p>
        </w:tc>
        <w:tc>
          <w:tcPr>
            <w:tcW w:w="2268" w:type="dxa"/>
            <w:vAlign w:val="center"/>
          </w:tcPr>
          <w:p>
            <w:pPr>
              <w:pStyle w:val="14"/>
            </w:pPr>
            <w:r>
              <w:t>在隆外籍人员数量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方正书宋_GBK"/>
                <w:lang w:val="en-US" w:eastAsia="zh-CN"/>
              </w:rPr>
            </w:pPr>
            <w:r>
              <w:t>服务质量</w:t>
            </w:r>
            <w:r>
              <w:rPr>
                <w:rFonts w:hint="eastAsia"/>
                <w:lang w:val="en-US" w:eastAsia="zh-CN"/>
              </w:rPr>
              <w:t>提升率</w:t>
            </w:r>
          </w:p>
        </w:tc>
        <w:tc>
          <w:tcPr>
            <w:tcW w:w="2835" w:type="dxa"/>
            <w:vAlign w:val="center"/>
          </w:tcPr>
          <w:p>
            <w:pPr>
              <w:pStyle w:val="14"/>
            </w:pPr>
            <w:r>
              <w:t>提升外籍人员服务质量</w:t>
            </w:r>
          </w:p>
        </w:tc>
        <w:tc>
          <w:tcPr>
            <w:tcW w:w="2551" w:type="dxa"/>
            <w:vAlign w:val="center"/>
          </w:tcPr>
          <w:p>
            <w:pPr>
              <w:pStyle w:val="14"/>
            </w:pPr>
            <w:r>
              <w:t>≥</w:t>
            </w:r>
            <w:r>
              <w:rPr>
                <w:rFonts w:hint="eastAsia"/>
                <w:lang w:val="en-US" w:eastAsia="zh-CN"/>
              </w:rPr>
              <w:t>10百分比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rFonts w:hint="default"/>
                <w:lang w:val="en-US"/>
              </w:rPr>
            </w:pPr>
            <w:r>
              <w:rPr>
                <w:rFonts w:hint="eastAsia"/>
                <w:lang w:val="en-US" w:eastAsia="zh-CN"/>
              </w:rPr>
              <w:t>工作完成率</w:t>
            </w:r>
          </w:p>
        </w:tc>
        <w:tc>
          <w:tcPr>
            <w:tcW w:w="2835" w:type="dxa"/>
            <w:vAlign w:val="center"/>
          </w:tcPr>
          <w:p>
            <w:pPr>
              <w:pStyle w:val="14"/>
            </w:pPr>
            <w:r>
              <w:t>按时完成摸排在隆人员外籍人员任务</w:t>
            </w:r>
          </w:p>
        </w:tc>
        <w:tc>
          <w:tcPr>
            <w:tcW w:w="2551" w:type="dxa"/>
            <w:vAlign w:val="center"/>
          </w:tcPr>
          <w:p>
            <w:pPr>
              <w:pStyle w:val="14"/>
            </w:pPr>
            <w:r>
              <w:t>≥95</w:t>
            </w:r>
            <w:r>
              <w:rPr>
                <w:rFonts w:hint="eastAsia"/>
                <w:lang w:val="en-US" w:eastAsia="zh-CN"/>
              </w:rPr>
              <w:t>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rPr>
                <w:rFonts w:hint="eastAsia" w:eastAsia="方正书宋_GBK"/>
                <w:lang w:val="en-US" w:eastAsia="zh-CN"/>
              </w:rPr>
            </w:pPr>
            <w:r>
              <w:t>预算</w:t>
            </w:r>
            <w:r>
              <w:rPr>
                <w:rFonts w:hint="eastAsia"/>
                <w:lang w:val="en-US" w:eastAsia="zh-CN"/>
              </w:rPr>
              <w:t>成本</w:t>
            </w:r>
          </w:p>
        </w:tc>
        <w:tc>
          <w:tcPr>
            <w:tcW w:w="2835" w:type="dxa"/>
            <w:vAlign w:val="center"/>
          </w:tcPr>
          <w:p>
            <w:pPr>
              <w:pStyle w:val="14"/>
            </w:pPr>
            <w:r>
              <w:t>按照预算严格支出</w:t>
            </w:r>
          </w:p>
        </w:tc>
        <w:tc>
          <w:tcPr>
            <w:tcW w:w="2551" w:type="dxa"/>
            <w:vAlign w:val="center"/>
          </w:tcPr>
          <w:p>
            <w:pPr>
              <w:pStyle w:val="14"/>
            </w:pPr>
            <w:r>
              <w:t>≤2万元</w:t>
            </w:r>
          </w:p>
        </w:tc>
        <w:tc>
          <w:tcPr>
            <w:tcW w:w="2268" w:type="dxa"/>
            <w:vAlign w:val="center"/>
          </w:tcPr>
          <w:p>
            <w:pPr>
              <w:pStyle w:val="14"/>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default" w:eastAsia="方正书宋_GBK"/>
                <w:lang w:val="en-US" w:eastAsia="zh-CN"/>
              </w:rPr>
            </w:pPr>
            <w:r>
              <w:t>涉外管理</w:t>
            </w:r>
            <w:r>
              <w:rPr>
                <w:rFonts w:hint="eastAsia"/>
                <w:lang w:val="en-US" w:eastAsia="zh-CN"/>
              </w:rPr>
              <w:t>水平提升率</w:t>
            </w:r>
          </w:p>
        </w:tc>
        <w:tc>
          <w:tcPr>
            <w:tcW w:w="2835" w:type="dxa"/>
            <w:vAlign w:val="center"/>
          </w:tcPr>
          <w:p>
            <w:pPr>
              <w:pStyle w:val="14"/>
            </w:pPr>
            <w:r>
              <w:t>协查“三非”人员签证事宜</w:t>
            </w:r>
          </w:p>
        </w:tc>
        <w:tc>
          <w:tcPr>
            <w:tcW w:w="2551" w:type="dxa"/>
            <w:vAlign w:val="center"/>
          </w:tcPr>
          <w:p>
            <w:pPr>
              <w:pStyle w:val="14"/>
            </w:pPr>
            <w:r>
              <w:t>≥</w:t>
            </w:r>
            <w:r>
              <w:rPr>
                <w:rFonts w:hint="eastAsia"/>
                <w:lang w:val="en-US" w:eastAsia="zh-CN"/>
              </w:rPr>
              <w:t>10百分比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rPr>
                <w:rFonts w:hint="eastAsia" w:eastAsia="方正书宋_GBK"/>
                <w:lang w:val="en-US" w:eastAsia="zh-CN"/>
              </w:rPr>
            </w:pPr>
            <w:r>
              <w:t>政策宣传</w:t>
            </w:r>
            <w:r>
              <w:rPr>
                <w:rFonts w:hint="eastAsia"/>
                <w:lang w:val="en-US" w:eastAsia="zh-CN"/>
              </w:rPr>
              <w:t>率</w:t>
            </w:r>
          </w:p>
        </w:tc>
        <w:tc>
          <w:tcPr>
            <w:tcW w:w="2835" w:type="dxa"/>
            <w:vAlign w:val="center"/>
          </w:tcPr>
          <w:p>
            <w:pPr>
              <w:pStyle w:val="14"/>
            </w:pPr>
            <w:r>
              <w:rPr>
                <w:rFonts w:hint="eastAsia"/>
                <w:lang w:val="en-US" w:eastAsia="zh-CN"/>
              </w:rPr>
              <w:t>及时</w:t>
            </w:r>
            <w:r>
              <w:t>宣传</w:t>
            </w:r>
            <w:r>
              <w:rPr>
                <w:rFonts w:hint="eastAsia"/>
                <w:lang w:val="en-US" w:eastAsia="zh-CN"/>
              </w:rPr>
              <w:t>有关外籍人员相关</w:t>
            </w:r>
            <w:r>
              <w:t>国家相关政策</w:t>
            </w:r>
          </w:p>
        </w:tc>
        <w:tc>
          <w:tcPr>
            <w:tcW w:w="2551" w:type="dxa"/>
            <w:vAlign w:val="center"/>
          </w:tcPr>
          <w:p>
            <w:pPr>
              <w:pStyle w:val="14"/>
            </w:pPr>
            <w:r>
              <w:t>≥9</w:t>
            </w:r>
            <w:r>
              <w:rPr>
                <w:rFonts w:hint="eastAsia"/>
                <w:lang w:val="en-US" w:eastAsia="zh-CN"/>
              </w:rPr>
              <w:t>0百分比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rPr>
                <w:rFonts w:hint="eastAsia" w:eastAsia="方正书宋_GBK"/>
                <w:lang w:eastAsia="zh-CN"/>
              </w:rPr>
            </w:pPr>
            <w:r>
              <w:t>≥95</w:t>
            </w:r>
            <w:r>
              <w:rPr>
                <w:rFonts w:hint="eastAsia"/>
                <w:lang w:val="en-US" w:eastAsia="zh-CN"/>
              </w:rPr>
              <w:t>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11、外资外贸专项绩效目标表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1.对有出口实绩、发展潜力大的企业进行重点扶持，努力培育一批主业突出、核心竞争力强的出口龙头企业，拉动全县外贸增长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重点支持企业个数</w:t>
            </w:r>
          </w:p>
        </w:tc>
        <w:tc>
          <w:tcPr>
            <w:tcW w:w="2835" w:type="dxa"/>
            <w:vAlign w:val="center"/>
          </w:tcPr>
          <w:p>
            <w:pPr>
              <w:pStyle w:val="14"/>
            </w:pPr>
            <w:r>
              <w:t>全年</w:t>
            </w:r>
            <w:r>
              <w:rPr>
                <w:rFonts w:hint="eastAsia"/>
                <w:lang w:val="en-US" w:eastAsia="zh-CN"/>
              </w:rPr>
              <w:t>重点</w:t>
            </w:r>
            <w:r>
              <w:t>支持企业个数</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外贸奖励金发放率</w:t>
            </w:r>
          </w:p>
        </w:tc>
        <w:tc>
          <w:tcPr>
            <w:tcW w:w="2835" w:type="dxa"/>
            <w:vAlign w:val="center"/>
          </w:tcPr>
          <w:p>
            <w:pPr>
              <w:pStyle w:val="14"/>
            </w:pPr>
            <w:r>
              <w:rPr>
                <w:rFonts w:hint="eastAsia"/>
                <w:lang w:val="en-US" w:eastAsia="zh-CN"/>
              </w:rPr>
              <w:t>对外贸出口有贡献企业</w:t>
            </w:r>
            <w:r>
              <w:t>奖励金发放率</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rFonts w:hint="eastAsia" w:eastAsia="方正书宋_GBK"/>
                <w:lang w:val="en-US" w:eastAsia="zh-CN"/>
              </w:rPr>
            </w:pPr>
            <w:r>
              <w:t>按时发放</w:t>
            </w:r>
            <w:r>
              <w:rPr>
                <w:rFonts w:hint="eastAsia"/>
                <w:lang w:val="en-US" w:eastAsia="zh-CN"/>
              </w:rPr>
              <w:t>率</w:t>
            </w:r>
          </w:p>
        </w:tc>
        <w:tc>
          <w:tcPr>
            <w:tcW w:w="2835" w:type="dxa"/>
            <w:vAlign w:val="center"/>
          </w:tcPr>
          <w:p>
            <w:pPr>
              <w:pStyle w:val="14"/>
            </w:pPr>
            <w:r>
              <w:t>全年按时发放奖励金</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rPr>
                <w:rFonts w:hint="eastAsia" w:eastAsia="方正书宋_GBK"/>
                <w:lang w:val="en-US" w:eastAsia="zh-CN"/>
              </w:rPr>
            </w:pPr>
            <w:r>
              <w:t>预算</w:t>
            </w:r>
            <w:r>
              <w:rPr>
                <w:rFonts w:hint="eastAsia"/>
                <w:lang w:val="en-US" w:eastAsia="zh-CN"/>
              </w:rPr>
              <w:t>成本</w:t>
            </w:r>
          </w:p>
        </w:tc>
        <w:tc>
          <w:tcPr>
            <w:tcW w:w="2835" w:type="dxa"/>
            <w:vAlign w:val="center"/>
          </w:tcPr>
          <w:p>
            <w:pPr>
              <w:pStyle w:val="14"/>
            </w:pPr>
            <w:r>
              <w:t>按照预算严格支出</w:t>
            </w:r>
          </w:p>
        </w:tc>
        <w:tc>
          <w:tcPr>
            <w:tcW w:w="2551" w:type="dxa"/>
            <w:vAlign w:val="center"/>
          </w:tcPr>
          <w:p>
            <w:pPr>
              <w:pStyle w:val="14"/>
            </w:pPr>
            <w:r>
              <w:t>≤</w:t>
            </w:r>
            <w:r>
              <w:rPr>
                <w:rFonts w:hint="eastAsia"/>
                <w:lang w:val="en-US" w:eastAsia="zh-CN"/>
              </w:rPr>
              <w:t>5</w:t>
            </w:r>
            <w:r>
              <w:t>万元</w:t>
            </w:r>
          </w:p>
        </w:tc>
        <w:tc>
          <w:tcPr>
            <w:tcW w:w="2268" w:type="dxa"/>
            <w:vAlign w:val="center"/>
          </w:tcPr>
          <w:p>
            <w:pPr>
              <w:pStyle w:val="14"/>
            </w:pPr>
            <w:r>
              <w:rPr>
                <w:rFonts w:hint="eastAsia"/>
                <w:lang w:val="en-US" w:eastAsia="zh-CN"/>
              </w:rPr>
              <w:t>年初</w:t>
            </w: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外贸进出口额增长率</w:t>
            </w:r>
          </w:p>
        </w:tc>
        <w:tc>
          <w:tcPr>
            <w:tcW w:w="2835" w:type="dxa"/>
            <w:vAlign w:val="center"/>
          </w:tcPr>
          <w:p>
            <w:pPr>
              <w:pStyle w:val="14"/>
            </w:pPr>
            <w:r>
              <w:t>全年外贸进出口增长率</w:t>
            </w:r>
          </w:p>
        </w:tc>
        <w:tc>
          <w:tcPr>
            <w:tcW w:w="2551" w:type="dxa"/>
            <w:vAlign w:val="center"/>
          </w:tcPr>
          <w:p>
            <w:pPr>
              <w:pStyle w:val="14"/>
            </w:pPr>
            <w:r>
              <w:t>≥10百分比</w:t>
            </w:r>
          </w:p>
        </w:tc>
        <w:tc>
          <w:tcPr>
            <w:tcW w:w="2268" w:type="dxa"/>
            <w:vAlign w:val="center"/>
          </w:tcPr>
          <w:p>
            <w:pPr>
              <w:pStyle w:val="14"/>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拉动外贸企业开拓国际市场</w:t>
            </w:r>
            <w:r>
              <w:rPr>
                <w:rFonts w:hint="eastAsia"/>
                <w:lang w:val="en-US" w:eastAsia="zh-CN"/>
              </w:rPr>
              <w:t>个数</w:t>
            </w:r>
          </w:p>
        </w:tc>
        <w:tc>
          <w:tcPr>
            <w:tcW w:w="2835" w:type="dxa"/>
            <w:vAlign w:val="center"/>
          </w:tcPr>
          <w:p>
            <w:pPr>
              <w:pStyle w:val="14"/>
            </w:pPr>
            <w:r>
              <w:t>拉动外贸企业开拓国际市场</w:t>
            </w:r>
          </w:p>
        </w:tc>
        <w:tc>
          <w:tcPr>
            <w:tcW w:w="2551" w:type="dxa"/>
            <w:vAlign w:val="center"/>
          </w:tcPr>
          <w:p>
            <w:pPr>
              <w:pStyle w:val="14"/>
              <w:rPr>
                <w:rFonts w:hint="eastAsia" w:eastAsia="方正书宋_GBK"/>
                <w:lang w:val="en-US" w:eastAsia="zh-CN"/>
              </w:rPr>
            </w:pPr>
            <w:r>
              <w:t>≥5</w:t>
            </w:r>
            <w:r>
              <w:rPr>
                <w:rFonts w:hint="eastAsia"/>
                <w:lang w:val="en-US" w:eastAsia="zh-CN"/>
              </w:rPr>
              <w:t>个</w:t>
            </w:r>
          </w:p>
        </w:tc>
        <w:tc>
          <w:tcPr>
            <w:tcW w:w="2268" w:type="dxa"/>
            <w:vAlign w:val="center"/>
          </w:tcPr>
          <w:p>
            <w:pPr>
              <w:pStyle w:val="14"/>
            </w:pPr>
            <w:r>
              <w:t>预计测算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12、邢财建【2022】57号/市级/中央服务业发展资金（农产品供应链体系建设）绩效目标表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1.完善农产品供应链，加快形成比较完整的农产品产业链条</w:t>
            </w:r>
          </w:p>
          <w:p>
            <w:pPr>
              <w:pStyle w:val="14"/>
              <w:rPr>
                <w:rFonts w:hint="eastAsia" w:eastAsiaTheme="minorEastAsia"/>
                <w:lang w:eastAsia="zh-CN"/>
              </w:rPr>
            </w:pPr>
            <w:r>
              <w:t>2.实现农产品产销精准对接</w:t>
            </w:r>
          </w:p>
          <w:p>
            <w:pPr>
              <w:pStyle w:val="14"/>
              <w:rPr>
                <w:rFonts w:hint="eastAsia" w:eastAsiaTheme="minorEastAsia"/>
                <w:lang w:eastAsia="zh-CN"/>
              </w:rPr>
            </w:pPr>
            <w:r>
              <w:t>3.切实提高农产品流通效率，推动农产品全环节升级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补贴企业数量</w:t>
            </w:r>
          </w:p>
        </w:tc>
        <w:tc>
          <w:tcPr>
            <w:tcW w:w="2835" w:type="dxa"/>
            <w:vAlign w:val="center"/>
          </w:tcPr>
          <w:p>
            <w:pPr>
              <w:pStyle w:val="14"/>
            </w:pPr>
            <w:r>
              <w:t>补贴企业数量</w:t>
            </w:r>
          </w:p>
        </w:tc>
        <w:tc>
          <w:tcPr>
            <w:tcW w:w="2551" w:type="dxa"/>
            <w:vAlign w:val="center"/>
          </w:tcPr>
          <w:p>
            <w:pPr>
              <w:pStyle w:val="14"/>
            </w:pPr>
            <w:r>
              <w:t>3个</w:t>
            </w:r>
          </w:p>
        </w:tc>
        <w:tc>
          <w:tcPr>
            <w:tcW w:w="2268" w:type="dxa"/>
            <w:vAlign w:val="center"/>
          </w:tcPr>
          <w:p>
            <w:pPr>
              <w:pStyle w:val="14"/>
            </w:pPr>
            <w:r>
              <w:rPr>
                <w:rFonts w:hint="eastAsia"/>
                <w:lang w:val="en-US"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方正书宋_GBK"/>
                <w:lang w:val="en-US" w:eastAsia="zh-CN"/>
              </w:rPr>
            </w:pPr>
            <w:r>
              <w:t>农产品供应链完善</w:t>
            </w:r>
            <w:r>
              <w:rPr>
                <w:rFonts w:hint="eastAsia"/>
                <w:lang w:val="en-US" w:eastAsia="zh-CN"/>
              </w:rPr>
              <w:t>率</w:t>
            </w:r>
          </w:p>
        </w:tc>
        <w:tc>
          <w:tcPr>
            <w:tcW w:w="2835" w:type="dxa"/>
            <w:vAlign w:val="center"/>
          </w:tcPr>
          <w:p>
            <w:pPr>
              <w:pStyle w:val="14"/>
            </w:pPr>
            <w:r>
              <w:t>完善农产品供应链</w:t>
            </w:r>
          </w:p>
        </w:tc>
        <w:tc>
          <w:tcPr>
            <w:tcW w:w="2551" w:type="dxa"/>
            <w:vAlign w:val="center"/>
          </w:tcPr>
          <w:p>
            <w:pPr>
              <w:pStyle w:val="14"/>
            </w:pPr>
            <w:r>
              <w:t>≥</w:t>
            </w:r>
            <w:r>
              <w:rPr>
                <w:rFonts w:hint="eastAsia"/>
                <w:lang w:val="en-US" w:eastAsia="zh-CN"/>
              </w:rPr>
              <w:t>10</w:t>
            </w:r>
            <w:r>
              <w:t>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按时完成工作</w:t>
            </w:r>
          </w:p>
        </w:tc>
        <w:tc>
          <w:tcPr>
            <w:tcW w:w="2835" w:type="dxa"/>
            <w:vAlign w:val="center"/>
          </w:tcPr>
          <w:p>
            <w:pPr>
              <w:pStyle w:val="14"/>
            </w:pPr>
            <w:r>
              <w:t>按时完成工作</w:t>
            </w:r>
          </w:p>
        </w:tc>
        <w:tc>
          <w:tcPr>
            <w:tcW w:w="2551" w:type="dxa"/>
            <w:vAlign w:val="center"/>
          </w:tcPr>
          <w:p>
            <w:pPr>
              <w:pStyle w:val="14"/>
            </w:pPr>
            <w:r>
              <w:t>≥95百分比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2835" w:type="dxa"/>
            <w:vAlign w:val="center"/>
          </w:tcPr>
          <w:p>
            <w:pPr>
              <w:pStyle w:val="14"/>
            </w:pPr>
            <w:r>
              <w:t>按预算金额执行</w:t>
            </w:r>
          </w:p>
        </w:tc>
        <w:tc>
          <w:tcPr>
            <w:tcW w:w="2551" w:type="dxa"/>
            <w:vAlign w:val="center"/>
          </w:tcPr>
          <w:p>
            <w:pPr>
              <w:pStyle w:val="14"/>
            </w:pPr>
            <w:r>
              <w:t>≥95百分比</w:t>
            </w:r>
          </w:p>
        </w:tc>
        <w:tc>
          <w:tcPr>
            <w:tcW w:w="2268" w:type="dxa"/>
            <w:vAlign w:val="center"/>
          </w:tcPr>
          <w:p>
            <w:pPr>
              <w:pStyle w:val="14"/>
            </w:pPr>
            <w:r>
              <w:rPr>
                <w:rFonts w:hint="eastAsia"/>
                <w:lang w:val="en-US" w:eastAsia="zh-CN"/>
              </w:rPr>
              <w:t>预计预算执行情况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农产品冷链仓储</w:t>
            </w:r>
            <w:r>
              <w:rPr>
                <w:rFonts w:hint="eastAsia"/>
                <w:lang w:val="en-US" w:eastAsia="zh-CN"/>
              </w:rPr>
              <w:t>提升率</w:t>
            </w:r>
          </w:p>
        </w:tc>
        <w:tc>
          <w:tcPr>
            <w:tcW w:w="2835" w:type="dxa"/>
            <w:vAlign w:val="center"/>
          </w:tcPr>
          <w:p>
            <w:pPr>
              <w:pStyle w:val="14"/>
            </w:pPr>
            <w:r>
              <w:t>提高农产品冷链仓储能力</w:t>
            </w:r>
          </w:p>
        </w:tc>
        <w:tc>
          <w:tcPr>
            <w:tcW w:w="2551" w:type="dxa"/>
            <w:vAlign w:val="center"/>
          </w:tcPr>
          <w:p>
            <w:pPr>
              <w:pStyle w:val="14"/>
            </w:pPr>
            <w:r>
              <w:t>≥10百分比</w:t>
            </w:r>
          </w:p>
        </w:tc>
        <w:tc>
          <w:tcPr>
            <w:tcW w:w="2268" w:type="dxa"/>
            <w:vAlign w:val="center"/>
          </w:tcPr>
          <w:p>
            <w:pPr>
              <w:pStyle w:val="14"/>
            </w:pPr>
            <w:r>
              <w:t>平均提高水平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项目带动农民收入水平</w:t>
            </w:r>
          </w:p>
        </w:tc>
        <w:tc>
          <w:tcPr>
            <w:tcW w:w="2835" w:type="dxa"/>
            <w:vAlign w:val="center"/>
          </w:tcPr>
          <w:p>
            <w:pPr>
              <w:pStyle w:val="14"/>
            </w:pPr>
            <w:r>
              <w:t>项目带动农民收入水平</w:t>
            </w:r>
          </w:p>
        </w:tc>
        <w:tc>
          <w:tcPr>
            <w:tcW w:w="2551" w:type="dxa"/>
            <w:vAlign w:val="center"/>
          </w:tcPr>
          <w:p>
            <w:pPr>
              <w:pStyle w:val="14"/>
            </w:pPr>
            <w:r>
              <w:t>明显带动</w:t>
            </w:r>
          </w:p>
        </w:tc>
        <w:tc>
          <w:tcPr>
            <w:tcW w:w="2268" w:type="dxa"/>
            <w:vAlign w:val="center"/>
          </w:tcPr>
          <w:p>
            <w:pPr>
              <w:pStyle w:val="14"/>
            </w:pPr>
            <w:r>
              <w:rPr>
                <w:rFonts w:hint="eastAsia"/>
                <w:lang w:val="en-US" w:eastAsia="zh-CN"/>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13、再生资源专项绩效目标表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1.对再生资源回收站点进行集中摸排，对县城废品收购站提升改造</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巡查废品收购站</w:t>
            </w:r>
            <w:r>
              <w:rPr>
                <w:rFonts w:hint="eastAsia"/>
                <w:lang w:val="en-US" w:eastAsia="zh-CN"/>
              </w:rPr>
              <w:t>个数</w:t>
            </w:r>
          </w:p>
        </w:tc>
        <w:tc>
          <w:tcPr>
            <w:tcW w:w="2835" w:type="dxa"/>
            <w:vAlign w:val="center"/>
          </w:tcPr>
          <w:p>
            <w:pPr>
              <w:pStyle w:val="14"/>
            </w:pPr>
            <w:r>
              <w:t>巡查废品收购站的个数</w:t>
            </w:r>
          </w:p>
        </w:tc>
        <w:tc>
          <w:tcPr>
            <w:tcW w:w="2551" w:type="dxa"/>
            <w:vAlign w:val="center"/>
          </w:tcPr>
          <w:p>
            <w:pPr>
              <w:pStyle w:val="14"/>
            </w:pPr>
            <w:r>
              <w:t>≥30个</w:t>
            </w:r>
          </w:p>
        </w:tc>
        <w:tc>
          <w:tcPr>
            <w:tcW w:w="2268" w:type="dxa"/>
            <w:vAlign w:val="center"/>
          </w:tcPr>
          <w:p>
            <w:pPr>
              <w:pStyle w:val="14"/>
            </w:pPr>
            <w:r>
              <w:rPr>
                <w:rFonts w:hint="eastAsia"/>
                <w:lang w:val="en-US" w:eastAsia="zh-CN"/>
              </w:rPr>
              <w:t>县域废品站个数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提升改造率</w:t>
            </w:r>
          </w:p>
        </w:tc>
        <w:tc>
          <w:tcPr>
            <w:tcW w:w="2835" w:type="dxa"/>
            <w:vAlign w:val="center"/>
          </w:tcPr>
          <w:p>
            <w:pPr>
              <w:pStyle w:val="14"/>
            </w:pPr>
            <w:r>
              <w:rPr>
                <w:rFonts w:hint="eastAsia"/>
                <w:lang w:val="en-US" w:eastAsia="zh-CN"/>
              </w:rPr>
              <w:t>促进</w:t>
            </w:r>
            <w:r>
              <w:t>废品收购站提升整改</w:t>
            </w:r>
          </w:p>
        </w:tc>
        <w:tc>
          <w:tcPr>
            <w:tcW w:w="2551" w:type="dxa"/>
            <w:vAlign w:val="center"/>
          </w:tcPr>
          <w:p>
            <w:pPr>
              <w:pStyle w:val="14"/>
            </w:pPr>
            <w:r>
              <w:t>≥90百分比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按期完成改造</w:t>
            </w:r>
          </w:p>
        </w:tc>
        <w:tc>
          <w:tcPr>
            <w:tcW w:w="2835" w:type="dxa"/>
            <w:vAlign w:val="center"/>
          </w:tcPr>
          <w:p>
            <w:pPr>
              <w:pStyle w:val="14"/>
            </w:pPr>
            <w:r>
              <w:t>按期完成改造</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rPr>
                <w:rFonts w:hint="eastAsia" w:eastAsia="方正书宋_GBK"/>
                <w:lang w:val="en-US" w:eastAsia="zh-CN"/>
              </w:rPr>
            </w:pPr>
            <w:r>
              <w:t>预算</w:t>
            </w:r>
            <w:r>
              <w:rPr>
                <w:rFonts w:hint="eastAsia"/>
                <w:lang w:val="en-US" w:eastAsia="zh-CN"/>
              </w:rPr>
              <w:t>成本</w:t>
            </w:r>
          </w:p>
        </w:tc>
        <w:tc>
          <w:tcPr>
            <w:tcW w:w="2835" w:type="dxa"/>
            <w:vAlign w:val="center"/>
          </w:tcPr>
          <w:p>
            <w:pPr>
              <w:pStyle w:val="14"/>
            </w:pPr>
            <w:r>
              <w:t>严控成本支出</w:t>
            </w:r>
          </w:p>
        </w:tc>
        <w:tc>
          <w:tcPr>
            <w:tcW w:w="2551" w:type="dxa"/>
            <w:vAlign w:val="center"/>
          </w:tcPr>
          <w:p>
            <w:pPr>
              <w:pStyle w:val="14"/>
            </w:pPr>
            <w:r>
              <w:t>≤2万元</w:t>
            </w:r>
          </w:p>
        </w:tc>
        <w:tc>
          <w:tcPr>
            <w:tcW w:w="2268" w:type="dxa"/>
            <w:vAlign w:val="center"/>
          </w:tcPr>
          <w:p>
            <w:pPr>
              <w:pStyle w:val="14"/>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rPr>
                <w:rFonts w:hint="default" w:eastAsia="方正书宋_GBK"/>
                <w:lang w:val="en-US" w:eastAsia="zh-CN"/>
              </w:rPr>
            </w:pPr>
            <w:r>
              <w:rPr>
                <w:rFonts w:hint="eastAsia"/>
                <w:lang w:val="en-US" w:eastAsia="zh-CN"/>
              </w:rPr>
              <w:t>经济增长率</w:t>
            </w:r>
          </w:p>
        </w:tc>
        <w:tc>
          <w:tcPr>
            <w:tcW w:w="2835" w:type="dxa"/>
            <w:vAlign w:val="center"/>
          </w:tcPr>
          <w:p>
            <w:pPr>
              <w:pStyle w:val="14"/>
            </w:pPr>
            <w:r>
              <w:t>维护废品回收市场稳定发展</w:t>
            </w:r>
          </w:p>
        </w:tc>
        <w:tc>
          <w:tcPr>
            <w:tcW w:w="2551" w:type="dxa"/>
            <w:vAlign w:val="center"/>
          </w:tcPr>
          <w:p>
            <w:pPr>
              <w:pStyle w:val="14"/>
            </w:pPr>
            <w:r>
              <w:t>≥</w:t>
            </w:r>
            <w:r>
              <w:rPr>
                <w:rFonts w:hint="eastAsia"/>
                <w:lang w:val="en-US" w:eastAsia="zh-CN"/>
              </w:rPr>
              <w:t>5</w:t>
            </w:r>
            <w:r>
              <w:t>百分比</w:t>
            </w:r>
          </w:p>
        </w:tc>
        <w:tc>
          <w:tcPr>
            <w:tcW w:w="2268" w:type="dxa"/>
            <w:vAlign w:val="center"/>
          </w:tcPr>
          <w:p>
            <w:pPr>
              <w:pStyle w:val="14"/>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rPr>
                <w:rFonts w:hint="eastAsia" w:eastAsia="方正书宋_GBK"/>
                <w:lang w:val="en-US" w:eastAsia="zh-CN"/>
              </w:rPr>
            </w:pPr>
            <w:r>
              <w:t>环境质量改善</w:t>
            </w:r>
            <w:r>
              <w:rPr>
                <w:rFonts w:hint="eastAsia"/>
                <w:lang w:val="en-US" w:eastAsia="zh-CN"/>
              </w:rPr>
              <w:t>率</w:t>
            </w:r>
          </w:p>
        </w:tc>
        <w:tc>
          <w:tcPr>
            <w:tcW w:w="2835" w:type="dxa"/>
            <w:vAlign w:val="center"/>
          </w:tcPr>
          <w:p>
            <w:pPr>
              <w:pStyle w:val="14"/>
            </w:pPr>
            <w:r>
              <w:t>环境质量</w:t>
            </w:r>
            <w:r>
              <w:rPr>
                <w:rFonts w:hint="eastAsia"/>
                <w:lang w:val="en-US" w:eastAsia="zh-CN"/>
              </w:rPr>
              <w:t>有效</w:t>
            </w:r>
            <w:r>
              <w:t>改善</w:t>
            </w:r>
          </w:p>
        </w:tc>
        <w:tc>
          <w:tcPr>
            <w:tcW w:w="2551" w:type="dxa"/>
            <w:vAlign w:val="center"/>
          </w:tcPr>
          <w:p>
            <w:pPr>
              <w:pStyle w:val="14"/>
            </w:pPr>
            <w:r>
              <w:t>≥90百分比</w:t>
            </w:r>
          </w:p>
        </w:tc>
        <w:tc>
          <w:tcPr>
            <w:tcW w:w="2268" w:type="dxa"/>
            <w:vAlign w:val="center"/>
          </w:tcPr>
          <w:p>
            <w:pPr>
              <w:pStyle w:val="14"/>
            </w:pPr>
            <w:r>
              <w:rPr>
                <w:rFonts w:hint="eastAsia"/>
                <w:lang w:val="en-US"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rPr>
                <w:rFonts w:hint="eastAsia" w:eastAsia="方正书宋_GBK"/>
                <w:lang w:val="en-US" w:eastAsia="zh-CN"/>
              </w:rPr>
            </w:pPr>
            <w:r>
              <w:t>生态环境持续改善</w:t>
            </w:r>
            <w:r>
              <w:rPr>
                <w:rFonts w:hint="eastAsia"/>
                <w:lang w:val="en-US" w:eastAsia="zh-CN"/>
              </w:rPr>
              <w:t>率</w:t>
            </w:r>
          </w:p>
        </w:tc>
        <w:tc>
          <w:tcPr>
            <w:tcW w:w="2835" w:type="dxa"/>
            <w:vAlign w:val="center"/>
          </w:tcPr>
          <w:p>
            <w:pPr>
              <w:pStyle w:val="14"/>
            </w:pPr>
            <w:r>
              <w:t>生态环境持续</w:t>
            </w:r>
            <w:r>
              <w:rPr>
                <w:rFonts w:hint="eastAsia"/>
                <w:lang w:val="en-US" w:eastAsia="zh-CN"/>
              </w:rPr>
              <w:t>有效</w:t>
            </w:r>
            <w:r>
              <w:t>改善</w:t>
            </w:r>
          </w:p>
        </w:tc>
        <w:tc>
          <w:tcPr>
            <w:tcW w:w="2551" w:type="dxa"/>
            <w:vAlign w:val="center"/>
          </w:tcPr>
          <w:p>
            <w:pPr>
              <w:pStyle w:val="14"/>
            </w:pPr>
            <w:r>
              <w:t>≥90百分比</w:t>
            </w:r>
          </w:p>
        </w:tc>
        <w:tc>
          <w:tcPr>
            <w:tcW w:w="2268" w:type="dxa"/>
            <w:vAlign w:val="center"/>
          </w:tcPr>
          <w:p>
            <w:pPr>
              <w:pStyle w:val="14"/>
            </w:pPr>
            <w:r>
              <w:rPr>
                <w:rFonts w:hint="eastAsia"/>
                <w:lang w:val="en-US"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≥90百分比</w:t>
            </w:r>
          </w:p>
        </w:tc>
        <w:tc>
          <w:tcPr>
            <w:tcW w:w="2268" w:type="dxa"/>
            <w:vAlign w:val="center"/>
          </w:tcPr>
          <w:p>
            <w:pPr>
              <w:pStyle w:val="14"/>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14、全县集中招商专项经费绩效目标表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宣传品数量</w:t>
            </w:r>
          </w:p>
        </w:tc>
        <w:tc>
          <w:tcPr>
            <w:tcW w:w="2835" w:type="dxa"/>
            <w:vAlign w:val="center"/>
          </w:tcPr>
          <w:p>
            <w:pPr>
              <w:pStyle w:val="14"/>
            </w:pPr>
            <w:r>
              <w:t>制作和发放招商宣传品数量</w:t>
            </w:r>
          </w:p>
        </w:tc>
        <w:tc>
          <w:tcPr>
            <w:tcW w:w="2551" w:type="dxa"/>
            <w:vAlign w:val="center"/>
          </w:tcPr>
          <w:p>
            <w:pPr>
              <w:pStyle w:val="14"/>
            </w:pPr>
            <w:r>
              <w:t>≥1000册</w:t>
            </w:r>
          </w:p>
        </w:tc>
        <w:tc>
          <w:tcPr>
            <w:tcW w:w="2268" w:type="dxa"/>
            <w:vAlign w:val="center"/>
          </w:tcPr>
          <w:p>
            <w:pPr>
              <w:pStyle w:val="14"/>
              <w:rPr>
                <w:rFonts w:hint="default" w:eastAsia="方正书宋_GBK"/>
                <w:lang w:val="en-US" w:eastAsia="zh-CN"/>
              </w:rPr>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实际完成签约数</w:t>
            </w:r>
          </w:p>
        </w:tc>
        <w:tc>
          <w:tcPr>
            <w:tcW w:w="2835" w:type="dxa"/>
            <w:vAlign w:val="center"/>
          </w:tcPr>
          <w:p>
            <w:pPr>
              <w:pStyle w:val="14"/>
            </w:pPr>
            <w:r>
              <w:t>招引项目个数</w:t>
            </w:r>
          </w:p>
        </w:tc>
        <w:tc>
          <w:tcPr>
            <w:tcW w:w="2551" w:type="dxa"/>
            <w:vAlign w:val="center"/>
          </w:tcPr>
          <w:p>
            <w:pPr>
              <w:pStyle w:val="14"/>
            </w:pPr>
            <w:r>
              <w:t>≥40个</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完成时限</w:t>
            </w:r>
          </w:p>
        </w:tc>
        <w:tc>
          <w:tcPr>
            <w:tcW w:w="2835" w:type="dxa"/>
            <w:vAlign w:val="center"/>
          </w:tcPr>
          <w:p>
            <w:pPr>
              <w:pStyle w:val="14"/>
            </w:pPr>
            <w:r>
              <w:t>完成时限</w:t>
            </w:r>
          </w:p>
        </w:tc>
        <w:tc>
          <w:tcPr>
            <w:tcW w:w="2551" w:type="dxa"/>
            <w:vAlign w:val="center"/>
          </w:tcPr>
          <w:p>
            <w:pPr>
              <w:pStyle w:val="14"/>
              <w:rPr>
                <w:rFonts w:hint="eastAsia" w:eastAsia="方正书宋_GBK"/>
                <w:lang w:eastAsia="zh-CN"/>
              </w:rPr>
            </w:pPr>
            <w:r>
              <w:t>100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rPr>
                <w:rFonts w:hint="eastAsia" w:eastAsia="方正书宋_GBK"/>
                <w:lang w:val="en-US" w:eastAsia="zh-CN"/>
              </w:rPr>
            </w:pPr>
            <w:r>
              <w:t>成本</w:t>
            </w:r>
            <w:r>
              <w:rPr>
                <w:rFonts w:hint="eastAsia"/>
                <w:lang w:val="en-US" w:eastAsia="zh-CN"/>
              </w:rPr>
              <w:t>率</w:t>
            </w:r>
          </w:p>
        </w:tc>
        <w:tc>
          <w:tcPr>
            <w:tcW w:w="2835" w:type="dxa"/>
            <w:vAlign w:val="center"/>
          </w:tcPr>
          <w:p>
            <w:pPr>
              <w:pStyle w:val="14"/>
            </w:pPr>
            <w:r>
              <w:t>完成工作所需成本</w:t>
            </w:r>
          </w:p>
        </w:tc>
        <w:tc>
          <w:tcPr>
            <w:tcW w:w="2551" w:type="dxa"/>
            <w:vAlign w:val="center"/>
          </w:tcPr>
          <w:p>
            <w:pPr>
              <w:pStyle w:val="14"/>
            </w:pPr>
            <w:r>
              <w:t>≤100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招引项目个数</w:t>
            </w:r>
          </w:p>
        </w:tc>
        <w:tc>
          <w:tcPr>
            <w:tcW w:w="2835" w:type="dxa"/>
            <w:vAlign w:val="center"/>
          </w:tcPr>
          <w:p>
            <w:pPr>
              <w:pStyle w:val="14"/>
            </w:pPr>
            <w:r>
              <w:rPr>
                <w:rFonts w:hint="eastAsia"/>
                <w:lang w:val="en-US" w:eastAsia="zh-CN"/>
              </w:rPr>
              <w:t>通过招商</w:t>
            </w:r>
            <w:r>
              <w:t>对经济发展带来效果</w:t>
            </w:r>
          </w:p>
        </w:tc>
        <w:tc>
          <w:tcPr>
            <w:tcW w:w="2551" w:type="dxa"/>
            <w:vAlign w:val="center"/>
          </w:tcPr>
          <w:p>
            <w:pPr>
              <w:pStyle w:val="14"/>
            </w:pPr>
            <w:r>
              <w:t>≥40个</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rPr>
                <w:rFonts w:hint="default" w:eastAsia="方正书宋_GBK"/>
                <w:lang w:val="en-US" w:eastAsia="zh-CN"/>
              </w:rPr>
            </w:pPr>
            <w:r>
              <w:rPr>
                <w:rFonts w:hint="eastAsia"/>
                <w:lang w:val="en-US" w:eastAsia="zh-CN"/>
              </w:rPr>
              <w:t>推介会次数</w:t>
            </w:r>
          </w:p>
        </w:tc>
        <w:tc>
          <w:tcPr>
            <w:tcW w:w="2835" w:type="dxa"/>
            <w:vAlign w:val="center"/>
          </w:tcPr>
          <w:p>
            <w:pPr>
              <w:pStyle w:val="14"/>
            </w:pPr>
            <w:r>
              <w:t>招商推介会</w:t>
            </w:r>
          </w:p>
        </w:tc>
        <w:tc>
          <w:tcPr>
            <w:tcW w:w="2551" w:type="dxa"/>
            <w:vAlign w:val="center"/>
          </w:tcPr>
          <w:p>
            <w:pPr>
              <w:pStyle w:val="14"/>
            </w:pPr>
            <w:r>
              <w:t>≥3次</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rPr>
                <w:rFonts w:hint="default" w:eastAsia="方正书宋_GBK"/>
                <w:lang w:val="en-US" w:eastAsia="zh-CN"/>
              </w:rPr>
            </w:pPr>
            <w:r>
              <w:t>生态环保</w:t>
            </w:r>
            <w:r>
              <w:rPr>
                <w:rFonts w:hint="eastAsia"/>
                <w:lang w:val="en-US" w:eastAsia="zh-CN"/>
              </w:rPr>
              <w:t>提升率</w:t>
            </w:r>
          </w:p>
        </w:tc>
        <w:tc>
          <w:tcPr>
            <w:tcW w:w="2835" w:type="dxa"/>
            <w:vAlign w:val="center"/>
          </w:tcPr>
          <w:p>
            <w:pPr>
              <w:pStyle w:val="14"/>
            </w:pPr>
            <w:r>
              <w:t>满足生态环保要求</w:t>
            </w:r>
          </w:p>
        </w:tc>
        <w:tc>
          <w:tcPr>
            <w:tcW w:w="2551" w:type="dxa"/>
            <w:vAlign w:val="center"/>
          </w:tcPr>
          <w:p>
            <w:pPr>
              <w:pStyle w:val="14"/>
            </w:pPr>
            <w:r>
              <w:t>≥</w:t>
            </w:r>
            <w:r>
              <w:rPr>
                <w:rFonts w:hint="eastAsia"/>
                <w:lang w:val="en-US" w:eastAsia="zh-CN"/>
              </w:rPr>
              <w:t>9</w:t>
            </w:r>
            <w:r>
              <w:t>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宣传片长期使用性</w:t>
            </w:r>
          </w:p>
        </w:tc>
        <w:tc>
          <w:tcPr>
            <w:tcW w:w="2551" w:type="dxa"/>
            <w:vAlign w:val="center"/>
          </w:tcPr>
          <w:p>
            <w:pPr>
              <w:pStyle w:val="14"/>
            </w:pPr>
            <w:r>
              <w:t>≥1年</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参会企业和客商满意度</w:t>
            </w:r>
          </w:p>
        </w:tc>
        <w:tc>
          <w:tcPr>
            <w:tcW w:w="2835" w:type="dxa"/>
            <w:vAlign w:val="center"/>
          </w:tcPr>
          <w:p>
            <w:pPr>
              <w:pStyle w:val="14"/>
            </w:pPr>
            <w:r>
              <w:t>参会企业和客商满意度</w:t>
            </w:r>
          </w:p>
        </w:tc>
        <w:tc>
          <w:tcPr>
            <w:tcW w:w="2551" w:type="dxa"/>
            <w:vAlign w:val="center"/>
          </w:tcPr>
          <w:p>
            <w:pPr>
              <w:pStyle w:val="14"/>
            </w:pPr>
            <w:r>
              <w:t>≥</w:t>
            </w:r>
            <w:r>
              <w:rPr>
                <w:rFonts w:hint="eastAsia"/>
                <w:lang w:val="en-US" w:eastAsia="zh-CN"/>
              </w:rPr>
              <w:t>9</w:t>
            </w:r>
            <w:r>
              <w:t>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15、招商局招商经费项目绩效目标表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宣传品数量</w:t>
            </w:r>
          </w:p>
        </w:tc>
        <w:tc>
          <w:tcPr>
            <w:tcW w:w="2835" w:type="dxa"/>
            <w:vAlign w:val="center"/>
          </w:tcPr>
          <w:p>
            <w:pPr>
              <w:pStyle w:val="14"/>
            </w:pPr>
            <w:r>
              <w:t>制作和发放招商宣传品数量</w:t>
            </w:r>
          </w:p>
        </w:tc>
        <w:tc>
          <w:tcPr>
            <w:tcW w:w="2551" w:type="dxa"/>
            <w:vAlign w:val="center"/>
          </w:tcPr>
          <w:p>
            <w:pPr>
              <w:pStyle w:val="14"/>
            </w:pPr>
            <w:r>
              <w:t>≥1000册</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实际完成签约数</w:t>
            </w:r>
          </w:p>
        </w:tc>
        <w:tc>
          <w:tcPr>
            <w:tcW w:w="2835" w:type="dxa"/>
            <w:vAlign w:val="center"/>
          </w:tcPr>
          <w:p>
            <w:pPr>
              <w:pStyle w:val="14"/>
            </w:pPr>
            <w:r>
              <w:t>招引项目个数</w:t>
            </w:r>
          </w:p>
        </w:tc>
        <w:tc>
          <w:tcPr>
            <w:tcW w:w="2551" w:type="dxa"/>
            <w:vAlign w:val="center"/>
          </w:tcPr>
          <w:p>
            <w:pPr>
              <w:pStyle w:val="14"/>
            </w:pPr>
            <w:r>
              <w:t>≥40个</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完成时限</w:t>
            </w:r>
          </w:p>
        </w:tc>
        <w:tc>
          <w:tcPr>
            <w:tcW w:w="2835" w:type="dxa"/>
            <w:vAlign w:val="center"/>
          </w:tcPr>
          <w:p>
            <w:pPr>
              <w:pStyle w:val="14"/>
            </w:pPr>
            <w:r>
              <w:t>完成时限</w:t>
            </w:r>
          </w:p>
        </w:tc>
        <w:tc>
          <w:tcPr>
            <w:tcW w:w="2551" w:type="dxa"/>
            <w:vAlign w:val="center"/>
          </w:tcPr>
          <w:p>
            <w:pPr>
              <w:pStyle w:val="14"/>
            </w:pPr>
            <w:r>
              <w:t>100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w:t>
            </w:r>
            <w:r>
              <w:rPr>
                <w:rFonts w:hint="eastAsia"/>
                <w:lang w:val="en-US" w:eastAsia="zh-CN"/>
              </w:rPr>
              <w:t>率</w:t>
            </w:r>
          </w:p>
        </w:tc>
        <w:tc>
          <w:tcPr>
            <w:tcW w:w="2835" w:type="dxa"/>
            <w:vAlign w:val="center"/>
          </w:tcPr>
          <w:p>
            <w:pPr>
              <w:pStyle w:val="14"/>
            </w:pPr>
            <w:r>
              <w:t>完成工作所需成本</w:t>
            </w:r>
          </w:p>
        </w:tc>
        <w:tc>
          <w:tcPr>
            <w:tcW w:w="2551" w:type="dxa"/>
            <w:vAlign w:val="center"/>
          </w:tcPr>
          <w:p>
            <w:pPr>
              <w:pStyle w:val="14"/>
            </w:pPr>
            <w:r>
              <w:t>≤100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招引项目个数</w:t>
            </w:r>
          </w:p>
        </w:tc>
        <w:tc>
          <w:tcPr>
            <w:tcW w:w="2835" w:type="dxa"/>
            <w:vAlign w:val="center"/>
          </w:tcPr>
          <w:p>
            <w:pPr>
              <w:pStyle w:val="14"/>
            </w:pPr>
            <w:r>
              <w:rPr>
                <w:rFonts w:hint="eastAsia"/>
                <w:lang w:val="en-US" w:eastAsia="zh-CN"/>
              </w:rPr>
              <w:t>通过招商</w:t>
            </w:r>
            <w:r>
              <w:t>对经济发展带来效果</w:t>
            </w:r>
          </w:p>
        </w:tc>
        <w:tc>
          <w:tcPr>
            <w:tcW w:w="2551" w:type="dxa"/>
            <w:vAlign w:val="center"/>
          </w:tcPr>
          <w:p>
            <w:pPr>
              <w:pStyle w:val="14"/>
            </w:pPr>
            <w:r>
              <w:t>≥40个</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rPr>
                <w:rFonts w:hint="eastAsia"/>
                <w:lang w:val="en-US" w:eastAsia="zh-CN"/>
              </w:rPr>
              <w:t>推介会次数</w:t>
            </w:r>
          </w:p>
        </w:tc>
        <w:tc>
          <w:tcPr>
            <w:tcW w:w="2835" w:type="dxa"/>
            <w:vAlign w:val="center"/>
          </w:tcPr>
          <w:p>
            <w:pPr>
              <w:pStyle w:val="14"/>
            </w:pPr>
            <w:r>
              <w:t>招商推介会</w:t>
            </w:r>
          </w:p>
        </w:tc>
        <w:tc>
          <w:tcPr>
            <w:tcW w:w="2551" w:type="dxa"/>
            <w:vAlign w:val="center"/>
          </w:tcPr>
          <w:p>
            <w:pPr>
              <w:pStyle w:val="14"/>
            </w:pPr>
            <w:r>
              <w:t>≥3次</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生态环保</w:t>
            </w:r>
            <w:r>
              <w:rPr>
                <w:rFonts w:hint="eastAsia"/>
                <w:lang w:val="en-US" w:eastAsia="zh-CN"/>
              </w:rPr>
              <w:t>提升率</w:t>
            </w:r>
          </w:p>
        </w:tc>
        <w:tc>
          <w:tcPr>
            <w:tcW w:w="2835" w:type="dxa"/>
            <w:vAlign w:val="center"/>
          </w:tcPr>
          <w:p>
            <w:pPr>
              <w:pStyle w:val="14"/>
            </w:pPr>
            <w:r>
              <w:t>满足生态环保要求</w:t>
            </w:r>
          </w:p>
        </w:tc>
        <w:tc>
          <w:tcPr>
            <w:tcW w:w="2551" w:type="dxa"/>
            <w:vAlign w:val="center"/>
          </w:tcPr>
          <w:p>
            <w:pPr>
              <w:pStyle w:val="14"/>
            </w:pPr>
            <w:r>
              <w:t>≥</w:t>
            </w:r>
            <w:r>
              <w:rPr>
                <w:rFonts w:hint="eastAsia"/>
                <w:lang w:val="en-US" w:eastAsia="zh-CN"/>
              </w:rPr>
              <w:t>9</w:t>
            </w:r>
            <w:r>
              <w:t>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宣传片长期使用性</w:t>
            </w:r>
          </w:p>
        </w:tc>
        <w:tc>
          <w:tcPr>
            <w:tcW w:w="2551" w:type="dxa"/>
            <w:vAlign w:val="center"/>
          </w:tcPr>
          <w:p>
            <w:pPr>
              <w:pStyle w:val="14"/>
            </w:pPr>
            <w:r>
              <w:t>≥1年</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参会企业和客商满意度</w:t>
            </w:r>
          </w:p>
        </w:tc>
        <w:tc>
          <w:tcPr>
            <w:tcW w:w="2835" w:type="dxa"/>
            <w:vAlign w:val="center"/>
          </w:tcPr>
          <w:p>
            <w:pPr>
              <w:pStyle w:val="14"/>
            </w:pPr>
            <w:r>
              <w:t>参会企业和客商满意度</w:t>
            </w:r>
          </w:p>
        </w:tc>
        <w:tc>
          <w:tcPr>
            <w:tcW w:w="2551" w:type="dxa"/>
            <w:vAlign w:val="center"/>
          </w:tcPr>
          <w:p>
            <w:pPr>
              <w:pStyle w:val="14"/>
            </w:pPr>
            <w:r>
              <w:t>≥</w:t>
            </w:r>
            <w:r>
              <w:rPr>
                <w:rFonts w:hint="eastAsia"/>
                <w:lang w:val="en-US" w:eastAsia="zh-CN"/>
              </w:rPr>
              <w:t>9</w:t>
            </w:r>
            <w:r>
              <w:t>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16、重大招商专项项目绩效目标表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制作宣传品数量（份）</w:t>
            </w:r>
          </w:p>
        </w:tc>
        <w:tc>
          <w:tcPr>
            <w:tcW w:w="2835" w:type="dxa"/>
            <w:vAlign w:val="center"/>
          </w:tcPr>
          <w:p>
            <w:pPr>
              <w:pStyle w:val="14"/>
            </w:pPr>
            <w:r>
              <w:t>制作与发放招商宣传品数量（份）</w:t>
            </w:r>
          </w:p>
        </w:tc>
        <w:tc>
          <w:tcPr>
            <w:tcW w:w="2551" w:type="dxa"/>
            <w:vAlign w:val="center"/>
          </w:tcPr>
          <w:p>
            <w:pPr>
              <w:pStyle w:val="14"/>
            </w:pPr>
            <w:r>
              <w:t>≥1000册</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招商活动的签约项目个数</w:t>
            </w:r>
          </w:p>
        </w:tc>
        <w:tc>
          <w:tcPr>
            <w:tcW w:w="2835" w:type="dxa"/>
            <w:vAlign w:val="center"/>
          </w:tcPr>
          <w:p>
            <w:pPr>
              <w:pStyle w:val="14"/>
            </w:pPr>
            <w:r>
              <w:t>招商活动的签约项目个数</w:t>
            </w:r>
          </w:p>
        </w:tc>
        <w:tc>
          <w:tcPr>
            <w:tcW w:w="2551" w:type="dxa"/>
            <w:vAlign w:val="center"/>
          </w:tcPr>
          <w:p>
            <w:pPr>
              <w:pStyle w:val="14"/>
            </w:pPr>
            <w:r>
              <w:t>≥40个</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rFonts w:hint="eastAsia" w:eastAsia="方正书宋_GBK"/>
                <w:lang w:val="en-US" w:eastAsia="zh-CN"/>
              </w:rPr>
            </w:pPr>
            <w:r>
              <w:t>任务完成</w:t>
            </w:r>
            <w:r>
              <w:rPr>
                <w:rFonts w:hint="eastAsia"/>
                <w:lang w:val="en-US" w:eastAsia="zh-CN"/>
              </w:rPr>
              <w:t>率</w:t>
            </w:r>
          </w:p>
        </w:tc>
        <w:tc>
          <w:tcPr>
            <w:tcW w:w="2835" w:type="dxa"/>
            <w:vAlign w:val="center"/>
          </w:tcPr>
          <w:p>
            <w:pPr>
              <w:pStyle w:val="14"/>
            </w:pPr>
            <w:r>
              <w:t>任务完成时间</w:t>
            </w:r>
          </w:p>
        </w:tc>
        <w:tc>
          <w:tcPr>
            <w:tcW w:w="2551" w:type="dxa"/>
            <w:vAlign w:val="center"/>
          </w:tcPr>
          <w:p>
            <w:pPr>
              <w:pStyle w:val="14"/>
              <w:rPr>
                <w:rFonts w:hint="eastAsia" w:eastAsia="方正书宋_GBK"/>
                <w:lang w:eastAsia="zh-CN"/>
              </w:rPr>
            </w:pPr>
            <w:r>
              <w:t>100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w:t>
            </w:r>
            <w:r>
              <w:rPr>
                <w:rFonts w:hint="eastAsia"/>
                <w:lang w:val="en-US" w:eastAsia="zh-CN"/>
              </w:rPr>
              <w:t>率</w:t>
            </w:r>
          </w:p>
        </w:tc>
        <w:tc>
          <w:tcPr>
            <w:tcW w:w="2835" w:type="dxa"/>
            <w:vAlign w:val="center"/>
          </w:tcPr>
          <w:p>
            <w:pPr>
              <w:pStyle w:val="14"/>
            </w:pPr>
            <w:r>
              <w:t>完成工作所需成本</w:t>
            </w:r>
          </w:p>
        </w:tc>
        <w:tc>
          <w:tcPr>
            <w:tcW w:w="2551" w:type="dxa"/>
            <w:vAlign w:val="center"/>
          </w:tcPr>
          <w:p>
            <w:pPr>
              <w:pStyle w:val="14"/>
            </w:pPr>
            <w:r>
              <w:t>≤100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招引项目个数</w:t>
            </w:r>
          </w:p>
        </w:tc>
        <w:tc>
          <w:tcPr>
            <w:tcW w:w="2835" w:type="dxa"/>
            <w:vAlign w:val="center"/>
          </w:tcPr>
          <w:p>
            <w:pPr>
              <w:pStyle w:val="14"/>
            </w:pPr>
            <w:r>
              <w:rPr>
                <w:rFonts w:hint="eastAsia"/>
                <w:lang w:val="en-US" w:eastAsia="zh-CN"/>
              </w:rPr>
              <w:t>通过招商</w:t>
            </w:r>
            <w:r>
              <w:t>对经济发展带来效果</w:t>
            </w:r>
          </w:p>
        </w:tc>
        <w:tc>
          <w:tcPr>
            <w:tcW w:w="2551" w:type="dxa"/>
            <w:vAlign w:val="center"/>
          </w:tcPr>
          <w:p>
            <w:pPr>
              <w:pStyle w:val="14"/>
            </w:pPr>
            <w:r>
              <w:t>≥40招引项目个数</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rPr>
                <w:rFonts w:hint="eastAsia"/>
                <w:lang w:val="en-US" w:eastAsia="zh-CN"/>
              </w:rPr>
              <w:t>推介会次数</w:t>
            </w:r>
          </w:p>
        </w:tc>
        <w:tc>
          <w:tcPr>
            <w:tcW w:w="2835" w:type="dxa"/>
            <w:vAlign w:val="center"/>
          </w:tcPr>
          <w:p>
            <w:pPr>
              <w:pStyle w:val="14"/>
            </w:pPr>
            <w:r>
              <w:t>招商推介会</w:t>
            </w:r>
          </w:p>
        </w:tc>
        <w:tc>
          <w:tcPr>
            <w:tcW w:w="2551" w:type="dxa"/>
            <w:vAlign w:val="center"/>
          </w:tcPr>
          <w:p>
            <w:pPr>
              <w:pStyle w:val="14"/>
            </w:pPr>
            <w:r>
              <w:t>≥3招商推介会次数</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生态环保</w:t>
            </w:r>
            <w:r>
              <w:rPr>
                <w:rFonts w:hint="eastAsia"/>
                <w:lang w:val="en-US" w:eastAsia="zh-CN"/>
              </w:rPr>
              <w:t>提升率</w:t>
            </w:r>
          </w:p>
        </w:tc>
        <w:tc>
          <w:tcPr>
            <w:tcW w:w="2835" w:type="dxa"/>
            <w:vAlign w:val="center"/>
          </w:tcPr>
          <w:p>
            <w:pPr>
              <w:pStyle w:val="14"/>
            </w:pPr>
            <w:r>
              <w:t>满足生态环保要求</w:t>
            </w:r>
          </w:p>
        </w:tc>
        <w:tc>
          <w:tcPr>
            <w:tcW w:w="2551" w:type="dxa"/>
            <w:vAlign w:val="center"/>
          </w:tcPr>
          <w:p>
            <w:pPr>
              <w:pStyle w:val="14"/>
            </w:pPr>
            <w:r>
              <w:t>≥</w:t>
            </w:r>
            <w:r>
              <w:rPr>
                <w:rFonts w:hint="eastAsia"/>
                <w:lang w:val="en-US" w:eastAsia="zh-CN"/>
              </w:rPr>
              <w:t>9</w:t>
            </w:r>
            <w:r>
              <w:t>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招商宣传片长期使用性</w:t>
            </w:r>
          </w:p>
        </w:tc>
        <w:tc>
          <w:tcPr>
            <w:tcW w:w="2551" w:type="dxa"/>
            <w:vAlign w:val="center"/>
          </w:tcPr>
          <w:p>
            <w:pPr>
              <w:pStyle w:val="14"/>
            </w:pPr>
            <w:r>
              <w:t>≥1年</w:t>
            </w:r>
          </w:p>
        </w:tc>
        <w:tc>
          <w:tcPr>
            <w:tcW w:w="2268" w:type="dxa"/>
            <w:vAlign w:val="center"/>
          </w:tcPr>
          <w:p>
            <w:pPr>
              <w:pStyle w:val="14"/>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参会企业和客商满意度</w:t>
            </w:r>
          </w:p>
        </w:tc>
        <w:tc>
          <w:tcPr>
            <w:tcW w:w="2835" w:type="dxa"/>
            <w:vAlign w:val="center"/>
          </w:tcPr>
          <w:p>
            <w:pPr>
              <w:pStyle w:val="14"/>
            </w:pPr>
            <w:r>
              <w:t>参会企业和客商满意度</w:t>
            </w:r>
          </w:p>
        </w:tc>
        <w:tc>
          <w:tcPr>
            <w:tcW w:w="2551" w:type="dxa"/>
            <w:vAlign w:val="center"/>
          </w:tcPr>
          <w:p>
            <w:pPr>
              <w:pStyle w:val="14"/>
              <w:rPr>
                <w:rFonts w:hint="eastAsia" w:eastAsia="方正书宋_GBK"/>
                <w:lang w:eastAsia="zh-CN"/>
              </w:rPr>
            </w:pPr>
            <w:r>
              <w:t>≥</w:t>
            </w:r>
            <w:r>
              <w:rPr>
                <w:rFonts w:hint="eastAsia"/>
                <w:lang w:val="en-US" w:eastAsia="zh-CN"/>
              </w:rPr>
              <w:t>9</w:t>
            </w:r>
            <w:r>
              <w:t>0</w:t>
            </w:r>
            <w:r>
              <w:rPr>
                <w:rFonts w:hint="eastAsia"/>
                <w:lang w:val="en-US" w:eastAsia="zh-CN"/>
              </w:rPr>
              <w:t>百分比</w:t>
            </w:r>
          </w:p>
        </w:tc>
        <w:tc>
          <w:tcPr>
            <w:tcW w:w="2268" w:type="dxa"/>
            <w:vAlign w:val="center"/>
          </w:tcPr>
          <w:p>
            <w:pPr>
              <w:pStyle w:val="14"/>
            </w:pPr>
            <w:r>
              <w:rPr>
                <w:rFonts w:hint="eastAsia"/>
                <w:lang w:val="en-US" w:eastAsia="zh-CN"/>
              </w:rP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2023年，隆尧县商务局安排政府采购预算5.00万元。具体内容见下表。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814隆尧县商务局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5.00</w:t>
            </w:r>
          </w:p>
        </w:tc>
        <w:tc>
          <w:tcPr>
            <w:tcW w:w="964" w:type="dxa"/>
            <w:vAlign w:val="center"/>
          </w:tcPr>
          <w:p>
            <w:pPr>
              <w:pStyle w:val="17"/>
            </w:pPr>
            <w:r>
              <w:t>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隆尧县商务局本级小计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w:t>
            </w:r>
          </w:p>
        </w:tc>
        <w:tc>
          <w:tcPr>
            <w:tcW w:w="964" w:type="dxa"/>
            <w:vAlign w:val="center"/>
          </w:tcPr>
          <w:p>
            <w:pPr>
              <w:pStyle w:val="17"/>
            </w:pPr>
            <w:r>
              <w:t>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成品油市场监督监管专项</w:t>
            </w:r>
          </w:p>
        </w:tc>
        <w:tc>
          <w:tcPr>
            <w:tcW w:w="964" w:type="dxa"/>
            <w:vAlign w:val="center"/>
          </w:tcPr>
          <w:p>
            <w:pPr>
              <w:pStyle w:val="13"/>
            </w:pPr>
            <w:r>
              <w:t>10.00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0.50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隆尧县招商服务中心小计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4.00</w:t>
            </w:r>
          </w:p>
        </w:tc>
        <w:tc>
          <w:tcPr>
            <w:tcW w:w="964" w:type="dxa"/>
            <w:vAlign w:val="center"/>
          </w:tcPr>
          <w:p>
            <w:pPr>
              <w:pStyle w:val="17"/>
            </w:pPr>
            <w:r>
              <w:t>4.00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全县集中招商专项经费</w:t>
            </w:r>
          </w:p>
        </w:tc>
        <w:tc>
          <w:tcPr>
            <w:tcW w:w="964" w:type="dxa"/>
            <w:vAlign w:val="center"/>
          </w:tcPr>
          <w:p>
            <w:pPr>
              <w:pStyle w:val="13"/>
            </w:pPr>
            <w:r>
              <w:t>400.00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0.50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全县集中招商专项经费</w:t>
            </w:r>
          </w:p>
        </w:tc>
        <w:tc>
          <w:tcPr>
            <w:tcW w:w="964" w:type="dxa"/>
            <w:vAlign w:val="center"/>
          </w:tcPr>
          <w:p>
            <w:pPr>
              <w:pStyle w:val="13"/>
            </w:pPr>
            <w:r>
              <w:t>400.00</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0.50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全县集中招商专项经费</w:t>
            </w:r>
          </w:p>
        </w:tc>
        <w:tc>
          <w:tcPr>
            <w:tcW w:w="964" w:type="dxa"/>
            <w:vAlign w:val="center"/>
          </w:tcPr>
          <w:p>
            <w:pPr>
              <w:pStyle w:val="13"/>
            </w:pPr>
            <w:r>
              <w:t>400.00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0.25</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全县集中招商专项经费</w:t>
            </w:r>
          </w:p>
        </w:tc>
        <w:tc>
          <w:tcPr>
            <w:tcW w:w="964" w:type="dxa"/>
            <w:vAlign w:val="center"/>
          </w:tcPr>
          <w:p>
            <w:pPr>
              <w:pStyle w:val="13"/>
            </w:pPr>
            <w:r>
              <w:t>400.00</w:t>
            </w:r>
          </w:p>
        </w:tc>
        <w:tc>
          <w:tcPr>
            <w:tcW w:w="1134" w:type="dxa"/>
            <w:vAlign w:val="center"/>
          </w:tcPr>
          <w:p>
            <w:pPr>
              <w:pStyle w:val="14"/>
            </w:pPr>
            <w:r>
              <w:t>其他制冷空调设备</w:t>
            </w:r>
          </w:p>
        </w:tc>
        <w:tc>
          <w:tcPr>
            <w:tcW w:w="1134" w:type="dxa"/>
            <w:vAlign w:val="center"/>
          </w:tcPr>
          <w:p>
            <w:pPr>
              <w:pStyle w:val="14"/>
            </w:pPr>
            <w:r>
              <w:t>A02052399</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0.30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隆尧县商务局（含所属单位）上年末固定资产金额为</w:t>
      </w:r>
      <w:r>
        <w:rPr>
          <w:rFonts w:hint="eastAsia" w:eastAsia="方正仿宋_GBK"/>
          <w:color w:val="000000"/>
          <w:sz w:val="28"/>
          <w:lang w:val="en-US" w:eastAsia="zh-CN"/>
        </w:rPr>
        <w:t>34.96</w:t>
      </w:r>
      <w:r>
        <w:rPr>
          <w:rFonts w:eastAsia="方正仿宋_GBK"/>
          <w:color w:val="000000"/>
          <w:sz w:val="28"/>
        </w:rPr>
        <w:t>万元（详见下表）。本年度拟购置固定资产总额为</w:t>
      </w:r>
      <w:r>
        <w:rPr>
          <w:rFonts w:hint="eastAsia" w:eastAsia="方正仿宋_GBK"/>
          <w:color w:val="000000"/>
          <w:sz w:val="28"/>
          <w:lang w:val="en-US" w:eastAsia="zh-CN"/>
        </w:rPr>
        <w:t>5</w:t>
      </w:r>
      <w:r>
        <w:rPr>
          <w:rFonts w:eastAsia="方正仿宋_GBK"/>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814隆尧县商务局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850</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rPr>
                <w:rFonts w:hint="default" w:eastAsia="方正书宋_GBK"/>
                <w:lang w:val="en-US" w:eastAsia="zh-CN"/>
              </w:rPr>
            </w:pPr>
            <w:r>
              <w:rPr>
                <w:rFonts w:hint="eastAsia"/>
                <w:lang w:val="en-US" w:eastAsia="zh-CN"/>
              </w:rPr>
              <w:t>462</w:t>
            </w:r>
          </w:p>
        </w:tc>
        <w:tc>
          <w:tcPr>
            <w:tcW w:w="2835" w:type="dxa"/>
            <w:vAlign w:val="center"/>
          </w:tcPr>
          <w:p>
            <w:pPr>
              <w:pStyle w:val="13"/>
              <w:rPr>
                <w:rFonts w:hint="default" w:eastAsia="方正书宋_GBK"/>
                <w:lang w:val="en-US" w:eastAsia="zh-CN"/>
              </w:rPr>
            </w:pPr>
            <w:r>
              <w:rPr>
                <w:rFonts w:hint="eastAsia"/>
                <w:lang w:val="en-US" w:eastAsia="zh-CN"/>
              </w:rPr>
              <w:t>34.96</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w:t>
      </w:r>
      <w:r>
        <w:rPr>
          <w:rFonts w:hint="eastAsia" w:eastAsia="方正仿宋_GBK"/>
          <w:color w:val="000000"/>
          <w:sz w:val="28"/>
          <w:lang w:val="en-US" w:eastAsia="zh-CN"/>
        </w:rPr>
        <w:t>部门</w:t>
      </w:r>
      <w:r>
        <w:rPr>
          <w:rFonts w:eastAsia="方正仿宋_GBK"/>
          <w:color w:val="000000"/>
          <w:sz w:val="28"/>
        </w:rPr>
        <w:t>公务出国（境）的住宿费、旅费、伙食补助费、杂费、培训费等支出；公务用车购置及运维费反映</w:t>
      </w:r>
      <w:r>
        <w:rPr>
          <w:rFonts w:hint="eastAsia" w:eastAsia="方正仿宋_GBK"/>
          <w:color w:val="000000"/>
          <w:sz w:val="28"/>
          <w:lang w:val="en-US" w:eastAsia="zh-CN"/>
        </w:rPr>
        <w:t>部门</w:t>
      </w:r>
      <w:r>
        <w:rPr>
          <w:rFonts w:eastAsia="方正仿宋_GBK"/>
          <w:color w:val="000000"/>
          <w:sz w:val="28"/>
        </w:rPr>
        <w:t>公务用车购置费及租用费、燃料费、维修费、过路过桥费、保险费、安全奖励费用等支出；公务接待费反映</w:t>
      </w:r>
      <w:r>
        <w:rPr>
          <w:rFonts w:hint="eastAsia" w:eastAsia="方正仿宋_GBK"/>
          <w:color w:val="000000"/>
          <w:sz w:val="28"/>
          <w:lang w:val="en-US" w:eastAsia="zh-CN"/>
        </w:rPr>
        <w:t>部门</w:t>
      </w:r>
      <w:r>
        <w:rPr>
          <w:rFonts w:eastAsia="方正仿宋_GBK"/>
          <w:color w:val="000000"/>
          <w:sz w:val="28"/>
        </w:rPr>
        <w:t>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ind w:firstLine="560" w:firstLineChars="200"/>
        <w:jc w:val="both"/>
        <w:rPr>
          <w:rFonts w:hint="eastAsia" w:eastAsia="方正仿宋_GBK"/>
          <w:lang w:val="en-US" w:eastAsia="zh-CN"/>
        </w:rPr>
      </w:pPr>
      <w:r>
        <w:rPr>
          <w:rFonts w:eastAsia="方正仿宋_GBK"/>
          <w:color w:val="000000"/>
          <w:sz w:val="28"/>
        </w:rPr>
        <w:t>我部门无其他需要说明的事项。</w:t>
      </w:r>
      <w:r>
        <w:rPr>
          <w:rFonts w:hint="eastAsia" w:eastAsia="方正仿宋_GBK"/>
          <w:color w:val="000000"/>
          <w:sz w:val="28"/>
          <w:lang w:val="en-US" w:eastAsia="zh-CN"/>
        </w:rPr>
        <w:t xml:space="preserve"> </w:t>
      </w:r>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100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cyZjg5MDk4YmQyNWYwZDdkMDk4NDQyMTI4ODVkOTAifQ=="/>
  </w:docVars>
  <w:rsids>
    <w:rsidRoot w:val="00A26765"/>
    <w:rsid w:val="001C74B9"/>
    <w:rsid w:val="0023070F"/>
    <w:rsid w:val="00484582"/>
    <w:rsid w:val="00491D91"/>
    <w:rsid w:val="005C7E71"/>
    <w:rsid w:val="007D71E4"/>
    <w:rsid w:val="008642DF"/>
    <w:rsid w:val="00865854"/>
    <w:rsid w:val="00A26765"/>
    <w:rsid w:val="00BC1E53"/>
    <w:rsid w:val="00CA78F9"/>
    <w:rsid w:val="00CB56A7"/>
    <w:rsid w:val="00D01F0E"/>
    <w:rsid w:val="00D64D64"/>
    <w:rsid w:val="00DE2264"/>
    <w:rsid w:val="00EA6FBE"/>
    <w:rsid w:val="02D53FB7"/>
    <w:rsid w:val="03C74BB5"/>
    <w:rsid w:val="04075010"/>
    <w:rsid w:val="061563D7"/>
    <w:rsid w:val="076A003C"/>
    <w:rsid w:val="0911427F"/>
    <w:rsid w:val="09AC2161"/>
    <w:rsid w:val="0A293004"/>
    <w:rsid w:val="0B787084"/>
    <w:rsid w:val="0CCD206C"/>
    <w:rsid w:val="0D3037CB"/>
    <w:rsid w:val="0ED2440E"/>
    <w:rsid w:val="0FB72FD2"/>
    <w:rsid w:val="10364F03"/>
    <w:rsid w:val="17480870"/>
    <w:rsid w:val="1B4B201B"/>
    <w:rsid w:val="1C7D4ACA"/>
    <w:rsid w:val="21AE2BA6"/>
    <w:rsid w:val="21F65233"/>
    <w:rsid w:val="2240021D"/>
    <w:rsid w:val="22CE6601"/>
    <w:rsid w:val="232C03B2"/>
    <w:rsid w:val="2397035D"/>
    <w:rsid w:val="23E8420E"/>
    <w:rsid w:val="26BD1D05"/>
    <w:rsid w:val="26E2400C"/>
    <w:rsid w:val="26F804EC"/>
    <w:rsid w:val="28432CFF"/>
    <w:rsid w:val="291475B0"/>
    <w:rsid w:val="2B262FA0"/>
    <w:rsid w:val="2C6C54A0"/>
    <w:rsid w:val="2F3A3A5B"/>
    <w:rsid w:val="2FBD5BCF"/>
    <w:rsid w:val="2FE346A5"/>
    <w:rsid w:val="31486923"/>
    <w:rsid w:val="320B63F7"/>
    <w:rsid w:val="35441A15"/>
    <w:rsid w:val="35D61EDE"/>
    <w:rsid w:val="36E81026"/>
    <w:rsid w:val="37503F9E"/>
    <w:rsid w:val="38473E73"/>
    <w:rsid w:val="39074B30"/>
    <w:rsid w:val="3EE7487B"/>
    <w:rsid w:val="3FB079F3"/>
    <w:rsid w:val="3FD40BC7"/>
    <w:rsid w:val="3FD8444B"/>
    <w:rsid w:val="3FF4499C"/>
    <w:rsid w:val="47D810C5"/>
    <w:rsid w:val="48945EDB"/>
    <w:rsid w:val="4A897A9B"/>
    <w:rsid w:val="4AB16FF2"/>
    <w:rsid w:val="4C1E4213"/>
    <w:rsid w:val="4CF40BD0"/>
    <w:rsid w:val="4D9459C4"/>
    <w:rsid w:val="4E353A96"/>
    <w:rsid w:val="4F2B3064"/>
    <w:rsid w:val="4FC60D75"/>
    <w:rsid w:val="50C2770B"/>
    <w:rsid w:val="52013353"/>
    <w:rsid w:val="525C5A95"/>
    <w:rsid w:val="52CF5D32"/>
    <w:rsid w:val="53934AA7"/>
    <w:rsid w:val="5D335CCE"/>
    <w:rsid w:val="5DE95534"/>
    <w:rsid w:val="5FC02566"/>
    <w:rsid w:val="60CB21E9"/>
    <w:rsid w:val="61251903"/>
    <w:rsid w:val="622D2F08"/>
    <w:rsid w:val="6361115D"/>
    <w:rsid w:val="63902E14"/>
    <w:rsid w:val="64B901B8"/>
    <w:rsid w:val="679F74E5"/>
    <w:rsid w:val="67B6290E"/>
    <w:rsid w:val="68AE1F41"/>
    <w:rsid w:val="69674FF3"/>
    <w:rsid w:val="6A345616"/>
    <w:rsid w:val="6B301093"/>
    <w:rsid w:val="6B9B45EF"/>
    <w:rsid w:val="6C632C63"/>
    <w:rsid w:val="6F3A414D"/>
    <w:rsid w:val="70630510"/>
    <w:rsid w:val="70730F3D"/>
    <w:rsid w:val="72E576B7"/>
    <w:rsid w:val="7319759E"/>
    <w:rsid w:val="74AF2778"/>
    <w:rsid w:val="7642105B"/>
    <w:rsid w:val="7A236207"/>
    <w:rsid w:val="7D060228"/>
    <w:rsid w:val="7F645E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fontTable.xml" Type="http://schemas.openxmlformats.org/officeDocument/2006/relationships/fontTable"/><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2023-01-14T11:02:49Z</dcterms:created>
  <dcterms:modified xsi:type="dcterms:W3CDTF">2023-01-14T03:02:49Z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2023-01-14T11:02:54Z</dcterms:created>
  <dcterms:modified xsi:type="dcterms:W3CDTF">2023-01-14T03:02:54Z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2023-01-14T11:03:11Z</dcterms:created>
  <dcterms:modified xsi:type="dcterms:W3CDTF">2023-01-14T03:03:10Z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2023-01-14T11:02:54Z</dcterms:created>
  <dcterms:modified xsi:type="dcterms:W3CDTF">2023-01-14T03:02:54Z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2023-01-14T11:02:53Z</dcterms:created>
  <dcterms:modified xsi:type="dcterms:W3CDTF">2023-01-14T03:02:53Z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2023-01-14T11:02:51Z</dcterms:created>
  <dcterms:modified xsi:type="dcterms:W3CDTF">2023-01-14T03:02:51Z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2023-01-14T11:03:06Z</dcterms:created>
  <dcterms:modified xsi:type="dcterms:W3CDTF">2023-01-14T03:03:06Z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2023-01-14T11:03:03Z</dcterms:created>
  <dcterms:modified xsi:type="dcterms:W3CDTF">2023-01-14T03:03:03Z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2023-01-14T11:02:53Z</dcterms:created>
  <dcterms:modified xsi:type="dcterms:W3CDTF">2023-01-14T03:02:53Z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2023-01-14T11:03:12Z</dcterms:created>
  <dcterms:modified xsi:type="dcterms:W3CDTF">2023-01-14T03:03:12Z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2023-01-14T11:03:03Z</dcterms:created>
  <dcterms:modified xsi:type="dcterms:W3CDTF">2023-01-14T03:03:03Z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2023-01-14T11:02:55Z</dcterms:created>
  <dcterms:modified xsi:type="dcterms:W3CDTF">2023-01-14T03:02:55Z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2023-01-14T11:02:53Z</dcterms:created>
  <dcterms:modified xsi:type="dcterms:W3CDTF">2023-01-14T03:02:53Z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2023-01-14T11:03:05Z</dcterms:created>
  <dcterms:modified xsi:type="dcterms:W3CDTF">2023-01-14T03:03:05Z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2023-01-14T11:03:03Z</dcterms:created>
  <dcterms:modified xsi:type="dcterms:W3CDTF">2023-01-14T03:03:03Z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2023-01-14T11:02:54Z</dcterms:created>
  <dcterms:modified xsi:type="dcterms:W3CDTF">2023-01-14T03:02:54Z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2023-01-14T11:03:03Z</dcterms:created>
  <dcterms:modified xsi:type="dcterms:W3CDTF">2023-01-14T03:03:03Z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2023-01-14T11:03:03Z</dcterms:created>
  <dcterms:modified xsi:type="dcterms:W3CDTF">2023-01-14T03:03:03Z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2023-01-14T11:03:11Z</dcterms:created>
  <dcterms:modified xsi:type="dcterms:W3CDTF">2023-01-14T03:03:11Z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2023-01-14T11:02:51Z</dcterms:created>
  <dcterms:modified xsi:type="dcterms:W3CDTF">2023-01-14T03:02:51Z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2023-01-14T11:03:11Z</dcterms:created>
  <dcterms:modified xsi:type="dcterms:W3CDTF">2023-01-14T03:03:11Z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2023-01-14T11:02:54Z</dcterms:created>
  <dcterms:modified xsi:type="dcterms:W3CDTF">2023-01-14T03:02:54Z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2023-01-14T11:03:01Z</dcterms:created>
  <dcterms:modified xsi:type="dcterms:W3CDTF">2023-01-14T03:03:01Z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2023-01-14T11:03:11Z</dcterms:created>
  <dcterms:modified xsi:type="dcterms:W3CDTF">2023-01-14T03:03:11Z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2023-01-14T11:02:51Z</dcterms:created>
  <dcterms:modified xsi:type="dcterms:W3CDTF">2023-01-14T03:02:51Z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2023-01-14T11:02:54Z</dcterms:created>
  <dcterms:modified xsi:type="dcterms:W3CDTF">2023-01-14T03:02:54Z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2023-01-14T11:03:05Z</dcterms:created>
  <dcterms:modified xsi:type="dcterms:W3CDTF">2023-01-14T03:03:05Z</dcterms:modified>
</cp:coreProperties>
</file>

<file path=customXml/itemProps1.xml><?xml version="1.0" encoding="utf-8"?>
<ds:datastoreItem xmlns:ds="http://schemas.openxmlformats.org/officeDocument/2006/customXml" ds:itemID="{C4C56DF8-877C-447D-9CA7-4790AE5AC6D3}">
  <ds:schemaRefs/>
</ds:datastoreItem>
</file>

<file path=customXml/itemProps10.xml><?xml version="1.0" encoding="utf-8"?>
<ds:datastoreItem xmlns:ds="http://schemas.openxmlformats.org/officeDocument/2006/customXml" ds:itemID="{3BD29F4B-C8A5-4FF1-915D-9063390EF4AA}">
  <ds:schemaRefs/>
</ds:datastoreItem>
</file>

<file path=customXml/itemProps11.xml><?xml version="1.0" encoding="utf-8"?>
<ds:datastoreItem xmlns:ds="http://schemas.openxmlformats.org/officeDocument/2006/customXml" ds:itemID="{83924632-11D0-4077-9D21-FE90DE1EBB58}">
  <ds:schemaRefs/>
</ds:datastoreItem>
</file>

<file path=customXml/itemProps12.xml><?xml version="1.0" encoding="utf-8"?>
<ds:datastoreItem xmlns:ds="http://schemas.openxmlformats.org/officeDocument/2006/customXml" ds:itemID="{07D2EE58-23A9-481A-9F0C-87A022930EB7}">
  <ds:schemaRefs/>
</ds:datastoreItem>
</file>

<file path=customXml/itemProps13.xml><?xml version="1.0" encoding="utf-8"?>
<ds:datastoreItem xmlns:ds="http://schemas.openxmlformats.org/officeDocument/2006/customXml" ds:itemID="{D04163C0-04C6-4DD1-9B73-4734CBFDD4F6}">
  <ds:schemaRefs/>
</ds:datastoreItem>
</file>

<file path=customXml/itemProps14.xml><?xml version="1.0" encoding="utf-8"?>
<ds:datastoreItem xmlns:ds="http://schemas.openxmlformats.org/officeDocument/2006/customXml" ds:itemID="{EFA20E0F-D938-45C3-BE60-3AEA5961E2F3}">
  <ds:schemaRefs/>
</ds:datastoreItem>
</file>

<file path=customXml/itemProps15.xml><?xml version="1.0" encoding="utf-8"?>
<ds:datastoreItem xmlns:ds="http://schemas.openxmlformats.org/officeDocument/2006/customXml" ds:itemID="{CCB6EFCF-F22F-4186-AE3F-45C0CB3D3F7C}">
  <ds:schemaRefs/>
</ds:datastoreItem>
</file>

<file path=customXml/itemProps16.xml><?xml version="1.0" encoding="utf-8"?>
<ds:datastoreItem xmlns:ds="http://schemas.openxmlformats.org/officeDocument/2006/customXml" ds:itemID="{D5BE4179-D4A2-499A-9E8E-44E59A918E60}">
  <ds:schemaRefs/>
</ds:datastoreItem>
</file>

<file path=customXml/itemProps17.xml><?xml version="1.0" encoding="utf-8"?>
<ds:datastoreItem xmlns:ds="http://schemas.openxmlformats.org/officeDocument/2006/customXml" ds:itemID="{95473FCD-4340-45A0-B8A1-3891F9C54CDD}">
  <ds:schemaRefs/>
</ds:datastoreItem>
</file>

<file path=customXml/itemProps18.xml><?xml version="1.0" encoding="utf-8"?>
<ds:datastoreItem xmlns:ds="http://schemas.openxmlformats.org/officeDocument/2006/customXml" ds:itemID="{12658F26-60FB-4B34-AAA0-8BA7C9B0A989}">
  <ds:schemaRefs/>
</ds:datastoreItem>
</file>

<file path=customXml/itemProps19.xml><?xml version="1.0" encoding="utf-8"?>
<ds:datastoreItem xmlns:ds="http://schemas.openxmlformats.org/officeDocument/2006/customXml" ds:itemID="{924A8861-E201-48D4-877D-2B8D0AA4773D}">
  <ds:schemaRefs/>
</ds:datastoreItem>
</file>

<file path=customXml/itemProps2.xml><?xml version="1.0" encoding="utf-8"?>
<ds:datastoreItem xmlns:ds="http://schemas.openxmlformats.org/officeDocument/2006/customXml" ds:itemID="{B7556C0C-DF0B-45AF-B678-2B6B7DC67C9B}">
  <ds:schemaRefs/>
</ds:datastoreItem>
</file>

<file path=customXml/itemProps20.xml><?xml version="1.0" encoding="utf-8"?>
<ds:datastoreItem xmlns:ds="http://schemas.openxmlformats.org/officeDocument/2006/customXml" ds:itemID="{7A57E3AD-291A-41C6-A02F-6656AB0A5493}">
  <ds:schemaRefs/>
</ds:datastoreItem>
</file>

<file path=customXml/itemProps21.xml><?xml version="1.0" encoding="utf-8"?>
<ds:datastoreItem xmlns:ds="http://schemas.openxmlformats.org/officeDocument/2006/customXml" ds:itemID="{4BA37E48-7600-41EC-8855-B139C969ED8C}">
  <ds:schemaRefs/>
</ds:datastoreItem>
</file>

<file path=customXml/itemProps22.xml><?xml version="1.0" encoding="utf-8"?>
<ds:datastoreItem xmlns:ds="http://schemas.openxmlformats.org/officeDocument/2006/customXml" ds:itemID="{A0C7890F-A6E8-481E-A1A7-C1C02F81D4A8}">
  <ds:schemaRefs/>
</ds:datastoreItem>
</file>

<file path=customXml/itemProps23.xml><?xml version="1.0" encoding="utf-8"?>
<ds:datastoreItem xmlns:ds="http://schemas.openxmlformats.org/officeDocument/2006/customXml" ds:itemID="{3B48DCE1-AEBE-449F-97BF-7D7CE2251150}">
  <ds:schemaRefs/>
</ds:datastoreItem>
</file>

<file path=customXml/itemProps24.xml><?xml version="1.0" encoding="utf-8"?>
<ds:datastoreItem xmlns:ds="http://schemas.openxmlformats.org/officeDocument/2006/customXml" ds:itemID="{C585707E-6AB6-4F5D-8778-839283429AAB}">
  <ds:schemaRefs/>
</ds:datastoreItem>
</file>

<file path=customXml/itemProps25.xml><?xml version="1.0" encoding="utf-8"?>
<ds:datastoreItem xmlns:ds="http://schemas.openxmlformats.org/officeDocument/2006/customXml" ds:itemID="{71AD0B1E-5937-40AD-B52E-BD58FEEE1631}">
  <ds:schemaRefs/>
</ds:datastoreItem>
</file>

<file path=customXml/itemProps26.xml><?xml version="1.0" encoding="utf-8"?>
<ds:datastoreItem xmlns:ds="http://schemas.openxmlformats.org/officeDocument/2006/customXml" ds:itemID="{2B9B52F7-E36C-41DE-9F7E-42BA544F4D5C}">
  <ds:schemaRefs/>
</ds:datastoreItem>
</file>

<file path=customXml/itemProps27.xml><?xml version="1.0" encoding="utf-8"?>
<ds:datastoreItem xmlns:ds="http://schemas.openxmlformats.org/officeDocument/2006/customXml" ds:itemID="{5D463BD6-1D4D-4281-902A-F449CA323AAD}">
  <ds:schemaRefs/>
</ds:datastoreItem>
</file>

<file path=customXml/itemProps28.xml><?xml version="1.0" encoding="utf-8"?>
<ds:datastoreItem xmlns:ds="http://schemas.openxmlformats.org/officeDocument/2006/customXml" ds:itemID="{E1EFA634-F089-438A-B197-E9B5C9894A48}">
  <ds:schemaRefs/>
</ds:datastoreItem>
</file>

<file path=customXml/itemProps29.xml><?xml version="1.0" encoding="utf-8"?>
<ds:datastoreItem xmlns:ds="http://schemas.openxmlformats.org/officeDocument/2006/customXml" ds:itemID="{3CDE3E1E-9AC6-421A-AA88-FBFFEAFAB401}">
  <ds:schemaRefs/>
</ds:datastoreItem>
</file>

<file path=customXml/itemProps3.xml><?xml version="1.0" encoding="utf-8"?>
<ds:datastoreItem xmlns:ds="http://schemas.openxmlformats.org/officeDocument/2006/customXml" ds:itemID="{1C7FFFDE-4127-4DBA-B905-693D0B5D9E8B}">
  <ds:schemaRefs/>
</ds:datastoreItem>
</file>

<file path=customXml/itemProps30.xml><?xml version="1.0" encoding="utf-8"?>
<ds:datastoreItem xmlns:ds="http://schemas.openxmlformats.org/officeDocument/2006/customXml" ds:itemID="{D4C219DE-4842-4E5F-BC47-5E228861E4EB}">
  <ds:schemaRefs/>
</ds:datastoreItem>
</file>

<file path=customXml/itemProps31.xml><?xml version="1.0" encoding="utf-8"?>
<ds:datastoreItem xmlns:ds="http://schemas.openxmlformats.org/officeDocument/2006/customXml" ds:itemID="{A8648A93-3DF4-44F3-89B4-5E99C3125965}">
  <ds:schemaRefs/>
</ds:datastoreItem>
</file>

<file path=customXml/itemProps32.xml><?xml version="1.0" encoding="utf-8"?>
<ds:datastoreItem xmlns:ds="http://schemas.openxmlformats.org/officeDocument/2006/customXml" ds:itemID="{96ED4C8B-AE73-4D99-847B-93AD8B232DDB}">
  <ds:schemaRefs/>
</ds:datastoreItem>
</file>

<file path=customXml/itemProps33.xml><?xml version="1.0" encoding="utf-8"?>
<ds:datastoreItem xmlns:ds="http://schemas.openxmlformats.org/officeDocument/2006/customXml" ds:itemID="{0D59DA67-EAC2-4073-B797-152E57377147}">
  <ds:schemaRefs/>
</ds:datastoreItem>
</file>

<file path=customXml/itemProps34.xml><?xml version="1.0" encoding="utf-8"?>
<ds:datastoreItem xmlns:ds="http://schemas.openxmlformats.org/officeDocument/2006/customXml" ds:itemID="{CC6C0C1D-AB80-43BB-8D62-D19EF9CFA547}">
  <ds:schemaRefs/>
</ds:datastoreItem>
</file>

<file path=customXml/itemProps35.xml><?xml version="1.0" encoding="utf-8"?>
<ds:datastoreItem xmlns:ds="http://schemas.openxmlformats.org/officeDocument/2006/customXml" ds:itemID="{3F45BFEE-1E09-4E69-9DEF-9A41D2F8AB03}">
  <ds:schemaRefs/>
</ds:datastoreItem>
</file>

<file path=customXml/itemProps36.xml><?xml version="1.0" encoding="utf-8"?>
<ds:datastoreItem xmlns:ds="http://schemas.openxmlformats.org/officeDocument/2006/customXml" ds:itemID="{B07E0D2B-C62F-4164-92DA-128C6E6CC403}">
  <ds:schemaRefs/>
</ds:datastoreItem>
</file>

<file path=customXml/itemProps37.xml><?xml version="1.0" encoding="utf-8"?>
<ds:datastoreItem xmlns:ds="http://schemas.openxmlformats.org/officeDocument/2006/customXml" ds:itemID="{9C5A937C-F8E2-45CC-876C-919706514B95}">
  <ds:schemaRefs/>
</ds:datastoreItem>
</file>

<file path=customXml/itemProps38.xml><?xml version="1.0" encoding="utf-8"?>
<ds:datastoreItem xmlns:ds="http://schemas.openxmlformats.org/officeDocument/2006/customXml" ds:itemID="{79ACEC83-B9C7-4371-B422-73D37DAA06AC}">
  <ds:schemaRefs/>
</ds:datastoreItem>
</file>

<file path=customXml/itemProps39.xml><?xml version="1.0" encoding="utf-8"?>
<ds:datastoreItem xmlns:ds="http://schemas.openxmlformats.org/officeDocument/2006/customXml" ds:itemID="{02E9CDA1-2A3A-4C9B-9E18-A732FFAAC342}">
  <ds:schemaRefs/>
</ds:datastoreItem>
</file>

<file path=customXml/itemProps4.xml><?xml version="1.0" encoding="utf-8"?>
<ds:datastoreItem xmlns:ds="http://schemas.openxmlformats.org/officeDocument/2006/customXml" ds:itemID="{B371401C-FEBF-4B07-BE10-8C3057FECDC8}">
  <ds:schemaRefs/>
</ds:datastoreItem>
</file>

<file path=customXml/itemProps40.xml><?xml version="1.0" encoding="utf-8"?>
<ds:datastoreItem xmlns:ds="http://schemas.openxmlformats.org/officeDocument/2006/customXml" ds:itemID="{1845B41A-9004-4B16-967C-8EDD711D274F}">
  <ds:schemaRefs/>
</ds:datastoreItem>
</file>

<file path=customXml/itemProps41.xml><?xml version="1.0" encoding="utf-8"?>
<ds:datastoreItem xmlns:ds="http://schemas.openxmlformats.org/officeDocument/2006/customXml" ds:itemID="{7ACBD88E-3359-4201-9B3B-2A73190B0600}">
  <ds:schemaRefs/>
</ds:datastoreItem>
</file>

<file path=customXml/itemProps42.xml><?xml version="1.0" encoding="utf-8"?>
<ds:datastoreItem xmlns:ds="http://schemas.openxmlformats.org/officeDocument/2006/customXml" ds:itemID="{021303C3-02CD-4E41-B8A1-59888D9D85C3}">
  <ds:schemaRefs/>
</ds:datastoreItem>
</file>

<file path=customXml/itemProps43.xml><?xml version="1.0" encoding="utf-8"?>
<ds:datastoreItem xmlns:ds="http://schemas.openxmlformats.org/officeDocument/2006/customXml" ds:itemID="{338FB025-D01B-4231-9C6A-AD8AD3126708}">
  <ds:schemaRefs/>
</ds:datastoreItem>
</file>

<file path=customXml/itemProps44.xml><?xml version="1.0" encoding="utf-8"?>
<ds:datastoreItem xmlns:ds="http://schemas.openxmlformats.org/officeDocument/2006/customXml" ds:itemID="{F16E255B-A18D-47F3-B2BD-F5A6A5FDD1CA}">
  <ds:schemaRefs/>
</ds:datastoreItem>
</file>

<file path=customXml/itemProps45.xml><?xml version="1.0" encoding="utf-8"?>
<ds:datastoreItem xmlns:ds="http://schemas.openxmlformats.org/officeDocument/2006/customXml" ds:itemID="{DA3A2013-3ECD-442C-A3A1-1644B463F37A}">
  <ds:schemaRefs/>
</ds:datastoreItem>
</file>

<file path=customXml/itemProps46.xml><?xml version="1.0" encoding="utf-8"?>
<ds:datastoreItem xmlns:ds="http://schemas.openxmlformats.org/officeDocument/2006/customXml" ds:itemID="{8CFDBC22-A607-40A0-A9D8-8C4BB07190AB}">
  <ds:schemaRefs/>
</ds:datastoreItem>
</file>

<file path=customXml/itemProps47.xml><?xml version="1.0" encoding="utf-8"?>
<ds:datastoreItem xmlns:ds="http://schemas.openxmlformats.org/officeDocument/2006/customXml" ds:itemID="{F9F24871-DEEA-44F3-8584-0DE8DA00266D}">
  <ds:schemaRefs/>
</ds:datastoreItem>
</file>

<file path=customXml/itemProps48.xml><?xml version="1.0" encoding="utf-8"?>
<ds:datastoreItem xmlns:ds="http://schemas.openxmlformats.org/officeDocument/2006/customXml" ds:itemID="{0BE896B7-1F42-45EF-B9E0-7D41851701E9}">
  <ds:schemaRefs/>
</ds:datastoreItem>
</file>

<file path=customXml/itemProps49.xml><?xml version="1.0" encoding="utf-8"?>
<ds:datastoreItem xmlns:ds="http://schemas.openxmlformats.org/officeDocument/2006/customXml" ds:itemID="{8781EB96-CD2E-4FCD-92D8-6F9F77D4E3B5}">
  <ds:schemaRefs/>
</ds:datastoreItem>
</file>

<file path=customXml/itemProps5.xml><?xml version="1.0" encoding="utf-8"?>
<ds:datastoreItem xmlns:ds="http://schemas.openxmlformats.org/officeDocument/2006/customXml" ds:itemID="{F66EF816-0816-462E-BD90-219721737E5B}">
  <ds:schemaRefs/>
</ds:datastoreItem>
</file>

<file path=customXml/itemProps50.xml><?xml version="1.0" encoding="utf-8"?>
<ds:datastoreItem xmlns:ds="http://schemas.openxmlformats.org/officeDocument/2006/customXml" ds:itemID="{885B2396-38EC-4830-B1BB-A86343959436}">
  <ds:schemaRefs/>
</ds:datastoreItem>
</file>

<file path=customXml/itemProps51.xml><?xml version="1.0" encoding="utf-8"?>
<ds:datastoreItem xmlns:ds="http://schemas.openxmlformats.org/officeDocument/2006/customXml" ds:itemID="{4685BE9A-34C9-4B6C-97A1-B77A60F8E71D}">
  <ds:schemaRefs/>
</ds:datastoreItem>
</file>

<file path=customXml/itemProps52.xml><?xml version="1.0" encoding="utf-8"?>
<ds:datastoreItem xmlns:ds="http://schemas.openxmlformats.org/officeDocument/2006/customXml" ds:itemID="{2F4F5581-5733-432C-AE74-14AAF3E4DD40}">
  <ds:schemaRefs/>
</ds:datastoreItem>
</file>

<file path=customXml/itemProps53.xml><?xml version="1.0" encoding="utf-8"?>
<ds:datastoreItem xmlns:ds="http://schemas.openxmlformats.org/officeDocument/2006/customXml" ds:itemID="{61E9BA30-EE4B-4560-AA10-16F33E20F7F8}">
  <ds:schemaRefs/>
</ds:datastoreItem>
</file>

<file path=customXml/itemProps54.xml><?xml version="1.0" encoding="utf-8"?>
<ds:datastoreItem xmlns:ds="http://schemas.openxmlformats.org/officeDocument/2006/customXml" ds:itemID="{0CD5E7AC-C858-42F2-B062-3FFDC8F5F553}">
  <ds:schemaRefs/>
</ds:datastoreItem>
</file>

<file path=customXml/itemProps55.xml><?xml version="1.0" encoding="utf-8"?>
<ds:datastoreItem xmlns:ds="http://schemas.openxmlformats.org/officeDocument/2006/customXml" ds:itemID="{AF71AC21-A61B-4E4E-B9F9-EF848D08E707}">
  <ds:schemaRefs/>
</ds:datastoreItem>
</file>

<file path=customXml/itemProps56.xml><?xml version="1.0" encoding="utf-8"?>
<ds:datastoreItem xmlns:ds="http://schemas.openxmlformats.org/officeDocument/2006/customXml" ds:itemID="{97F33741-E43D-4CAA-836B-B671467ECB7C}">
  <ds:schemaRefs/>
</ds:datastoreItem>
</file>

<file path=customXml/itemProps57.xml><?xml version="1.0" encoding="utf-8"?>
<ds:datastoreItem xmlns:ds="http://schemas.openxmlformats.org/officeDocument/2006/customXml" ds:itemID="{AEF7C22E-FBE3-42ED-B8C5-6DFAB72416D2}">
  <ds:schemaRefs/>
</ds:datastoreItem>
</file>

<file path=customXml/itemProps58.xml><?xml version="1.0" encoding="utf-8"?>
<ds:datastoreItem xmlns:ds="http://schemas.openxmlformats.org/officeDocument/2006/customXml" ds:itemID="{BA6E67DE-F42A-421E-AAA0-4CD252A5EDE3}">
  <ds:schemaRefs/>
</ds:datastoreItem>
</file>

<file path=customXml/itemProps59.xml><?xml version="1.0" encoding="utf-8"?>
<ds:datastoreItem xmlns:ds="http://schemas.openxmlformats.org/officeDocument/2006/customXml" ds:itemID="{05808E32-782A-4942-A7E2-5DE458E2AE5C}">
  <ds:schemaRefs/>
</ds:datastoreItem>
</file>

<file path=customXml/itemProps6.xml><?xml version="1.0" encoding="utf-8"?>
<ds:datastoreItem xmlns:ds="http://schemas.openxmlformats.org/officeDocument/2006/customXml" ds:itemID="{DBFC788C-494A-4A23-951D-9402160B4F3F}">
  <ds:schemaRefs/>
</ds:datastoreItem>
</file>

<file path=customXml/itemProps60.xml><?xml version="1.0" encoding="utf-8"?>
<ds:datastoreItem xmlns:ds="http://schemas.openxmlformats.org/officeDocument/2006/customXml" ds:itemID="{B53D65F2-701F-4A88-9498-D34172AF87AE}">
  <ds:schemaRefs/>
</ds:datastoreItem>
</file>

<file path=customXml/itemProps61.xml><?xml version="1.0" encoding="utf-8"?>
<ds:datastoreItem xmlns:ds="http://schemas.openxmlformats.org/officeDocument/2006/customXml" ds:itemID="{7C622737-A762-48A1-94A9-E89D622F1934}">
  <ds:schemaRefs/>
</ds:datastoreItem>
</file>

<file path=customXml/itemProps62.xml><?xml version="1.0" encoding="utf-8"?>
<ds:datastoreItem xmlns:ds="http://schemas.openxmlformats.org/officeDocument/2006/customXml" ds:itemID="{FE187E3C-01E6-49D5-9C8A-686417A77E81}">
  <ds:schemaRefs/>
</ds:datastoreItem>
</file>

<file path=customXml/itemProps63.xml><?xml version="1.0" encoding="utf-8"?>
<ds:datastoreItem xmlns:ds="http://schemas.openxmlformats.org/officeDocument/2006/customXml" ds:itemID="{CC7C9F1A-7E5B-4C1B-9885-C365945646A4}">
  <ds:schemaRefs/>
</ds:datastoreItem>
</file>

<file path=customXml/itemProps64.xml><?xml version="1.0" encoding="utf-8"?>
<ds:datastoreItem xmlns:ds="http://schemas.openxmlformats.org/officeDocument/2006/customXml" ds:itemID="{BBE8D6FB-3DD0-4DC2-905A-6D9C1BEB93A3}">
  <ds:schemaRefs/>
</ds:datastoreItem>
</file>

<file path=customXml/itemProps65.xml><?xml version="1.0" encoding="utf-8"?>
<ds:datastoreItem xmlns:ds="http://schemas.openxmlformats.org/officeDocument/2006/customXml" ds:itemID="{5F9E57B1-A1CD-4045-ACA0-CF9D09AD64DC}">
  <ds:schemaRefs/>
</ds:datastoreItem>
</file>

<file path=customXml/itemProps66.xml><?xml version="1.0" encoding="utf-8"?>
<ds:datastoreItem xmlns:ds="http://schemas.openxmlformats.org/officeDocument/2006/customXml" ds:itemID="{8E2DF966-6F68-4982-A202-9FE76CB5A2AC}">
  <ds:schemaRefs/>
</ds:datastoreItem>
</file>

<file path=customXml/itemProps67.xml><?xml version="1.0" encoding="utf-8"?>
<ds:datastoreItem xmlns:ds="http://schemas.openxmlformats.org/officeDocument/2006/customXml" ds:itemID="{F57CDDED-BF36-4E04-9CBE-2136A4CF36C6}">
  <ds:schemaRefs/>
</ds:datastoreItem>
</file>

<file path=customXml/itemProps68.xml><?xml version="1.0" encoding="utf-8"?>
<ds:datastoreItem xmlns:ds="http://schemas.openxmlformats.org/officeDocument/2006/customXml" ds:itemID="{181BA28F-4ABF-4B5A-BFE3-05EF9A7F2FE6}">
  <ds:schemaRefs/>
</ds:datastoreItem>
</file>

<file path=customXml/itemProps69.xml><?xml version="1.0" encoding="utf-8"?>
<ds:datastoreItem xmlns:ds="http://schemas.openxmlformats.org/officeDocument/2006/customXml" ds:itemID="{27E719A1-E457-4527-979F-70F261547284}">
  <ds:schemaRefs/>
</ds:datastoreItem>
</file>

<file path=customXml/itemProps7.xml><?xml version="1.0" encoding="utf-8"?>
<ds:datastoreItem xmlns:ds="http://schemas.openxmlformats.org/officeDocument/2006/customXml" ds:itemID="{7AD5B1A8-1D06-46A9-A0C4-B322AAE30609}">
  <ds:schemaRefs/>
</ds:datastoreItem>
</file>

<file path=customXml/itemProps70.xml><?xml version="1.0" encoding="utf-8"?>
<ds:datastoreItem xmlns:ds="http://schemas.openxmlformats.org/officeDocument/2006/customXml" ds:itemID="{7EF483F0-01D6-47A6-BF56-2BC139840167}">
  <ds:schemaRefs/>
</ds:datastoreItem>
</file>

<file path=customXml/itemProps71.xml><?xml version="1.0" encoding="utf-8"?>
<ds:datastoreItem xmlns:ds="http://schemas.openxmlformats.org/officeDocument/2006/customXml" ds:itemID="{2437ECD7-AE9F-40EA-8FDF-6A59AC1BEF21}">
  <ds:schemaRefs/>
</ds:datastoreItem>
</file>

<file path=customXml/itemProps72.xml><?xml version="1.0" encoding="utf-8"?>
<ds:datastoreItem xmlns:ds="http://schemas.openxmlformats.org/officeDocument/2006/customXml" ds:itemID="{1719CA62-F0E2-4E22-AAE1-B493F840993B}">
  <ds:schemaRefs/>
</ds:datastoreItem>
</file>

<file path=customXml/itemProps73.xml><?xml version="1.0" encoding="utf-8"?>
<ds:datastoreItem xmlns:ds="http://schemas.openxmlformats.org/officeDocument/2006/customXml" ds:itemID="{6E525689-2DAB-4ED6-B1CE-A2060C63AF1D}">
  <ds:schemaRefs/>
</ds:datastoreItem>
</file>

<file path=customXml/itemProps74.xml><?xml version="1.0" encoding="utf-8"?>
<ds:datastoreItem xmlns:ds="http://schemas.openxmlformats.org/officeDocument/2006/customXml" ds:itemID="{39703DA6-2D90-4D9C-B297-994597E3E93A}">
  <ds:schemaRefs/>
</ds:datastoreItem>
</file>

<file path=customXml/itemProps75.xml><?xml version="1.0" encoding="utf-8"?>
<ds:datastoreItem xmlns:ds="http://schemas.openxmlformats.org/officeDocument/2006/customXml" ds:itemID="{0FE7D618-704A-450E-B67D-434E4002329B}">
  <ds:schemaRefs/>
</ds:datastoreItem>
</file>

<file path=customXml/itemProps76.xml><?xml version="1.0" encoding="utf-8"?>
<ds:datastoreItem xmlns:ds="http://schemas.openxmlformats.org/officeDocument/2006/customXml" ds:itemID="{2C7D1964-ABF4-48B1-B9A7-56917AEDE2DC}">
  <ds:schemaRefs/>
</ds:datastoreItem>
</file>

<file path=customXml/itemProps77.xml><?xml version="1.0" encoding="utf-8"?>
<ds:datastoreItem xmlns:ds="http://schemas.openxmlformats.org/officeDocument/2006/customXml" ds:itemID="{33D6F5F5-379D-4245-B743-BC4829731ACA}">
  <ds:schemaRefs/>
</ds:datastoreItem>
</file>

<file path=customXml/itemProps78.xml><?xml version="1.0" encoding="utf-8"?>
<ds:datastoreItem xmlns:ds="http://schemas.openxmlformats.org/officeDocument/2006/customXml" ds:itemID="{73426DEC-56B0-480E-83F1-D10596B6032B}">
  <ds:schemaRefs/>
</ds:datastoreItem>
</file>

<file path=customXml/itemProps8.xml><?xml version="1.0" encoding="utf-8"?>
<ds:datastoreItem xmlns:ds="http://schemas.openxmlformats.org/officeDocument/2006/customXml" ds:itemID="{427A1D78-7988-4163-AB55-827D79065A4C}">
  <ds:schemaRefs/>
</ds:datastoreItem>
</file>

<file path=customXml/itemProps9.xml><?xml version="1.0" encoding="utf-8"?>
<ds:datastoreItem xmlns:ds="http://schemas.openxmlformats.org/officeDocument/2006/customXml" ds:itemID="{E8ABE49F-139E-4608-863A-BFB31292AF1B}">
  <ds:schemaRefs/>
</ds:datastoreItem>
</file>

<file path=docProps/app.xml><?xml version="1.0" encoding="utf-8"?>
<Properties xmlns="http://schemas.openxmlformats.org/officeDocument/2006/extended-properties" xmlns:vt="http://schemas.openxmlformats.org/officeDocument/2006/docPropsVTypes">
  <Template>Normal</Template>
  <Pages>49</Pages>
  <Words>15319</Words>
  <Characters>17577</Characters>
  <Lines>333</Lines>
  <Paragraphs>94</Paragraphs>
  <TotalTime>8</TotalTime>
  <ScaleCrop>false</ScaleCrop>
  <LinksUpToDate>false</LinksUpToDate>
  <CharactersWithSpaces>17783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2023-01-14T11:03:00Z</dcterms:created>
  <dc:creator>Administrator</dc:creator>
  <cp:lastModifiedBy>心向往新期待</cp:lastModifiedBy>
  <dcterms:modified xsi:type="dcterms:W3CDTF">2023-09-06T01:09:07Z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07C0667E0DDB4FA3B0BB67B66BEB39F5</vt:lpwstr>
  </property>
</Properties>
</file>