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共青团隆尧县委</w:t>
      </w: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27</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pPr>
        <w:spacing w:before="0" w:after="0" w:line="240" w:lineRule="auto"/>
        <w:ind w:firstLine="0"/>
        <w:jc w:val="center"/>
        <w:outlineLvl w:val="0"/>
        <w:rPr>
          <w:rFonts w:ascii="方正小标宋_GBK" w:hAnsi="方正小标宋_GBK" w:eastAsia="方正小标宋_GBK" w:cs="方正小标宋_GBK"/>
          <w:color w:val="000000"/>
          <w:sz w:val="56"/>
          <w:szCs w:val="22"/>
        </w:rPr>
      </w:pPr>
    </w:p>
    <w:p>
      <w:pPr>
        <w:spacing w:before="0" w:after="0" w:line="240" w:lineRule="auto"/>
        <w:ind w:firstLine="0"/>
        <w:jc w:val="center"/>
        <w:outlineLvl w:val="0"/>
        <w:rPr>
          <w:rFonts w:hint="eastAsia" w:eastAsia="方正小标宋_GBK"/>
          <w:sz w:val="22"/>
          <w:szCs w:val="22"/>
          <w:lang w:eastAsia="zh-CN"/>
        </w:rPr>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56"/>
          <w:szCs w:val="22"/>
        </w:rPr>
        <w:t xml:space="preserve">第一部分  </w:t>
      </w:r>
      <w:r>
        <w:rPr>
          <w:rFonts w:hint="eastAsia" w:ascii="方正小标宋_GBK" w:hAnsi="方正小标宋_GBK" w:eastAsia="方正小标宋_GBK" w:cs="方正小标宋_GBK"/>
          <w:color w:val="000000"/>
          <w:sz w:val="56"/>
          <w:szCs w:val="22"/>
          <w:lang w:eastAsia="zh-CN"/>
        </w:rPr>
        <w:t>共青团隆尧县委</w:t>
      </w:r>
      <w:r>
        <w:rPr>
          <w:rFonts w:hint="eastAsia" w:ascii="方正小标宋_GBK" w:hAnsi="方正小标宋_GBK" w:eastAsia="方正小标宋_GBK" w:cs="方正小标宋_GBK"/>
          <w:color w:val="000000"/>
          <w:sz w:val="56"/>
          <w:szCs w:val="22"/>
          <w:lang w:val="en-US" w:eastAsia="zh-CN"/>
        </w:rPr>
        <w:t>2022年</w:t>
      </w:r>
      <w:r>
        <w:rPr>
          <w:rFonts w:ascii="方正小标宋_GBK" w:hAnsi="方正小标宋_GBK" w:eastAsia="方正小标宋_GBK" w:cs="方正小标宋_GBK"/>
          <w:color w:val="000000"/>
          <w:sz w:val="56"/>
          <w:szCs w:val="22"/>
        </w:rPr>
        <w:t>部门预算</w:t>
      </w:r>
      <w:r>
        <w:rPr>
          <w:rFonts w:hint="eastAsia" w:ascii="方正小标宋_GBK" w:hAnsi="方正小标宋_GBK" w:eastAsia="方正小标宋_GBK" w:cs="方正小标宋_GBK"/>
          <w:color w:val="000000"/>
          <w:sz w:val="56"/>
          <w:szCs w:val="22"/>
          <w:lang w:eastAsia="zh-CN"/>
        </w:rPr>
        <w:t>信息公开</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rPr>
                <w:sz w:val="21"/>
                <w:szCs w:val="21"/>
              </w:rPr>
            </w:pPr>
            <w:r>
              <w:rPr>
                <w:sz w:val="21"/>
                <w:szCs w:val="21"/>
              </w:rPr>
              <w:t>712中国共产主义青年团隆尧县委员会</w:t>
            </w:r>
          </w:p>
        </w:tc>
        <w:tc>
          <w:tcPr>
            <w:tcW w:w="1971" w:type="dxa"/>
            <w:tcBorders>
              <w:top w:val="single" w:color="FFFFFF" w:sz="6" w:space="0"/>
              <w:left w:val="single" w:color="FFFFFF" w:sz="6" w:space="0"/>
              <w:right w:val="single" w:color="FFFFFF" w:sz="6" w:space="0"/>
            </w:tcBorders>
            <w:vAlign w:val="center"/>
          </w:tcPr>
          <w:p>
            <w:pPr>
              <w:pStyle w:val="10"/>
            </w:pPr>
            <w:r>
              <w:rPr>
                <w:sz w:val="22"/>
                <w:szCs w:val="22"/>
              </w:rP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24.87</w:t>
            </w:r>
          </w:p>
        </w:tc>
        <w:tc>
          <w:tcPr>
            <w:tcW w:w="1971" w:type="dxa"/>
            <w:vAlign w:val="center"/>
          </w:tcPr>
          <w:p>
            <w:pPr>
              <w:pStyle w:val="14"/>
            </w:pPr>
            <w:r>
              <w:t>一、一般公共服务支出</w:t>
            </w:r>
          </w:p>
        </w:tc>
        <w:tc>
          <w:tcPr>
            <w:tcW w:w="1971" w:type="dxa"/>
            <w:vAlign w:val="center"/>
          </w:tcPr>
          <w:p>
            <w:pPr>
              <w:pStyle w:val="13"/>
            </w:pPr>
            <w:r>
              <w:t>21.46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二十六、年初预留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24.87</w:t>
            </w:r>
          </w:p>
        </w:tc>
        <w:tc>
          <w:tcPr>
            <w:tcW w:w="1971" w:type="dxa"/>
            <w:vAlign w:val="center"/>
          </w:tcPr>
          <w:p>
            <w:pPr>
              <w:pStyle w:val="16"/>
            </w:pPr>
            <w:r>
              <w:t>本年支出合计</w:t>
            </w:r>
          </w:p>
        </w:tc>
        <w:tc>
          <w:tcPr>
            <w:tcW w:w="1971" w:type="dxa"/>
            <w:vAlign w:val="center"/>
          </w:tcPr>
          <w:p>
            <w:pPr>
              <w:pStyle w:val="17"/>
            </w:pPr>
            <w:r>
              <w:t>24.87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24.87</w:t>
            </w:r>
          </w:p>
        </w:tc>
        <w:tc>
          <w:tcPr>
            <w:tcW w:w="1971" w:type="dxa"/>
            <w:vAlign w:val="center"/>
          </w:tcPr>
          <w:p>
            <w:pPr>
              <w:pStyle w:val="16"/>
            </w:pPr>
            <w:r>
              <w:t>支出总计</w:t>
            </w:r>
          </w:p>
        </w:tc>
        <w:tc>
          <w:tcPr>
            <w:tcW w:w="1971" w:type="dxa"/>
            <w:vAlign w:val="center"/>
          </w:tcPr>
          <w:p>
            <w:pPr>
              <w:pStyle w:val="17"/>
            </w:pPr>
            <w:r>
              <w:t>24.87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rPr>
                <w:sz w:val="21"/>
                <w:szCs w:val="21"/>
              </w:rPr>
              <w:t>712中国共产主义青年团隆尧县委员会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24.87</w:t>
            </w:r>
          </w:p>
        </w:tc>
        <w:tc>
          <w:tcPr>
            <w:tcW w:w="758" w:type="dxa"/>
            <w:vAlign w:val="center"/>
          </w:tcPr>
          <w:p>
            <w:pPr>
              <w:pStyle w:val="17"/>
            </w:pPr>
            <w:r>
              <w:t>24.87</w:t>
            </w:r>
          </w:p>
        </w:tc>
        <w:tc>
          <w:tcPr>
            <w:tcW w:w="758" w:type="dxa"/>
            <w:vAlign w:val="center"/>
          </w:tcPr>
          <w:p>
            <w:pPr>
              <w:pStyle w:val="17"/>
            </w:pPr>
            <w:r>
              <w:t>24.87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21.46</w:t>
            </w:r>
          </w:p>
        </w:tc>
        <w:tc>
          <w:tcPr>
            <w:tcW w:w="758" w:type="dxa"/>
            <w:vAlign w:val="center"/>
          </w:tcPr>
          <w:p>
            <w:pPr>
              <w:pStyle w:val="13"/>
            </w:pPr>
            <w:r>
              <w:t>21.46</w:t>
            </w:r>
          </w:p>
        </w:tc>
        <w:tc>
          <w:tcPr>
            <w:tcW w:w="758" w:type="dxa"/>
            <w:vAlign w:val="center"/>
          </w:tcPr>
          <w:p>
            <w:pPr>
              <w:pStyle w:val="13"/>
            </w:pPr>
            <w:r>
              <w:t>21.46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20129</w:t>
            </w:r>
          </w:p>
        </w:tc>
        <w:tc>
          <w:tcPr>
            <w:tcW w:w="758" w:type="dxa"/>
            <w:vAlign w:val="center"/>
          </w:tcPr>
          <w:p>
            <w:pPr>
              <w:pStyle w:val="14"/>
            </w:pPr>
            <w:r>
              <w:t>群众团体事务</w:t>
            </w:r>
          </w:p>
        </w:tc>
        <w:tc>
          <w:tcPr>
            <w:tcW w:w="758" w:type="dxa"/>
            <w:vAlign w:val="center"/>
          </w:tcPr>
          <w:p>
            <w:pPr>
              <w:pStyle w:val="13"/>
            </w:pPr>
            <w:r>
              <w:t>21.46</w:t>
            </w:r>
          </w:p>
        </w:tc>
        <w:tc>
          <w:tcPr>
            <w:tcW w:w="758" w:type="dxa"/>
            <w:vAlign w:val="center"/>
          </w:tcPr>
          <w:p>
            <w:pPr>
              <w:pStyle w:val="13"/>
            </w:pPr>
            <w:r>
              <w:t>21.46</w:t>
            </w:r>
          </w:p>
        </w:tc>
        <w:tc>
          <w:tcPr>
            <w:tcW w:w="758" w:type="dxa"/>
            <w:vAlign w:val="center"/>
          </w:tcPr>
          <w:p>
            <w:pPr>
              <w:pStyle w:val="13"/>
            </w:pPr>
            <w:r>
              <w:t>21.46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2012901</w:t>
            </w:r>
          </w:p>
        </w:tc>
        <w:tc>
          <w:tcPr>
            <w:tcW w:w="758" w:type="dxa"/>
            <w:vAlign w:val="center"/>
          </w:tcPr>
          <w:p>
            <w:pPr>
              <w:pStyle w:val="14"/>
            </w:pPr>
            <w:r>
              <w:t>行政运行</w:t>
            </w:r>
          </w:p>
        </w:tc>
        <w:tc>
          <w:tcPr>
            <w:tcW w:w="758" w:type="dxa"/>
            <w:vAlign w:val="center"/>
          </w:tcPr>
          <w:p>
            <w:pPr>
              <w:pStyle w:val="13"/>
            </w:pPr>
            <w:r>
              <w:t>21.46</w:t>
            </w:r>
          </w:p>
        </w:tc>
        <w:tc>
          <w:tcPr>
            <w:tcW w:w="758" w:type="dxa"/>
            <w:vAlign w:val="center"/>
          </w:tcPr>
          <w:p>
            <w:pPr>
              <w:pStyle w:val="13"/>
            </w:pPr>
            <w:r>
              <w:t>21.46</w:t>
            </w:r>
          </w:p>
        </w:tc>
        <w:tc>
          <w:tcPr>
            <w:tcW w:w="758" w:type="dxa"/>
            <w:vAlign w:val="center"/>
          </w:tcPr>
          <w:p>
            <w:pPr>
              <w:pStyle w:val="13"/>
            </w:pPr>
            <w:r>
              <w:t>21.46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1.41</w:t>
            </w:r>
          </w:p>
        </w:tc>
        <w:tc>
          <w:tcPr>
            <w:tcW w:w="758" w:type="dxa"/>
            <w:vAlign w:val="center"/>
          </w:tcPr>
          <w:p>
            <w:pPr>
              <w:pStyle w:val="13"/>
            </w:pPr>
            <w:r>
              <w:t>1.41</w:t>
            </w:r>
          </w:p>
        </w:tc>
        <w:tc>
          <w:tcPr>
            <w:tcW w:w="758" w:type="dxa"/>
            <w:vAlign w:val="center"/>
          </w:tcPr>
          <w:p>
            <w:pPr>
              <w:pStyle w:val="13"/>
            </w:pPr>
            <w:r>
              <w:t>1.41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1.41</w:t>
            </w:r>
          </w:p>
        </w:tc>
        <w:tc>
          <w:tcPr>
            <w:tcW w:w="758" w:type="dxa"/>
            <w:vAlign w:val="center"/>
          </w:tcPr>
          <w:p>
            <w:pPr>
              <w:pStyle w:val="13"/>
            </w:pPr>
            <w:r>
              <w:t>1.41</w:t>
            </w:r>
          </w:p>
        </w:tc>
        <w:tc>
          <w:tcPr>
            <w:tcW w:w="758" w:type="dxa"/>
            <w:vAlign w:val="center"/>
          </w:tcPr>
          <w:p>
            <w:pPr>
              <w:pStyle w:val="13"/>
            </w:pPr>
            <w:r>
              <w:t>1.41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1.41</w:t>
            </w:r>
          </w:p>
        </w:tc>
        <w:tc>
          <w:tcPr>
            <w:tcW w:w="758" w:type="dxa"/>
            <w:vAlign w:val="center"/>
          </w:tcPr>
          <w:p>
            <w:pPr>
              <w:pStyle w:val="13"/>
            </w:pPr>
            <w:r>
              <w:t>1.41</w:t>
            </w:r>
          </w:p>
        </w:tc>
        <w:tc>
          <w:tcPr>
            <w:tcW w:w="758" w:type="dxa"/>
            <w:vAlign w:val="center"/>
          </w:tcPr>
          <w:p>
            <w:pPr>
              <w:pStyle w:val="13"/>
            </w:pPr>
            <w:r>
              <w:t>1.41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0.80</w:t>
            </w:r>
          </w:p>
        </w:tc>
        <w:tc>
          <w:tcPr>
            <w:tcW w:w="758" w:type="dxa"/>
            <w:vAlign w:val="center"/>
          </w:tcPr>
          <w:p>
            <w:pPr>
              <w:pStyle w:val="13"/>
            </w:pPr>
            <w:r>
              <w:t>0.80</w:t>
            </w:r>
          </w:p>
        </w:tc>
        <w:tc>
          <w:tcPr>
            <w:tcW w:w="758" w:type="dxa"/>
            <w:vAlign w:val="center"/>
          </w:tcPr>
          <w:p>
            <w:pPr>
              <w:pStyle w:val="13"/>
            </w:pPr>
            <w:r>
              <w:t>0.80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0.80</w:t>
            </w:r>
          </w:p>
        </w:tc>
        <w:tc>
          <w:tcPr>
            <w:tcW w:w="758" w:type="dxa"/>
            <w:vAlign w:val="center"/>
          </w:tcPr>
          <w:p>
            <w:pPr>
              <w:pStyle w:val="13"/>
            </w:pPr>
            <w:r>
              <w:t>0.80</w:t>
            </w:r>
          </w:p>
        </w:tc>
        <w:tc>
          <w:tcPr>
            <w:tcW w:w="758" w:type="dxa"/>
            <w:vAlign w:val="center"/>
          </w:tcPr>
          <w:p>
            <w:pPr>
              <w:pStyle w:val="13"/>
            </w:pPr>
            <w:r>
              <w:t>0.80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0.80</w:t>
            </w:r>
          </w:p>
        </w:tc>
        <w:tc>
          <w:tcPr>
            <w:tcW w:w="758" w:type="dxa"/>
            <w:vAlign w:val="center"/>
          </w:tcPr>
          <w:p>
            <w:pPr>
              <w:pStyle w:val="13"/>
            </w:pPr>
            <w:r>
              <w:t>0.80</w:t>
            </w:r>
          </w:p>
        </w:tc>
        <w:tc>
          <w:tcPr>
            <w:tcW w:w="758" w:type="dxa"/>
            <w:vAlign w:val="center"/>
          </w:tcPr>
          <w:p>
            <w:pPr>
              <w:pStyle w:val="13"/>
            </w:pPr>
            <w:r>
              <w:t>0.80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1.19</w:t>
            </w:r>
          </w:p>
        </w:tc>
        <w:tc>
          <w:tcPr>
            <w:tcW w:w="758" w:type="dxa"/>
            <w:vAlign w:val="center"/>
          </w:tcPr>
          <w:p>
            <w:pPr>
              <w:pStyle w:val="13"/>
            </w:pPr>
            <w:r>
              <w:t>1.19</w:t>
            </w:r>
          </w:p>
        </w:tc>
        <w:tc>
          <w:tcPr>
            <w:tcW w:w="758" w:type="dxa"/>
            <w:vAlign w:val="center"/>
          </w:tcPr>
          <w:p>
            <w:pPr>
              <w:pStyle w:val="13"/>
            </w:pPr>
            <w:r>
              <w:t>1.19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1.19</w:t>
            </w:r>
          </w:p>
        </w:tc>
        <w:tc>
          <w:tcPr>
            <w:tcW w:w="758" w:type="dxa"/>
            <w:vAlign w:val="center"/>
          </w:tcPr>
          <w:p>
            <w:pPr>
              <w:pStyle w:val="13"/>
            </w:pPr>
            <w:r>
              <w:t>1.19</w:t>
            </w:r>
          </w:p>
        </w:tc>
        <w:tc>
          <w:tcPr>
            <w:tcW w:w="758" w:type="dxa"/>
            <w:vAlign w:val="center"/>
          </w:tcPr>
          <w:p>
            <w:pPr>
              <w:pStyle w:val="13"/>
            </w:pPr>
            <w:r>
              <w:t>1.19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1.19</w:t>
            </w:r>
          </w:p>
        </w:tc>
        <w:tc>
          <w:tcPr>
            <w:tcW w:w="758" w:type="dxa"/>
            <w:vAlign w:val="center"/>
          </w:tcPr>
          <w:p>
            <w:pPr>
              <w:pStyle w:val="13"/>
            </w:pPr>
            <w:r>
              <w:t>1.19</w:t>
            </w:r>
          </w:p>
        </w:tc>
        <w:tc>
          <w:tcPr>
            <w:tcW w:w="758" w:type="dxa"/>
            <w:vAlign w:val="center"/>
          </w:tcPr>
          <w:p>
            <w:pPr>
              <w:pStyle w:val="13"/>
            </w:pPr>
            <w:r>
              <w:t>1.19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rPr>
                <w:sz w:val="18"/>
                <w:szCs w:val="18"/>
              </w:rPr>
              <w:t>712中国共产主义青年团隆尧县委员会</w:t>
            </w:r>
          </w:p>
        </w:tc>
        <w:tc>
          <w:tcPr>
            <w:tcW w:w="2190" w:type="dxa"/>
            <w:gridSpan w:val="2"/>
            <w:tcBorders>
              <w:top w:val="single" w:color="FFFFFF" w:sz="6" w:space="0"/>
              <w:left w:val="single" w:color="FFFFFF" w:sz="6" w:space="0"/>
              <w:right w:val="single" w:color="FFFFFF" w:sz="6" w:space="0"/>
            </w:tcBorders>
            <w:vAlign w:val="center"/>
          </w:tcPr>
          <w:p>
            <w:pPr>
              <w:pStyle w:val="10"/>
            </w:pPr>
            <w:r>
              <w:rPr>
                <w:rFonts w:hint="eastAsia"/>
                <w:lang w:val="en-US" w:eastAsia="zh-CN"/>
              </w:rPr>
              <w:t xml:space="preserve"> </w:t>
            </w:r>
            <w:r>
              <w:rPr>
                <w:rFonts w:hint="eastAsia"/>
                <w:sz w:val="22"/>
                <w:szCs w:val="22"/>
                <w:lang w:val="en-US" w:eastAsia="zh-CN"/>
              </w:rPr>
              <w:t xml:space="preserve">   </w:t>
            </w:r>
            <w:r>
              <w:rPr>
                <w:sz w:val="22"/>
                <w:szCs w:val="22"/>
              </w:rP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24.87</w:t>
            </w:r>
          </w:p>
        </w:tc>
        <w:tc>
          <w:tcPr>
            <w:tcW w:w="1095" w:type="dxa"/>
            <w:vAlign w:val="center"/>
          </w:tcPr>
          <w:p>
            <w:pPr>
              <w:pStyle w:val="17"/>
            </w:pPr>
            <w:r>
              <w:t>16.92</w:t>
            </w:r>
          </w:p>
        </w:tc>
        <w:tc>
          <w:tcPr>
            <w:tcW w:w="1095" w:type="dxa"/>
            <w:vAlign w:val="center"/>
          </w:tcPr>
          <w:p>
            <w:pPr>
              <w:pStyle w:val="17"/>
            </w:pPr>
            <w:r>
              <w:t>7.95</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21.46</w:t>
            </w:r>
          </w:p>
        </w:tc>
        <w:tc>
          <w:tcPr>
            <w:tcW w:w="1095" w:type="dxa"/>
            <w:vAlign w:val="center"/>
          </w:tcPr>
          <w:p>
            <w:pPr>
              <w:pStyle w:val="13"/>
            </w:pPr>
            <w:r>
              <w:t>13.51</w:t>
            </w:r>
          </w:p>
        </w:tc>
        <w:tc>
          <w:tcPr>
            <w:tcW w:w="1095" w:type="dxa"/>
            <w:vAlign w:val="center"/>
          </w:tcPr>
          <w:p>
            <w:pPr>
              <w:pStyle w:val="13"/>
            </w:pPr>
            <w:r>
              <w:t>7.95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20129</w:t>
            </w:r>
          </w:p>
        </w:tc>
        <w:tc>
          <w:tcPr>
            <w:tcW w:w="1095" w:type="dxa"/>
            <w:vAlign w:val="center"/>
          </w:tcPr>
          <w:p>
            <w:pPr>
              <w:pStyle w:val="14"/>
            </w:pPr>
            <w:r>
              <w:t>群众团体事务</w:t>
            </w:r>
          </w:p>
        </w:tc>
        <w:tc>
          <w:tcPr>
            <w:tcW w:w="1095" w:type="dxa"/>
            <w:vAlign w:val="center"/>
          </w:tcPr>
          <w:p>
            <w:pPr>
              <w:pStyle w:val="13"/>
            </w:pPr>
            <w:r>
              <w:t>21.46</w:t>
            </w:r>
          </w:p>
        </w:tc>
        <w:tc>
          <w:tcPr>
            <w:tcW w:w="1095" w:type="dxa"/>
            <w:vAlign w:val="center"/>
          </w:tcPr>
          <w:p>
            <w:pPr>
              <w:pStyle w:val="13"/>
            </w:pPr>
            <w:r>
              <w:t>13.51</w:t>
            </w:r>
          </w:p>
        </w:tc>
        <w:tc>
          <w:tcPr>
            <w:tcW w:w="1095" w:type="dxa"/>
            <w:vAlign w:val="center"/>
          </w:tcPr>
          <w:p>
            <w:pPr>
              <w:pStyle w:val="13"/>
            </w:pPr>
            <w:r>
              <w:t>7.95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2012901</w:t>
            </w:r>
          </w:p>
        </w:tc>
        <w:tc>
          <w:tcPr>
            <w:tcW w:w="1095" w:type="dxa"/>
            <w:vAlign w:val="center"/>
          </w:tcPr>
          <w:p>
            <w:pPr>
              <w:pStyle w:val="14"/>
            </w:pPr>
            <w:r>
              <w:t>行政运行</w:t>
            </w:r>
          </w:p>
        </w:tc>
        <w:tc>
          <w:tcPr>
            <w:tcW w:w="1095" w:type="dxa"/>
            <w:vAlign w:val="center"/>
          </w:tcPr>
          <w:p>
            <w:pPr>
              <w:pStyle w:val="13"/>
            </w:pPr>
            <w:r>
              <w:t>21.46</w:t>
            </w:r>
          </w:p>
        </w:tc>
        <w:tc>
          <w:tcPr>
            <w:tcW w:w="1095" w:type="dxa"/>
            <w:vAlign w:val="center"/>
          </w:tcPr>
          <w:p>
            <w:pPr>
              <w:pStyle w:val="13"/>
            </w:pPr>
            <w:r>
              <w:t>13.51</w:t>
            </w:r>
          </w:p>
        </w:tc>
        <w:tc>
          <w:tcPr>
            <w:tcW w:w="1095" w:type="dxa"/>
            <w:vAlign w:val="center"/>
          </w:tcPr>
          <w:p>
            <w:pPr>
              <w:pStyle w:val="13"/>
            </w:pPr>
            <w:r>
              <w:t>7.95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1.41</w:t>
            </w:r>
          </w:p>
        </w:tc>
        <w:tc>
          <w:tcPr>
            <w:tcW w:w="1095" w:type="dxa"/>
            <w:vAlign w:val="center"/>
          </w:tcPr>
          <w:p>
            <w:pPr>
              <w:pStyle w:val="13"/>
            </w:pPr>
            <w:r>
              <w:t>1.41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1.41</w:t>
            </w:r>
          </w:p>
        </w:tc>
        <w:tc>
          <w:tcPr>
            <w:tcW w:w="1095" w:type="dxa"/>
            <w:vAlign w:val="center"/>
          </w:tcPr>
          <w:p>
            <w:pPr>
              <w:pStyle w:val="13"/>
            </w:pPr>
            <w:r>
              <w:t>1.41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1.41</w:t>
            </w:r>
          </w:p>
        </w:tc>
        <w:tc>
          <w:tcPr>
            <w:tcW w:w="1095" w:type="dxa"/>
            <w:vAlign w:val="center"/>
          </w:tcPr>
          <w:p>
            <w:pPr>
              <w:pStyle w:val="13"/>
            </w:pPr>
            <w:r>
              <w:t>1.41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0.80</w:t>
            </w: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0.80</w:t>
            </w: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0.80</w:t>
            </w: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1.19</w:t>
            </w:r>
          </w:p>
        </w:tc>
        <w:tc>
          <w:tcPr>
            <w:tcW w:w="1095" w:type="dxa"/>
            <w:vAlign w:val="center"/>
          </w:tcPr>
          <w:p>
            <w:pPr>
              <w:pStyle w:val="13"/>
            </w:pPr>
            <w:r>
              <w:t>1.19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1.19</w:t>
            </w:r>
          </w:p>
        </w:tc>
        <w:tc>
          <w:tcPr>
            <w:tcW w:w="1095" w:type="dxa"/>
            <w:vAlign w:val="center"/>
          </w:tcPr>
          <w:p>
            <w:pPr>
              <w:pStyle w:val="13"/>
            </w:pPr>
            <w:r>
              <w:t>1.19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1.19</w:t>
            </w:r>
          </w:p>
        </w:tc>
        <w:tc>
          <w:tcPr>
            <w:tcW w:w="1095" w:type="dxa"/>
            <w:vAlign w:val="center"/>
          </w:tcPr>
          <w:p>
            <w:pPr>
              <w:pStyle w:val="13"/>
            </w:pPr>
            <w:r>
              <w:t>1.19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rPr>
                <w:sz w:val="21"/>
                <w:szCs w:val="21"/>
              </w:rPr>
              <w:t>712中国共产主义青年团隆尧县委员会</w:t>
            </w:r>
          </w:p>
        </w:tc>
        <w:tc>
          <w:tcPr>
            <w:tcW w:w="1232" w:type="dxa"/>
            <w:tcBorders>
              <w:top w:val="single" w:color="FFFFFF" w:sz="6" w:space="0"/>
              <w:left w:val="single" w:color="FFFFFF" w:sz="6" w:space="0"/>
              <w:right w:val="single" w:color="FFFFFF" w:sz="6" w:space="0"/>
            </w:tcBorders>
            <w:vAlign w:val="center"/>
          </w:tcPr>
          <w:p>
            <w:pPr>
              <w:pStyle w:val="10"/>
            </w:pPr>
            <w:r>
              <w:rPr>
                <w:sz w:val="20"/>
                <w:szCs w:val="20"/>
              </w:rPr>
              <w:t>预算年度：</w:t>
            </w:r>
            <w:r>
              <w:rPr>
                <w:rFonts w:hint="eastAsia"/>
                <w:sz w:val="20"/>
                <w:szCs w:val="20"/>
                <w:lang w:val="en-US" w:eastAsia="zh-CN"/>
              </w:rPr>
              <w:t xml:space="preserve"> </w:t>
            </w:r>
            <w:r>
              <w:rPr>
                <w:sz w:val="20"/>
                <w:szCs w:val="20"/>
              </w:rPr>
              <w:t>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24.87</w:t>
            </w:r>
          </w:p>
        </w:tc>
        <w:tc>
          <w:tcPr>
            <w:tcW w:w="1232" w:type="dxa"/>
            <w:vAlign w:val="center"/>
          </w:tcPr>
          <w:p>
            <w:pPr>
              <w:pStyle w:val="14"/>
            </w:pPr>
            <w:r>
              <w:t>一、一般公共服务支出</w:t>
            </w:r>
          </w:p>
        </w:tc>
        <w:tc>
          <w:tcPr>
            <w:tcW w:w="1232" w:type="dxa"/>
            <w:vAlign w:val="center"/>
          </w:tcPr>
          <w:p>
            <w:pPr>
              <w:pStyle w:val="13"/>
            </w:pPr>
            <w:r>
              <w:t>21.46</w:t>
            </w:r>
          </w:p>
        </w:tc>
        <w:tc>
          <w:tcPr>
            <w:tcW w:w="1232" w:type="dxa"/>
            <w:vAlign w:val="center"/>
          </w:tcPr>
          <w:p>
            <w:pPr>
              <w:pStyle w:val="13"/>
            </w:pPr>
            <w:r>
              <w:t>21.46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1.41</w:t>
            </w:r>
          </w:p>
        </w:tc>
        <w:tc>
          <w:tcPr>
            <w:tcW w:w="1232" w:type="dxa"/>
            <w:vAlign w:val="center"/>
          </w:tcPr>
          <w:p>
            <w:pPr>
              <w:pStyle w:val="13"/>
            </w:pPr>
            <w:r>
              <w:t>1.41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0.80</w:t>
            </w:r>
          </w:p>
        </w:tc>
        <w:tc>
          <w:tcPr>
            <w:tcW w:w="1232" w:type="dxa"/>
            <w:vAlign w:val="center"/>
          </w:tcPr>
          <w:p>
            <w:pPr>
              <w:pStyle w:val="13"/>
            </w:pPr>
            <w:r>
              <w:t>0.80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1.19</w:t>
            </w:r>
          </w:p>
        </w:tc>
        <w:tc>
          <w:tcPr>
            <w:tcW w:w="1232" w:type="dxa"/>
            <w:vAlign w:val="center"/>
          </w:tcPr>
          <w:p>
            <w:pPr>
              <w:pStyle w:val="13"/>
            </w:pPr>
            <w:r>
              <w:t>1.19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24.87</w:t>
            </w:r>
          </w:p>
        </w:tc>
        <w:tc>
          <w:tcPr>
            <w:tcW w:w="1232" w:type="dxa"/>
            <w:vAlign w:val="center"/>
          </w:tcPr>
          <w:p>
            <w:pPr>
              <w:pStyle w:val="16"/>
            </w:pPr>
            <w:r>
              <w:t>本年支出合计</w:t>
            </w:r>
          </w:p>
        </w:tc>
        <w:tc>
          <w:tcPr>
            <w:tcW w:w="1232" w:type="dxa"/>
            <w:vAlign w:val="center"/>
          </w:tcPr>
          <w:p>
            <w:pPr>
              <w:pStyle w:val="17"/>
            </w:pPr>
            <w:r>
              <w:t>24.87</w:t>
            </w:r>
          </w:p>
        </w:tc>
        <w:tc>
          <w:tcPr>
            <w:tcW w:w="1232" w:type="dxa"/>
            <w:vAlign w:val="center"/>
          </w:tcPr>
          <w:p>
            <w:pPr>
              <w:pStyle w:val="17"/>
            </w:pPr>
            <w:r>
              <w:t>24.87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24.87</w:t>
            </w:r>
          </w:p>
        </w:tc>
        <w:tc>
          <w:tcPr>
            <w:tcW w:w="1232" w:type="dxa"/>
            <w:vAlign w:val="center"/>
          </w:tcPr>
          <w:p>
            <w:pPr>
              <w:pStyle w:val="16"/>
            </w:pPr>
            <w:r>
              <w:t>支出总计</w:t>
            </w:r>
          </w:p>
        </w:tc>
        <w:tc>
          <w:tcPr>
            <w:tcW w:w="1232" w:type="dxa"/>
            <w:vAlign w:val="center"/>
          </w:tcPr>
          <w:p>
            <w:pPr>
              <w:pStyle w:val="17"/>
            </w:pPr>
            <w:r>
              <w:t>24.87</w:t>
            </w:r>
          </w:p>
        </w:tc>
        <w:tc>
          <w:tcPr>
            <w:tcW w:w="1232" w:type="dxa"/>
            <w:vAlign w:val="center"/>
          </w:tcPr>
          <w:p>
            <w:pPr>
              <w:pStyle w:val="17"/>
            </w:pPr>
            <w:r>
              <w:t>24.87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712中国共产主义青年团隆尧县委员会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24.87</w:t>
            </w:r>
          </w:p>
        </w:tc>
        <w:tc>
          <w:tcPr>
            <w:tcW w:w="1643" w:type="dxa"/>
            <w:vAlign w:val="center"/>
          </w:tcPr>
          <w:p>
            <w:pPr>
              <w:pStyle w:val="17"/>
            </w:pPr>
            <w:r>
              <w:t>16.92</w:t>
            </w:r>
          </w:p>
        </w:tc>
        <w:tc>
          <w:tcPr>
            <w:tcW w:w="1643" w:type="dxa"/>
            <w:vAlign w:val="center"/>
          </w:tcPr>
          <w:p>
            <w:pPr>
              <w:pStyle w:val="17"/>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21.46</w:t>
            </w:r>
          </w:p>
        </w:tc>
        <w:tc>
          <w:tcPr>
            <w:tcW w:w="1643" w:type="dxa"/>
            <w:vAlign w:val="center"/>
          </w:tcPr>
          <w:p>
            <w:pPr>
              <w:pStyle w:val="13"/>
            </w:pPr>
            <w:r>
              <w:t>13.51</w:t>
            </w:r>
          </w:p>
        </w:tc>
        <w:tc>
          <w:tcPr>
            <w:tcW w:w="1643" w:type="dxa"/>
            <w:vAlign w:val="center"/>
          </w:tcPr>
          <w:p>
            <w:pPr>
              <w:pStyle w:val="13"/>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20129</w:t>
            </w:r>
          </w:p>
        </w:tc>
        <w:tc>
          <w:tcPr>
            <w:tcW w:w="1643" w:type="dxa"/>
            <w:vAlign w:val="center"/>
          </w:tcPr>
          <w:p>
            <w:pPr>
              <w:pStyle w:val="14"/>
            </w:pPr>
            <w:r>
              <w:t>群众团体事务</w:t>
            </w:r>
          </w:p>
        </w:tc>
        <w:tc>
          <w:tcPr>
            <w:tcW w:w="1643" w:type="dxa"/>
            <w:vAlign w:val="center"/>
          </w:tcPr>
          <w:p>
            <w:pPr>
              <w:pStyle w:val="13"/>
            </w:pPr>
            <w:r>
              <w:t>21.46</w:t>
            </w:r>
          </w:p>
        </w:tc>
        <w:tc>
          <w:tcPr>
            <w:tcW w:w="1643" w:type="dxa"/>
            <w:vAlign w:val="center"/>
          </w:tcPr>
          <w:p>
            <w:pPr>
              <w:pStyle w:val="13"/>
            </w:pPr>
            <w:r>
              <w:t>13.51</w:t>
            </w:r>
          </w:p>
        </w:tc>
        <w:tc>
          <w:tcPr>
            <w:tcW w:w="1643" w:type="dxa"/>
            <w:vAlign w:val="center"/>
          </w:tcPr>
          <w:p>
            <w:pPr>
              <w:pStyle w:val="13"/>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2012901</w:t>
            </w:r>
          </w:p>
        </w:tc>
        <w:tc>
          <w:tcPr>
            <w:tcW w:w="1643" w:type="dxa"/>
            <w:vAlign w:val="center"/>
          </w:tcPr>
          <w:p>
            <w:pPr>
              <w:pStyle w:val="14"/>
            </w:pPr>
            <w:r>
              <w:t>行政运行</w:t>
            </w:r>
          </w:p>
        </w:tc>
        <w:tc>
          <w:tcPr>
            <w:tcW w:w="1643" w:type="dxa"/>
            <w:vAlign w:val="center"/>
          </w:tcPr>
          <w:p>
            <w:pPr>
              <w:pStyle w:val="13"/>
            </w:pPr>
            <w:r>
              <w:t>21.46</w:t>
            </w:r>
          </w:p>
        </w:tc>
        <w:tc>
          <w:tcPr>
            <w:tcW w:w="1643" w:type="dxa"/>
            <w:vAlign w:val="center"/>
          </w:tcPr>
          <w:p>
            <w:pPr>
              <w:pStyle w:val="13"/>
            </w:pPr>
            <w:r>
              <w:t>13.51</w:t>
            </w:r>
          </w:p>
        </w:tc>
        <w:tc>
          <w:tcPr>
            <w:tcW w:w="1643" w:type="dxa"/>
            <w:vAlign w:val="center"/>
          </w:tcPr>
          <w:p>
            <w:pPr>
              <w:pStyle w:val="13"/>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1.41</w:t>
            </w:r>
          </w:p>
        </w:tc>
        <w:tc>
          <w:tcPr>
            <w:tcW w:w="1643" w:type="dxa"/>
            <w:vAlign w:val="center"/>
          </w:tcPr>
          <w:p>
            <w:pPr>
              <w:pStyle w:val="13"/>
            </w:pPr>
            <w:r>
              <w:t>1.41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1.41</w:t>
            </w:r>
          </w:p>
        </w:tc>
        <w:tc>
          <w:tcPr>
            <w:tcW w:w="1643" w:type="dxa"/>
            <w:vAlign w:val="center"/>
          </w:tcPr>
          <w:p>
            <w:pPr>
              <w:pStyle w:val="13"/>
            </w:pPr>
            <w:r>
              <w:t>1.41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1.41</w:t>
            </w:r>
          </w:p>
        </w:tc>
        <w:tc>
          <w:tcPr>
            <w:tcW w:w="1643" w:type="dxa"/>
            <w:vAlign w:val="center"/>
          </w:tcPr>
          <w:p>
            <w:pPr>
              <w:pStyle w:val="13"/>
            </w:pPr>
            <w:r>
              <w:t>1.41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0.80</w:t>
            </w:r>
          </w:p>
        </w:tc>
        <w:tc>
          <w:tcPr>
            <w:tcW w:w="1643" w:type="dxa"/>
            <w:vAlign w:val="center"/>
          </w:tcPr>
          <w:p>
            <w:pPr>
              <w:pStyle w:val="13"/>
            </w:pPr>
            <w:r>
              <w:t>0.80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0.80</w:t>
            </w:r>
          </w:p>
        </w:tc>
        <w:tc>
          <w:tcPr>
            <w:tcW w:w="1643" w:type="dxa"/>
            <w:vAlign w:val="center"/>
          </w:tcPr>
          <w:p>
            <w:pPr>
              <w:pStyle w:val="13"/>
            </w:pPr>
            <w:r>
              <w:t>0.80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0.80</w:t>
            </w:r>
          </w:p>
        </w:tc>
        <w:tc>
          <w:tcPr>
            <w:tcW w:w="1643" w:type="dxa"/>
            <w:vAlign w:val="center"/>
          </w:tcPr>
          <w:p>
            <w:pPr>
              <w:pStyle w:val="13"/>
            </w:pPr>
            <w:r>
              <w:t>0.80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1.19</w:t>
            </w:r>
          </w:p>
        </w:tc>
        <w:tc>
          <w:tcPr>
            <w:tcW w:w="1643" w:type="dxa"/>
            <w:vAlign w:val="center"/>
          </w:tcPr>
          <w:p>
            <w:pPr>
              <w:pStyle w:val="13"/>
            </w:pPr>
            <w:r>
              <w:t>1.19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1.19</w:t>
            </w:r>
          </w:p>
        </w:tc>
        <w:tc>
          <w:tcPr>
            <w:tcW w:w="1643" w:type="dxa"/>
            <w:vAlign w:val="center"/>
          </w:tcPr>
          <w:p>
            <w:pPr>
              <w:pStyle w:val="13"/>
            </w:pPr>
            <w:r>
              <w:t>1.19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1.19</w:t>
            </w:r>
          </w:p>
        </w:tc>
        <w:tc>
          <w:tcPr>
            <w:tcW w:w="1643" w:type="dxa"/>
            <w:vAlign w:val="center"/>
          </w:tcPr>
          <w:p>
            <w:pPr>
              <w:pStyle w:val="13"/>
            </w:pPr>
            <w:r>
              <w:t>1.19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712中国共产主义青年团隆尧县委员会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16.92</w:t>
            </w:r>
          </w:p>
        </w:tc>
        <w:tc>
          <w:tcPr>
            <w:tcW w:w="1643" w:type="dxa"/>
            <w:vAlign w:val="center"/>
          </w:tcPr>
          <w:p>
            <w:pPr>
              <w:pStyle w:val="17"/>
            </w:pPr>
            <w:r>
              <w:t>14.84</w:t>
            </w:r>
          </w:p>
        </w:tc>
        <w:tc>
          <w:tcPr>
            <w:tcW w:w="1643" w:type="dxa"/>
            <w:vAlign w:val="center"/>
          </w:tcPr>
          <w:p>
            <w:pPr>
              <w:pStyle w:val="17"/>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14.84</w:t>
            </w:r>
          </w:p>
        </w:tc>
        <w:tc>
          <w:tcPr>
            <w:tcW w:w="1643" w:type="dxa"/>
            <w:vAlign w:val="center"/>
          </w:tcPr>
          <w:p>
            <w:pPr>
              <w:pStyle w:val="13"/>
            </w:pPr>
            <w:r>
              <w:t>14.84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5.33</w:t>
            </w:r>
          </w:p>
        </w:tc>
        <w:tc>
          <w:tcPr>
            <w:tcW w:w="1643" w:type="dxa"/>
            <w:vAlign w:val="center"/>
          </w:tcPr>
          <w:p>
            <w:pPr>
              <w:pStyle w:val="13"/>
            </w:pPr>
            <w:r>
              <w:t>5.33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5.54</w:t>
            </w:r>
          </w:p>
        </w:tc>
        <w:tc>
          <w:tcPr>
            <w:tcW w:w="1643" w:type="dxa"/>
            <w:vAlign w:val="center"/>
          </w:tcPr>
          <w:p>
            <w:pPr>
              <w:pStyle w:val="13"/>
            </w:pPr>
            <w:r>
              <w:t>5.54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0.44</w:t>
            </w:r>
          </w:p>
        </w:tc>
        <w:tc>
          <w:tcPr>
            <w:tcW w:w="1643" w:type="dxa"/>
            <w:vAlign w:val="center"/>
          </w:tcPr>
          <w:p>
            <w:pPr>
              <w:pStyle w:val="13"/>
            </w:pPr>
            <w:r>
              <w:t>0.44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0.07</w:t>
            </w:r>
          </w:p>
        </w:tc>
        <w:tc>
          <w:tcPr>
            <w:tcW w:w="1643" w:type="dxa"/>
            <w:vAlign w:val="center"/>
          </w:tcPr>
          <w:p>
            <w:pPr>
              <w:pStyle w:val="13"/>
            </w:pPr>
            <w:r>
              <w:t>0.07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1.41</w:t>
            </w:r>
          </w:p>
        </w:tc>
        <w:tc>
          <w:tcPr>
            <w:tcW w:w="1643" w:type="dxa"/>
            <w:vAlign w:val="center"/>
          </w:tcPr>
          <w:p>
            <w:pPr>
              <w:pStyle w:val="13"/>
            </w:pPr>
            <w:r>
              <w:t>1.41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0.80</w:t>
            </w:r>
          </w:p>
        </w:tc>
        <w:tc>
          <w:tcPr>
            <w:tcW w:w="1643" w:type="dxa"/>
            <w:vAlign w:val="center"/>
          </w:tcPr>
          <w:p>
            <w:pPr>
              <w:pStyle w:val="13"/>
            </w:pPr>
            <w:r>
              <w:t>0.80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0.04</w:t>
            </w:r>
          </w:p>
        </w:tc>
        <w:tc>
          <w:tcPr>
            <w:tcW w:w="1643" w:type="dxa"/>
            <w:vAlign w:val="center"/>
          </w:tcPr>
          <w:p>
            <w:pPr>
              <w:pStyle w:val="13"/>
            </w:pPr>
            <w:r>
              <w:t>0.04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1.19</w:t>
            </w:r>
          </w:p>
        </w:tc>
        <w:tc>
          <w:tcPr>
            <w:tcW w:w="1643" w:type="dxa"/>
            <w:vAlign w:val="center"/>
          </w:tcPr>
          <w:p>
            <w:pPr>
              <w:pStyle w:val="13"/>
            </w:pPr>
            <w:r>
              <w:t>1.19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2.08</w:t>
            </w:r>
          </w:p>
        </w:tc>
        <w:tc>
          <w:tcPr>
            <w:tcW w:w="1643" w:type="dxa"/>
            <w:vAlign w:val="center"/>
          </w:tcPr>
          <w:p>
            <w:pPr>
              <w:pStyle w:val="13"/>
            </w:pPr>
          </w:p>
        </w:tc>
        <w:tc>
          <w:tcPr>
            <w:tcW w:w="1643" w:type="dxa"/>
            <w:vAlign w:val="center"/>
          </w:tcPr>
          <w:p>
            <w:pPr>
              <w:pStyle w:val="13"/>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0.18</w:t>
            </w:r>
          </w:p>
        </w:tc>
        <w:tc>
          <w:tcPr>
            <w:tcW w:w="1643" w:type="dxa"/>
            <w:vAlign w:val="center"/>
          </w:tcPr>
          <w:p>
            <w:pPr>
              <w:pStyle w:val="13"/>
            </w:pPr>
          </w:p>
        </w:tc>
        <w:tc>
          <w:tcPr>
            <w:tcW w:w="1643"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0.04</w:t>
            </w:r>
          </w:p>
        </w:tc>
        <w:tc>
          <w:tcPr>
            <w:tcW w:w="1643" w:type="dxa"/>
            <w:vAlign w:val="center"/>
          </w:tcPr>
          <w:p>
            <w:pPr>
              <w:pStyle w:val="13"/>
            </w:pPr>
          </w:p>
        </w:tc>
        <w:tc>
          <w:tcPr>
            <w:tcW w:w="1643"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0.04</w:t>
            </w:r>
          </w:p>
        </w:tc>
        <w:tc>
          <w:tcPr>
            <w:tcW w:w="1643" w:type="dxa"/>
            <w:vAlign w:val="center"/>
          </w:tcPr>
          <w:p>
            <w:pPr>
              <w:pStyle w:val="13"/>
            </w:pPr>
          </w:p>
        </w:tc>
        <w:tc>
          <w:tcPr>
            <w:tcW w:w="1643"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1.08</w:t>
            </w:r>
          </w:p>
        </w:tc>
        <w:tc>
          <w:tcPr>
            <w:tcW w:w="1643" w:type="dxa"/>
            <w:vAlign w:val="center"/>
          </w:tcPr>
          <w:p>
            <w:pPr>
              <w:pStyle w:val="13"/>
            </w:pPr>
          </w:p>
        </w:tc>
        <w:tc>
          <w:tcPr>
            <w:tcW w:w="1643" w:type="dxa"/>
            <w:vAlign w:val="center"/>
          </w:tcPr>
          <w:p>
            <w:pPr>
              <w:pStyle w:val="13"/>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0.04</w:t>
            </w:r>
          </w:p>
        </w:tc>
        <w:tc>
          <w:tcPr>
            <w:tcW w:w="1643" w:type="dxa"/>
            <w:vAlign w:val="center"/>
          </w:tcPr>
          <w:p>
            <w:pPr>
              <w:pStyle w:val="13"/>
            </w:pPr>
          </w:p>
        </w:tc>
        <w:tc>
          <w:tcPr>
            <w:tcW w:w="1643" w:type="dxa"/>
            <w:vAlign w:val="center"/>
          </w:tcPr>
          <w:p>
            <w:pPr>
              <w:pStyle w:val="13"/>
            </w:pPr>
            <w:r>
              <w:t>0.04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712中国共产主义青年团隆尧县委员会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712中国共产主义青年团隆尧县委员会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712中国共产主义青年团隆尧县委员会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0.00</w:t>
            </w:r>
          </w:p>
        </w:tc>
        <w:tc>
          <w:tcPr>
            <w:tcW w:w="1643" w:type="dxa"/>
            <w:vAlign w:val="center"/>
          </w:tcPr>
          <w:p>
            <w:pPr>
              <w:pStyle w:val="17"/>
              <w:rPr>
                <w:rFonts w:hint="default" w:eastAsia="方正书宋_GBK"/>
                <w:lang w:val="en-US" w:eastAsia="zh-CN"/>
              </w:rPr>
            </w:pPr>
            <w:r>
              <w:rPr>
                <w:rFonts w:hint="eastAsia"/>
                <w:lang w:val="en-US" w:eastAsia="zh-CN"/>
              </w:rPr>
              <w:t>0.00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eastAsia" w:eastAsia="方正书宋_GBK"/>
                <w:lang w:val="en-US" w:eastAsia="zh-CN"/>
              </w:rPr>
            </w:pPr>
            <w:r>
              <w:rPr>
                <w:rFonts w:hint="eastAsia"/>
                <w:lang w:val="en-US" w:eastAsia="zh-CN"/>
              </w:rPr>
              <w:t>0</w:t>
            </w:r>
          </w:p>
        </w:tc>
        <w:tc>
          <w:tcPr>
            <w:tcW w:w="1643" w:type="dxa"/>
            <w:vAlign w:val="center"/>
          </w:tcPr>
          <w:p>
            <w:pPr>
              <w:pStyle w:val="13"/>
              <w:rPr>
                <w:rFonts w:hint="eastAsia" w:eastAsia="方正书宋_GBK"/>
                <w:lang w:val="en-US" w:eastAsia="zh-CN"/>
              </w:rPr>
            </w:pPr>
            <w:r>
              <w:rPr>
                <w:rFonts w:hint="eastAsia"/>
                <w:lang w:val="en-US" w:eastAsia="zh-CN"/>
              </w:rPr>
              <w:t>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rPr>
                <w:rFonts w:hint="eastAsia" w:eastAsia="方正书宋_GBK"/>
                <w:lang w:val="en-US" w:eastAsia="zh-CN"/>
              </w:rPr>
            </w:pPr>
            <w:r>
              <w:rPr>
                <w:rFonts w:hint="eastAsia"/>
                <w:lang w:val="en-US" w:eastAsia="zh-CN"/>
              </w:rPr>
              <w:t>0</w:t>
            </w:r>
          </w:p>
        </w:tc>
        <w:tc>
          <w:tcPr>
            <w:tcW w:w="1643" w:type="dxa"/>
            <w:vAlign w:val="center"/>
          </w:tcPr>
          <w:p>
            <w:pPr>
              <w:pStyle w:val="13"/>
              <w:rPr>
                <w:rFonts w:hint="eastAsia" w:eastAsia="方正书宋_GBK"/>
                <w:lang w:val="en-US" w:eastAsia="zh-CN"/>
              </w:rPr>
            </w:pPr>
            <w:r>
              <w:rPr>
                <w:rFonts w:hint="eastAsia"/>
                <w:lang w:val="en-US" w:eastAsia="zh-CN"/>
              </w:rPr>
              <w:t>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eastAsia" w:eastAsia="方正书宋_GBK"/>
                <w:lang w:val="en-US" w:eastAsia="zh-CN"/>
              </w:rPr>
            </w:pPr>
            <w:r>
              <w:rPr>
                <w:rFonts w:hint="eastAsia"/>
                <w:lang w:val="en-US" w:eastAsia="zh-CN"/>
              </w:rPr>
              <w:t>0</w:t>
            </w:r>
          </w:p>
        </w:tc>
        <w:tc>
          <w:tcPr>
            <w:tcW w:w="1643" w:type="dxa"/>
            <w:vAlign w:val="center"/>
          </w:tcPr>
          <w:p>
            <w:pPr>
              <w:pStyle w:val="13"/>
              <w:rPr>
                <w:rFonts w:hint="eastAsia" w:eastAsia="方正书宋_GBK"/>
                <w:lang w:val="en-US" w:eastAsia="zh-CN"/>
              </w:rPr>
            </w:pPr>
            <w:r>
              <w:rPr>
                <w:rFonts w:hint="eastAsia"/>
                <w:lang w:val="en-US" w:eastAsia="zh-CN"/>
              </w:rPr>
              <w:t>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rPr>
                <w:rFonts w:hint="eastAsia" w:eastAsia="方正书宋_GBK"/>
                <w:lang w:val="en-US" w:eastAsia="zh-CN"/>
              </w:rPr>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rPr>
                <w:rFonts w:hint="eastAsia" w:eastAsia="方正书宋_GBK"/>
                <w:lang w:val="en-US" w:eastAsia="zh-CN"/>
              </w:rPr>
            </w:pPr>
            <w:r>
              <w:rPr>
                <w:rFonts w:hint="eastAsia"/>
                <w:lang w:val="en-US" w:eastAsia="zh-CN"/>
              </w:rPr>
              <w:t>0</w:t>
            </w:r>
          </w:p>
        </w:tc>
        <w:tc>
          <w:tcPr>
            <w:tcW w:w="1643" w:type="dxa"/>
            <w:vAlign w:val="center"/>
          </w:tcPr>
          <w:p>
            <w:pPr>
              <w:pStyle w:val="13"/>
              <w:rPr>
                <w:rFonts w:hint="eastAsia" w:eastAsia="方正书宋_GBK"/>
                <w:lang w:val="en-US" w:eastAsia="zh-CN"/>
              </w:rPr>
            </w:pPr>
            <w:r>
              <w:rPr>
                <w:rFonts w:hint="eastAsia"/>
                <w:lang w:val="en-US" w:eastAsia="zh-CN"/>
              </w:rPr>
              <w:t>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rPr>
          <w:rFonts w:ascii="方正书宋_GBK" w:hAnsi="方正书宋_GBK" w:eastAsia="方正书宋_GBK" w:cs="方正书宋_GBK"/>
          <w:color w:val="FFFFFF"/>
          <w:sz w:val="21"/>
        </w:rPr>
      </w:pPr>
    </w:p>
    <w:p>
      <w:pPr>
        <w:spacing w:before="0" w:after="0" w:line="240" w:lineRule="auto"/>
        <w:ind w:firstLine="0"/>
        <w:jc w:val="center"/>
        <w:outlineLvl w:val="0"/>
        <w:rPr>
          <w:rFonts w:ascii="方正书宋_GBK" w:hAnsi="方正书宋_GBK" w:eastAsia="方正书宋_GBK" w:cs="方正书宋_GBK"/>
          <w:color w:val="FFFFFF"/>
          <w:sz w:val="21"/>
        </w:rPr>
      </w:pPr>
    </w:p>
    <w:p>
      <w:pPr>
        <w:spacing w:before="0" w:after="0" w:line="240" w:lineRule="auto"/>
        <w:ind w:firstLine="0"/>
        <w:jc w:val="center"/>
        <w:outlineLvl w:val="0"/>
        <w:rPr>
          <w:rFonts w:ascii="方正书宋_GBK" w:hAnsi="方正书宋_GBK" w:eastAsia="方正书宋_GBK" w:cs="方正书宋_GBK"/>
          <w:color w:val="FFFFFF"/>
          <w:sz w:val="21"/>
        </w:rPr>
      </w:pPr>
    </w:p>
    <w:p>
      <w:pPr>
        <w:spacing w:before="0" w:after="0" w:line="240" w:lineRule="auto"/>
        <w:ind w:firstLine="0"/>
        <w:jc w:val="center"/>
        <w:outlineLvl w:val="0"/>
        <w:rPr>
          <w:rFonts w:ascii="方正书宋_GBK" w:hAnsi="方正书宋_GBK" w:eastAsia="方正书宋_GBK" w:cs="方正书宋_GBK"/>
          <w:color w:val="FFFFFF"/>
          <w:sz w:val="21"/>
        </w:rPr>
      </w:pPr>
    </w:p>
    <w:p>
      <w:pPr>
        <w:spacing w:before="0" w:after="0" w:line="240" w:lineRule="auto"/>
        <w:ind w:firstLine="0"/>
        <w:jc w:val="center"/>
        <w:outlineLvl w:val="0"/>
        <w:rPr>
          <w:rFonts w:ascii="方正书宋_GBK" w:hAnsi="方正书宋_GBK" w:eastAsia="方正书宋_GBK" w:cs="方正书宋_GBK"/>
          <w:color w:val="FFFFFF"/>
          <w:sz w:val="21"/>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bookmarkStart w:id="18" w:name="_GoBack"/>
      <w:bookmarkEnd w:id="18"/>
      <w:r>
        <w:rPr>
          <w:rFonts w:ascii="方正小标宋_GBK" w:hAnsi="方正小标宋_GBK" w:eastAsia="方正小标宋_GBK" w:cs="方正小标宋_GBK"/>
          <w:color w:val="000000"/>
          <w:sz w:val="44"/>
        </w:rPr>
        <w:t>中国共产主义青年团隆尧县委员会2022年部门预算信息公开情况说明</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按照《预算法》、《地方预决算公开操作规程》和《关于进一步推进预算公开工作的实施意见》规定，现将中国共产主义青年团隆尧县委员会2022年部门预算公开如下：</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rPr>
          <w:rFonts w:hint="eastAsia" w:ascii="楷体" w:hAnsi="楷体" w:eastAsia="楷体" w:cs="楷体"/>
        </w:rPr>
      </w:pPr>
      <w:r>
        <w:rPr>
          <w:rFonts w:hint="eastAsia" w:ascii="楷体" w:hAnsi="楷体" w:eastAsia="楷体" w:cs="楷体"/>
          <w:b/>
          <w:color w:val="000000"/>
          <w:sz w:val="32"/>
        </w:rPr>
        <w:t>部门职责：</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pP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pPr>
      <w:r>
        <w:t>（二）参与本县的有关青少年事业的法律、法规的实施和有关地方性法规的制定及实施，协助县委、县政府处理、协调与青少年利益相关的事务；</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pPr>
      <w:r>
        <w:t>（三）调查青少年思想动态和青年工作状况，研究青少年运动，青少年工作理论和思想教育问题，提出相应对策，开展各种活动；协助政府教育部门做好中、小学学生的教育管理工作，维护学校和社会安定团结；</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pPr>
      <w:r>
        <w:t>（四）承担县委、县政府委托的部分经济工作职能，在经济建设中组织和带领青年发挥生力军和突击队作用；</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pPr>
      <w:r>
        <w:t>（五）会同有关部门对全县青少年外事工作实行归口管理和提供服务，参与、实行隆尧县的青少年政策并落实有关工作；</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pPr>
      <w:r>
        <w:t>（六）参与制定有关本县的青少年统战工作的政策，做好青年统战对象的团结教育工作，维护和促进祖国统一和民族团结；</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pPr>
      <w:r>
        <w:t>（七）承担县委、县政府和团市委交办的有关事项。</w:t>
      </w:r>
    </w:p>
    <w:p>
      <w:pPr>
        <w:pStyle w:val="19"/>
      </w:pPr>
    </w:p>
    <w:p>
      <w:pPr>
        <w:spacing w:before="0" w:after="0" w:line="240" w:lineRule="auto"/>
        <w:ind w:firstLine="640"/>
        <w:jc w:val="left"/>
        <w:outlineLvl w:val="9"/>
        <w:rPr>
          <w:rFonts w:hint="eastAsia" w:ascii="楷体" w:hAnsi="楷体" w:eastAsia="楷体" w:cs="楷体"/>
        </w:rPr>
      </w:pPr>
      <w:r>
        <w:rPr>
          <w:rFonts w:hint="eastAsia" w:ascii="楷体" w:hAnsi="楷体" w:eastAsia="楷体" w:cs="楷体"/>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中国共产主义青年团隆尧县委员会本级</w:t>
            </w:r>
          </w:p>
        </w:tc>
        <w:tc>
          <w:tcPr>
            <w:tcW w:w="2464" w:type="dxa"/>
            <w:vAlign w:val="center"/>
          </w:tcPr>
          <w:p>
            <w:pPr>
              <w:pStyle w:val="15"/>
              <w:rPr>
                <w:rFonts w:hint="eastAsia" w:eastAsia="方正书宋_GBK"/>
                <w:lang w:eastAsia="zh-CN"/>
              </w:rPr>
            </w:pPr>
            <w:r>
              <w:rPr>
                <w:rFonts w:hint="eastAsia"/>
                <w:lang w:eastAsia="zh-CN"/>
              </w:rPr>
              <w:t>社会团体</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r>
        <w:rPr>
          <w:rFonts w:ascii="黑体" w:hAnsi="黑体" w:eastAsia="黑体" w:cs="黑体"/>
          <w:color w:val="000000"/>
          <w:sz w:val="32"/>
        </w:rPr>
        <w:t>二、部门预算安排的总体情况</w:t>
      </w:r>
      <w:bookmarkEnd w:id="10"/>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部门预算的编制实行综合预算管理，即全部收入和支出都反映在预算中。中国共产主义青年团隆尧县委员会机关及所属事业单位的收支包含在部门预算中。</w:t>
      </w:r>
    </w:p>
    <w:p>
      <w:pPr>
        <w:pStyle w:val="20"/>
        <w:keepNext w:val="0"/>
        <w:keepLines w:val="0"/>
        <w:pageBreakBefore w:val="0"/>
        <w:widowControl/>
        <w:kinsoku/>
        <w:wordWrap/>
        <w:overflowPunct/>
        <w:topLinePunct w:val="0"/>
        <w:autoSpaceDE/>
        <w:autoSpaceDN/>
        <w:bidi w:val="0"/>
        <w:adjustRightInd/>
        <w:snapToGrid/>
        <w:spacing w:line="600" w:lineRule="exact"/>
        <w:textAlignment w:val="auto"/>
      </w:pPr>
      <w:r>
        <w:t>1、收入说明</w:t>
      </w:r>
    </w:p>
    <w:p>
      <w:pPr>
        <w:pStyle w:val="20"/>
        <w:keepNext w:val="0"/>
        <w:keepLines w:val="0"/>
        <w:pageBreakBefore w:val="0"/>
        <w:widowControl/>
        <w:kinsoku/>
        <w:wordWrap/>
        <w:overflowPunct/>
        <w:topLinePunct w:val="0"/>
        <w:autoSpaceDE/>
        <w:autoSpaceDN/>
        <w:bidi w:val="0"/>
        <w:adjustRightInd/>
        <w:snapToGrid/>
        <w:spacing w:line="600" w:lineRule="exact"/>
        <w:textAlignment w:val="auto"/>
      </w:pPr>
      <w:r>
        <w:t>反映本部门当年全部收入。2022年预算收入24</w:t>
      </w:r>
      <w:r>
        <w:rPr>
          <w:rFonts w:hint="eastAsia"/>
          <w:lang w:val="en-US" w:eastAsia="zh-CN"/>
        </w:rPr>
        <w:t>.</w:t>
      </w:r>
      <w:r>
        <w:t>872</w:t>
      </w:r>
      <w:r>
        <w:rPr>
          <w:rFonts w:hint="eastAsia"/>
          <w:lang w:val="en-US" w:eastAsia="zh-CN"/>
        </w:rPr>
        <w:t>万</w:t>
      </w:r>
      <w:r>
        <w:t>元，其中：一般公共预算收入24</w:t>
      </w:r>
      <w:r>
        <w:rPr>
          <w:rFonts w:hint="eastAsia"/>
          <w:lang w:val="en-US" w:eastAsia="zh-CN"/>
        </w:rPr>
        <w:t>.</w:t>
      </w:r>
      <w:r>
        <w:t>872</w:t>
      </w:r>
      <w:r>
        <w:rPr>
          <w:rFonts w:hint="eastAsia"/>
          <w:lang w:val="en-US" w:eastAsia="zh-CN"/>
        </w:rPr>
        <w:t>万</w:t>
      </w:r>
      <w:r>
        <w:t>元，基金预算收入0</w:t>
      </w:r>
      <w:r>
        <w:rPr>
          <w:rFonts w:hint="eastAsia"/>
          <w:lang w:val="en-US" w:eastAsia="zh-CN"/>
        </w:rPr>
        <w:t>万</w:t>
      </w:r>
      <w:r>
        <w:t>元，财政专户核拨收入0</w:t>
      </w:r>
      <w:r>
        <w:rPr>
          <w:rFonts w:hint="eastAsia"/>
          <w:lang w:val="en-US" w:eastAsia="zh-CN"/>
        </w:rPr>
        <w:t>万</w:t>
      </w:r>
      <w:r>
        <w:t>元，其他来源收入（单位资金）0</w:t>
      </w:r>
      <w:r>
        <w:rPr>
          <w:rFonts w:hint="eastAsia"/>
          <w:lang w:val="en-US" w:eastAsia="zh-CN"/>
        </w:rPr>
        <w:t>万</w:t>
      </w:r>
      <w:r>
        <w:t>元，上年结转0</w:t>
      </w:r>
      <w:r>
        <w:rPr>
          <w:rFonts w:hint="eastAsia"/>
          <w:lang w:val="en-US" w:eastAsia="zh-CN"/>
        </w:rPr>
        <w:t>万</w:t>
      </w:r>
      <w:r>
        <w:t>元。</w:t>
      </w:r>
    </w:p>
    <w:p>
      <w:pPr>
        <w:pStyle w:val="20"/>
        <w:keepNext w:val="0"/>
        <w:keepLines w:val="0"/>
        <w:pageBreakBefore w:val="0"/>
        <w:widowControl/>
        <w:kinsoku/>
        <w:wordWrap/>
        <w:overflowPunct/>
        <w:topLinePunct w:val="0"/>
        <w:autoSpaceDE/>
        <w:autoSpaceDN/>
        <w:bidi w:val="0"/>
        <w:adjustRightInd/>
        <w:snapToGrid/>
        <w:spacing w:line="600" w:lineRule="exact"/>
        <w:textAlignment w:val="auto"/>
      </w:pPr>
      <w:r>
        <w:t>2、支出说明</w:t>
      </w:r>
    </w:p>
    <w:p>
      <w:pPr>
        <w:pStyle w:val="20"/>
        <w:keepNext w:val="0"/>
        <w:keepLines w:val="0"/>
        <w:pageBreakBefore w:val="0"/>
        <w:widowControl/>
        <w:kinsoku/>
        <w:wordWrap/>
        <w:overflowPunct/>
        <w:topLinePunct w:val="0"/>
        <w:autoSpaceDE/>
        <w:autoSpaceDN/>
        <w:bidi w:val="0"/>
        <w:adjustRightInd/>
        <w:snapToGrid/>
        <w:spacing w:line="600" w:lineRule="exact"/>
        <w:textAlignment w:val="auto"/>
      </w:pPr>
      <w:r>
        <w:t>收支预算总表支出栏、基本支出表、项目支出表按经济分类和支出功能分类科目编制，反映共青团隆尧县委年度部门预算中支出预算的总体情况。2022年支出预算24</w:t>
      </w:r>
      <w:r>
        <w:rPr>
          <w:rFonts w:hint="eastAsia"/>
          <w:lang w:val="en-US" w:eastAsia="zh-CN"/>
        </w:rPr>
        <w:t>.</w:t>
      </w:r>
      <w:r>
        <w:t>972</w:t>
      </w:r>
      <w:r>
        <w:rPr>
          <w:rFonts w:hint="eastAsia"/>
          <w:lang w:val="en-US" w:eastAsia="zh-CN"/>
        </w:rPr>
        <w:t>万</w:t>
      </w:r>
      <w:r>
        <w:t>元，其中基本支出16</w:t>
      </w:r>
      <w:r>
        <w:rPr>
          <w:rFonts w:hint="eastAsia"/>
          <w:lang w:val="en-US" w:eastAsia="zh-CN"/>
        </w:rPr>
        <w:t>.</w:t>
      </w:r>
      <w:r>
        <w:t>9220</w:t>
      </w:r>
      <w:r>
        <w:rPr>
          <w:rFonts w:hint="eastAsia"/>
          <w:lang w:val="en-US" w:eastAsia="zh-CN"/>
        </w:rPr>
        <w:t>万</w:t>
      </w:r>
      <w:r>
        <w:t>元，包括人员经费14</w:t>
      </w:r>
      <w:r>
        <w:rPr>
          <w:rFonts w:hint="eastAsia"/>
          <w:lang w:val="en-US" w:eastAsia="zh-CN"/>
        </w:rPr>
        <w:t>.</w:t>
      </w:r>
      <w:r>
        <w:t>842</w:t>
      </w:r>
      <w:r>
        <w:rPr>
          <w:rFonts w:hint="eastAsia"/>
          <w:lang w:val="en-US" w:eastAsia="zh-CN"/>
        </w:rPr>
        <w:t>万</w:t>
      </w:r>
      <w:r>
        <w:t>元和日常公用经费2</w:t>
      </w:r>
      <w:r>
        <w:rPr>
          <w:rFonts w:hint="eastAsia"/>
          <w:lang w:val="en-US" w:eastAsia="zh-CN"/>
        </w:rPr>
        <w:t>.</w:t>
      </w:r>
      <w:r>
        <w:t>08</w:t>
      </w:r>
      <w:r>
        <w:rPr>
          <w:rFonts w:hint="eastAsia"/>
          <w:lang w:val="en-US" w:eastAsia="zh-CN"/>
        </w:rPr>
        <w:t>万</w:t>
      </w:r>
      <w:r>
        <w:t>元；项目支出7</w:t>
      </w:r>
      <w:r>
        <w:rPr>
          <w:rFonts w:hint="eastAsia"/>
          <w:lang w:val="en-US" w:eastAsia="zh-CN"/>
        </w:rPr>
        <w:t>.</w:t>
      </w:r>
      <w:r>
        <w:t>95</w:t>
      </w:r>
      <w:r>
        <w:rPr>
          <w:rFonts w:hint="eastAsia"/>
          <w:lang w:val="en-US" w:eastAsia="zh-CN"/>
        </w:rPr>
        <w:t>万</w:t>
      </w:r>
      <w:r>
        <w:t>元主要为青年中心建设项目、青年马克思主义者培训工程项目和预防青少年违法犯罪项目。</w:t>
      </w:r>
    </w:p>
    <w:p>
      <w:pPr>
        <w:pStyle w:val="20"/>
        <w:keepNext w:val="0"/>
        <w:keepLines w:val="0"/>
        <w:pageBreakBefore w:val="0"/>
        <w:widowControl/>
        <w:kinsoku/>
        <w:wordWrap/>
        <w:overflowPunct/>
        <w:topLinePunct w:val="0"/>
        <w:autoSpaceDE/>
        <w:autoSpaceDN/>
        <w:bidi w:val="0"/>
        <w:adjustRightInd/>
        <w:snapToGrid/>
        <w:spacing w:line="600" w:lineRule="exact"/>
        <w:textAlignment w:val="auto"/>
      </w:pPr>
      <w:r>
        <w:t>3、比上年增减情况</w:t>
      </w:r>
    </w:p>
    <w:p>
      <w:pPr>
        <w:pStyle w:val="20"/>
        <w:keepNext w:val="0"/>
        <w:keepLines w:val="0"/>
        <w:pageBreakBefore w:val="0"/>
        <w:widowControl/>
        <w:kinsoku/>
        <w:wordWrap/>
        <w:overflowPunct/>
        <w:topLinePunct w:val="0"/>
        <w:autoSpaceDE/>
        <w:autoSpaceDN/>
        <w:bidi w:val="0"/>
        <w:adjustRightInd/>
        <w:snapToGrid/>
        <w:spacing w:line="600" w:lineRule="exact"/>
        <w:textAlignment w:val="auto"/>
      </w:pPr>
      <w:r>
        <w:t>2022年预算收支安排为24</w:t>
      </w:r>
      <w:r>
        <w:rPr>
          <w:rFonts w:hint="eastAsia"/>
          <w:lang w:val="en-US" w:eastAsia="zh-CN"/>
        </w:rPr>
        <w:t>.</w:t>
      </w:r>
      <w:r>
        <w:t>872</w:t>
      </w:r>
      <w:r>
        <w:rPr>
          <w:rFonts w:hint="eastAsia"/>
          <w:lang w:val="en-US" w:eastAsia="zh-CN"/>
        </w:rPr>
        <w:t>万</w:t>
      </w:r>
      <w:r>
        <w:t>元，较2021年年初预算减少14</w:t>
      </w:r>
      <w:r>
        <w:rPr>
          <w:rFonts w:hint="eastAsia"/>
          <w:lang w:val="en-US" w:eastAsia="zh-CN"/>
        </w:rPr>
        <w:t>.</w:t>
      </w:r>
      <w:r>
        <w:t>6211</w:t>
      </w:r>
      <w:r>
        <w:rPr>
          <w:rFonts w:hint="eastAsia"/>
          <w:lang w:val="en-US" w:eastAsia="zh-CN"/>
        </w:rPr>
        <w:t>万</w:t>
      </w:r>
      <w:r>
        <w:t>元，主要原因为年末实有人数减少</w:t>
      </w:r>
      <w:r>
        <w:rPr>
          <w:rFonts w:hint="eastAsia"/>
          <w:lang w:val="en-US" w:eastAsia="zh-CN"/>
        </w:rPr>
        <w:t>3</w:t>
      </w:r>
      <w:r>
        <w:t>人。</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1"/>
        <w:keepNext w:val="0"/>
        <w:keepLines w:val="0"/>
        <w:pageBreakBefore w:val="0"/>
        <w:widowControl/>
        <w:kinsoku/>
        <w:wordWrap/>
        <w:overflowPunct/>
        <w:topLinePunct w:val="0"/>
        <w:autoSpaceDE/>
        <w:autoSpaceDN/>
        <w:bidi w:val="0"/>
        <w:adjustRightInd/>
        <w:snapToGrid/>
        <w:spacing w:line="600" w:lineRule="exact"/>
        <w:textAlignment w:val="auto"/>
      </w:pPr>
      <w:r>
        <w:rPr>
          <w:rFonts w:hint="eastAsia"/>
          <w:lang w:val="en-US" w:eastAsia="zh-CN"/>
        </w:rPr>
        <w:t>2022年，我部门</w:t>
      </w:r>
      <w:r>
        <w:t>机关运行经费共计安排2</w:t>
      </w:r>
      <w:r>
        <w:rPr>
          <w:rFonts w:hint="eastAsia"/>
          <w:lang w:val="en-US" w:eastAsia="zh-CN"/>
        </w:rPr>
        <w:t>.</w:t>
      </w:r>
      <w:r>
        <w:t>08</w:t>
      </w:r>
      <w:r>
        <w:rPr>
          <w:rFonts w:hint="eastAsia"/>
          <w:lang w:val="en-US" w:eastAsia="zh-CN"/>
        </w:rPr>
        <w:t>万</w:t>
      </w:r>
      <w:r>
        <w:t>元，主要用于日常办公、交通补贴等日常运行支出</w:t>
      </w:r>
    </w:p>
    <w:p>
      <w:pPr>
        <w:keepNext w:val="0"/>
        <w:keepLines w:val="0"/>
        <w:pageBreakBefore w:val="0"/>
        <w:widowControl/>
        <w:numPr>
          <w:ilvl w:val="0"/>
          <w:numId w:val="1"/>
        </w:numPr>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keepNext w:val="0"/>
        <w:keepLines w:val="0"/>
        <w:pageBreakBefore w:val="0"/>
        <w:widowControl/>
        <w:numPr>
          <w:ilvl w:val="0"/>
          <w:numId w:val="0"/>
        </w:numPr>
        <w:kinsoku/>
        <w:wordWrap/>
        <w:overflowPunct/>
        <w:topLinePunct w:val="0"/>
        <w:autoSpaceDE/>
        <w:autoSpaceDN/>
        <w:bidi w:val="0"/>
        <w:adjustRightInd/>
        <w:snapToGrid/>
        <w:spacing w:before="10" w:after="10" w:line="600" w:lineRule="exact"/>
        <w:ind w:firstLine="560" w:firstLineChars="200"/>
        <w:jc w:val="left"/>
        <w:textAlignment w:val="auto"/>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02</w:t>
      </w: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年，我</w:t>
      </w:r>
      <w:r>
        <w:rPr>
          <w:rFonts w:hint="eastAsia" w:ascii="Times New Roman" w:hAnsi="Times New Roman" w:eastAsia="方正仿宋_GBK" w:cs="Times New Roman"/>
          <w:sz w:val="28"/>
          <w:szCs w:val="24"/>
          <w:lang w:val="en-US" w:eastAsia="zh-CN" w:bidi="ar-SA"/>
        </w:rPr>
        <w:t>部门</w:t>
      </w:r>
      <w:r>
        <w:rPr>
          <w:rFonts w:hint="eastAsia" w:ascii="Times New Roman" w:hAnsi="Times New Roman" w:eastAsia="方正仿宋_GBK" w:cs="Times New Roman"/>
          <w:sz w:val="28"/>
          <w:szCs w:val="24"/>
          <w:lang w:val="en-US" w:eastAsia="uk-UA" w:bidi="ar-SA"/>
        </w:rPr>
        <w:t>财政拨款</w:t>
      </w:r>
      <w:r>
        <w:rPr>
          <w:rFonts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uk-UA" w:bidi="ar-SA"/>
        </w:rPr>
        <w:t>三公</w:t>
      </w:r>
      <w:r>
        <w:rPr>
          <w:rFonts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uk-UA" w:bidi="ar-SA"/>
        </w:rPr>
        <w:t>经费预算安排</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万元；公务用车购置及运维费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万元（其中：公务用车购置费为</w:t>
      </w:r>
      <w:r>
        <w:rPr>
          <w:rFonts w:ascii="Times New Roman" w:hAnsi="Times New Roman" w:eastAsia="方正仿宋_GBK" w:cs="Times New Roman"/>
          <w:sz w:val="28"/>
          <w:szCs w:val="24"/>
          <w:lang w:val="en-US" w:eastAsia="uk-UA" w:bidi="ar-SA"/>
        </w:rPr>
        <w:t>0</w:t>
      </w:r>
      <w:r>
        <w:rPr>
          <w:rFonts w:hint="eastAsia" w:ascii="Times New Roman" w:hAnsi="Times New Roman" w:eastAsia="方正仿宋_GBK" w:cs="Times New Roman"/>
          <w:sz w:val="28"/>
          <w:szCs w:val="24"/>
          <w:lang w:val="en-US" w:eastAsia="uk-UA" w:bidi="ar-SA"/>
        </w:rPr>
        <w:t>万元，公务用车运维费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w:t>
      </w:r>
      <w:r>
        <w:rPr>
          <w:rFonts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uk-UA" w:bidi="ar-SA"/>
        </w:rPr>
        <w:t>；公务接待费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万元。与</w:t>
      </w:r>
      <w:r>
        <w:rPr>
          <w:rFonts w:ascii="Times New Roman" w:hAnsi="Times New Roman" w:eastAsia="方正仿宋_GBK" w:cs="Times New Roman"/>
          <w:sz w:val="28"/>
          <w:szCs w:val="24"/>
          <w:lang w:val="en-US" w:eastAsia="uk-UA" w:bidi="ar-SA"/>
        </w:rPr>
        <w:t>2020</w:t>
      </w:r>
      <w:r>
        <w:rPr>
          <w:rFonts w:hint="eastAsia" w:ascii="Times New Roman" w:hAnsi="Times New Roman" w:eastAsia="方正仿宋_GBK" w:cs="Times New Roman"/>
          <w:sz w:val="28"/>
          <w:szCs w:val="24"/>
          <w:lang w:val="en-US" w:eastAsia="uk-UA" w:bidi="ar-SA"/>
        </w:rPr>
        <w:t>年相比减少</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万元，减少的主要原因是：</w:t>
      </w:r>
      <w:r>
        <w:rPr>
          <w:rFonts w:hint="eastAsia" w:ascii="Times New Roman" w:hAnsi="Times New Roman" w:eastAsia="方正仿宋_GBK" w:cs="Times New Roman"/>
          <w:sz w:val="28"/>
          <w:szCs w:val="24"/>
          <w:lang w:val="en-US" w:eastAsia="zh-CN" w:bidi="ar-SA"/>
        </w:rPr>
        <w:t>无“三公”经费</w:t>
      </w:r>
      <w:r>
        <w:rPr>
          <w:rFonts w:hint="eastAsia" w:ascii="Times New Roman" w:hAnsi="Times New Roman" w:eastAsia="方正仿宋_GBK" w:cs="Times New Roman"/>
          <w:sz w:val="28"/>
          <w:szCs w:val="24"/>
          <w:lang w:val="en-US" w:eastAsia="uk-UA" w:bidi="ar-SA"/>
        </w:rPr>
        <w:t>。</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13" w:name="_Toc_3_3_0000000014"/>
      <w:r>
        <w:rPr>
          <w:rFonts w:ascii="黑体" w:hAnsi="黑体" w:eastAsia="黑体" w:cs="黑体"/>
          <w:color w:val="000000"/>
          <w:sz w:val="32"/>
        </w:rPr>
        <w:t>五、预算绩效信息</w:t>
      </w:r>
      <w:bookmarkEnd w:id="13"/>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rPr>
          <w:rFonts w:hint="eastAsia" w:ascii="楷体" w:hAnsi="楷体" w:eastAsia="楷体" w:cs="楷体"/>
          <w:b w:val="0"/>
          <w:bCs/>
          <w:color w:val="000000"/>
          <w:sz w:val="32"/>
        </w:rPr>
      </w:pPr>
      <w:r>
        <w:rPr>
          <w:rFonts w:hint="eastAsia" w:ascii="楷体" w:hAnsi="楷体" w:eastAsia="楷体" w:cs="楷体"/>
          <w:b w:val="0"/>
          <w:bCs/>
          <w:color w:val="000000"/>
          <w:sz w:val="32"/>
          <w:lang w:eastAsia="zh-CN"/>
        </w:rPr>
        <w:t>一、</w:t>
      </w:r>
      <w:r>
        <w:rPr>
          <w:rFonts w:hint="eastAsia" w:ascii="楷体" w:hAnsi="楷体" w:eastAsia="楷体" w:cs="楷体"/>
          <w:b w:val="0"/>
          <w:bCs/>
          <w:color w:val="000000"/>
          <w:sz w:val="32"/>
        </w:rPr>
        <w:t>部门整体绩效目标</w:t>
      </w:r>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rPr>
          <w:rFonts w:hint="default" w:ascii="楷体" w:hAnsi="楷体" w:eastAsia="楷体" w:cs="楷体"/>
          <w:b w:val="0"/>
          <w:bCs/>
          <w:color w:val="000000"/>
          <w:sz w:val="32"/>
          <w:lang w:val="en-US" w:eastAsia="zh-CN"/>
        </w:rPr>
      </w:pPr>
      <w:r>
        <w:rPr>
          <w:rFonts w:hint="eastAsia" w:ascii="楷体" w:hAnsi="楷体" w:eastAsia="楷体" w:cs="楷体"/>
          <w:b w:val="0"/>
          <w:bCs/>
          <w:color w:val="000000"/>
          <w:sz w:val="32"/>
          <w:lang w:eastAsia="zh-CN"/>
        </w:rPr>
        <w:t>（</w:t>
      </w:r>
      <w:r>
        <w:rPr>
          <w:rFonts w:hint="eastAsia" w:ascii="楷体" w:hAnsi="楷体" w:eastAsia="楷体" w:cs="楷体"/>
          <w:b w:val="0"/>
          <w:bCs/>
          <w:color w:val="000000"/>
          <w:sz w:val="32"/>
          <w:lang w:val="en-US" w:eastAsia="zh-CN"/>
        </w:rPr>
        <w:t>一</w:t>
      </w:r>
      <w:r>
        <w:rPr>
          <w:rFonts w:hint="eastAsia" w:ascii="楷体" w:hAnsi="楷体" w:eastAsia="楷体" w:cs="楷体"/>
          <w:b w:val="0"/>
          <w:bCs/>
          <w:color w:val="000000"/>
          <w:sz w:val="32"/>
          <w:lang w:eastAsia="zh-CN"/>
        </w:rPr>
        <w:t>）</w:t>
      </w:r>
      <w:r>
        <w:rPr>
          <w:rFonts w:hint="eastAsia" w:ascii="楷体" w:hAnsi="楷体" w:eastAsia="楷体" w:cs="楷体"/>
          <w:b w:val="0"/>
          <w:bCs/>
          <w:color w:val="000000"/>
          <w:sz w:val="32"/>
          <w:lang w:val="en-US" w:eastAsia="zh-CN"/>
        </w:rPr>
        <w:t>总体绩效目标</w:t>
      </w:r>
    </w:p>
    <w:p>
      <w:pPr>
        <w:pStyle w:val="23"/>
        <w:keepNext w:val="0"/>
        <w:keepLines w:val="0"/>
        <w:pageBreakBefore w:val="0"/>
        <w:widowControl/>
        <w:kinsoku/>
        <w:wordWrap/>
        <w:overflowPunct/>
        <w:topLinePunct w:val="0"/>
        <w:autoSpaceDE/>
        <w:autoSpaceDN/>
        <w:bidi w:val="0"/>
        <w:adjustRightInd/>
        <w:snapToGrid/>
        <w:spacing w:line="600" w:lineRule="exact"/>
        <w:textAlignment w:val="auto"/>
      </w:pPr>
      <w:r>
        <w:t>高举中国特色社会主义伟大旗帜，以习近平新时代中国特色社会主义</w:t>
      </w:r>
      <w:r>
        <w:rPr>
          <w:rFonts w:hint="eastAsia"/>
          <w:lang w:val="en-US" w:eastAsia="zh-CN"/>
        </w:rPr>
        <w:t>思想</w:t>
      </w:r>
      <w:r>
        <w:t>为指导，深入贯彻习近平总书记关于青年工作的指示精神，以“党有号召、团有行动”和“服务大局、服务社会、服务青年”为工作总方向，全面履行组织、引导、服务青年职责，引领全县团员青年为隆尧县高质量赶超发展贡献青春力量。</w:t>
      </w:r>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rPr>
          <w:rFonts w:hint="eastAsia" w:ascii="楷体" w:hAnsi="楷体" w:eastAsia="楷体" w:cs="楷体"/>
          <w:b w:val="0"/>
          <w:bCs/>
          <w:color w:val="000000"/>
          <w:sz w:val="32"/>
          <w:lang w:val="en-US" w:eastAsia="zh-CN"/>
        </w:rPr>
      </w:pPr>
      <w:r>
        <w:rPr>
          <w:rFonts w:hint="eastAsia" w:ascii="楷体" w:hAnsi="楷体" w:eastAsia="楷体" w:cs="楷体"/>
          <w:b w:val="0"/>
          <w:bCs/>
          <w:color w:val="000000"/>
          <w:sz w:val="32"/>
          <w:lang w:val="en-US" w:eastAsia="zh-CN"/>
        </w:rPr>
        <w:t>二、分项绩效目标</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rPr>
          <w:rFonts w:hint="eastAsia"/>
          <w:lang w:eastAsia="zh-CN"/>
        </w:rPr>
        <w:t>（</w:t>
      </w:r>
      <w:r>
        <w:t>一</w:t>
      </w:r>
      <w:r>
        <w:rPr>
          <w:rFonts w:hint="eastAsia"/>
          <w:lang w:eastAsia="zh-CN"/>
        </w:rPr>
        <w:t>）</w:t>
      </w:r>
      <w:r>
        <w:t>全县团员青年思想政治引领工作</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t>1、持续开展“青年大学习”网络主题团课学习；</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t>2、广泛开展主题宣传教育，举办“青春心向党·建功新时代”“争做新时代好队员”等主题团队日（课）活动和集中入团入队、“十八岁成人礼”等仪式教育；</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t>3、大力开展爱国主义教育，传承红色基因，弘扬传统文化，建好用好各类校外实践教育基地，举办好主题团日等活动。</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t>4、践行网上群众路线，管好用好新媒体，推动共青团工作“线上”“线下”融合，推进“网上共青团”建设，以“隆尧县团委”微信公众号建设为重点，按照“加强功能内容建设、推动与重点工作整合”的思路，不断增加原创信息比重，与中小学校和社会新媒体平台合作，提高公众号关注度；</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rPr>
          <w:rFonts w:hint="eastAsia"/>
          <w:lang w:eastAsia="zh-CN"/>
        </w:rPr>
        <w:t>（</w:t>
      </w:r>
      <w:r>
        <w:t>二</w:t>
      </w:r>
      <w:r>
        <w:rPr>
          <w:rFonts w:hint="eastAsia"/>
          <w:lang w:eastAsia="zh-CN"/>
        </w:rPr>
        <w:t>）</w:t>
      </w:r>
      <w:r>
        <w:t>、推进青年志愿服务行动</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t>围绕关爱弱势群体，常态化开展“寸草心爱老敬老”“关爱留守儿童”、“七彩假期”、“环保宣传”、“助力创城”等志愿服务活动，积极参与文明城市、卫生城市创建。利用隆尧县青年志愿者协会，提高志愿服务组织化、社会化动员能力，推广“志愿汇”平台注册使用和“伙伴计划”实施，落实志愿服务激励保障措施推进。</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rPr>
          <w:rFonts w:hint="eastAsia"/>
          <w:lang w:eastAsia="zh-CN"/>
        </w:rPr>
        <w:t>（</w:t>
      </w:r>
      <w:r>
        <w:t>三</w:t>
      </w:r>
      <w:r>
        <w:rPr>
          <w:rFonts w:hint="eastAsia"/>
          <w:lang w:eastAsia="zh-CN"/>
        </w:rPr>
        <w:t>）</w:t>
      </w:r>
      <w:r>
        <w:t>、服务引导青少年工作</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t>围绕青年思想动态和青年工作现况，调查研究青少年运动、青少年工作理论和思想教育、青年社会组织发展问题；服务青年创新创业、婚恋交友等需求；做好青年统战对象的团结教育工作；围绕党政中心开展团的各项活动，发挥团县委党和政府联系青年的桥梁和纽带作用，组织带领青年和青年社会组织为全县经济发展和社会发展做出贡献</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rPr>
          <w:rFonts w:hint="eastAsia"/>
          <w:lang w:eastAsia="zh-CN"/>
        </w:rPr>
        <w:t>（</w:t>
      </w:r>
      <w:r>
        <w:t>四</w:t>
      </w:r>
      <w:r>
        <w:rPr>
          <w:rFonts w:hint="eastAsia"/>
          <w:lang w:eastAsia="zh-CN"/>
        </w:rPr>
        <w:t>）</w:t>
      </w:r>
      <w:r>
        <w:t>、预防青少年犯罪工作</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t>推动青少年事务社会工作开展；提高源头治理力度，通过与有关部门联系配合，降低青少年犯罪率，做好青少年法治宣传教育工作。</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rPr>
          <w:rFonts w:hint="eastAsia"/>
          <w:lang w:eastAsia="zh-CN"/>
        </w:rPr>
        <w:t>（</w:t>
      </w:r>
      <w:r>
        <w:t>五</w:t>
      </w:r>
      <w:r>
        <w:rPr>
          <w:rFonts w:hint="eastAsia"/>
          <w:lang w:eastAsia="zh-CN"/>
        </w:rPr>
        <w:t>）</w:t>
      </w:r>
      <w:r>
        <w:t>、团委综合业务管理</w:t>
      </w:r>
    </w:p>
    <w:p>
      <w:pPr>
        <w:pStyle w:val="24"/>
        <w:keepNext w:val="0"/>
        <w:keepLines w:val="0"/>
        <w:pageBreakBefore w:val="0"/>
        <w:widowControl/>
        <w:kinsoku/>
        <w:wordWrap/>
        <w:overflowPunct/>
        <w:topLinePunct w:val="0"/>
        <w:autoSpaceDE/>
        <w:autoSpaceDN/>
        <w:bidi w:val="0"/>
        <w:adjustRightInd/>
        <w:snapToGrid/>
        <w:spacing w:line="600" w:lineRule="exact"/>
        <w:textAlignment w:val="auto"/>
      </w:pPr>
      <w:r>
        <w:t>参与制定全县的青少年事业发展规划和青少年工作方针、政策;发挥党的助手和生力军作用，高质量完成县委、县政府和省市团委交办的有关事项，实现“保五争三拼第一”工作目标。</w:t>
      </w:r>
    </w:p>
    <w:p>
      <w:pPr>
        <w:spacing w:before="0" w:after="0" w:line="500" w:lineRule="exact"/>
        <w:ind w:firstLine="560"/>
        <w:jc w:val="left"/>
        <w:outlineLvl w:val="9"/>
      </w:pPr>
      <w:r>
        <w:rPr>
          <w:rFonts w:ascii="Times New Roman" w:hAnsi="Times New Roman" w:eastAsia="方正仿宋_GBK" w:cs="Times New Roman"/>
          <w:color w:val="000000"/>
          <w:sz w:val="28"/>
        </w:rPr>
        <w:t>三</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工作保障措施</w:t>
      </w:r>
    </w:p>
    <w:p>
      <w:pPr>
        <w:pStyle w:val="25"/>
      </w:pPr>
      <w:r>
        <w:t>（一）分类引导，逐步推进非公有制企业团建</w:t>
      </w:r>
    </w:p>
    <w:p>
      <w:pPr>
        <w:pStyle w:val="25"/>
      </w:pPr>
      <w:r>
        <w:t>通过与企业青年的活动联系、阵地联系、服务联系扩大共青团在企业青年中的影响力。增强规模以上企业对团建工作的认知度和吸引力。针对条件不成熟的企业，采取明确一名青年联系人，搭建一个团委和企业青年组织联络的桥梁和平台，从而逐步推进团组织建设。</w:t>
      </w:r>
    </w:p>
    <w:p>
      <w:pPr>
        <w:pStyle w:val="25"/>
      </w:pPr>
      <w:r>
        <w:t>（二）强化团干部培训，提高服务群众能力</w:t>
      </w:r>
    </w:p>
    <w:p>
      <w:pPr>
        <w:pStyle w:val="25"/>
      </w:pPr>
      <w:r>
        <w:t>积极组织机关干部参加上级团委及县委组织的各类培训，增强机关干部的工作能力，同时机关内部定期组织集体学习和自主学习相结合，不断提高个人的整体素质和业务水平。严格机关机关工作纪律，不断完善机关工作制度，整顿机关散漫作风，提高了工作效率，全面提升团干部服务青年能力。</w:t>
      </w:r>
    </w:p>
    <w:p>
      <w:pPr>
        <w:pStyle w:val="25"/>
      </w:pPr>
      <w:r>
        <w:t>（三）团结各界青年，充分发挥共青团纽带作用</w:t>
      </w:r>
    </w:p>
    <w:p>
      <w:pPr>
        <w:pStyle w:val="25"/>
      </w:pPr>
      <w:r>
        <w:t xml:space="preserve">团县委积极引导并组织青年参加社团活动，为青年的成长进步提供各种有益的服务；指导、扶持青年社团活动，活跃青年社团活动，活跃青年生活，加强与各界青年进步团体的联系与合作。不断把青联的组织资源转化为发展资源，把青联的组织优势转化为发展优势，促进隆尧县建设和经济发展。  </w:t>
      </w:r>
    </w:p>
    <w:p>
      <w:pPr>
        <w:pStyle w:val="25"/>
      </w:pPr>
      <w:r>
        <w:t>（四）团结社会公益组织，增强团组织社会影响力</w:t>
      </w:r>
    </w:p>
    <w:p>
      <w:pPr>
        <w:pStyle w:val="25"/>
      </w:pPr>
      <w:r>
        <w:t>不断探索创新工作模式，团结和引导社会公益组织的力量围绕中心、服务大局，展现自身价值。团结较大规模的社会公益组织力量参与公益活动，在全县范围内营造了热心公益的新风尚。</w:t>
      </w:r>
    </w:p>
    <w:p>
      <w:pPr>
        <w:pStyle w:val="25"/>
      </w:pPr>
      <w:r>
        <w:t>（五）加强团员规范化管理，增强团员先进性</w:t>
      </w:r>
    </w:p>
    <w:p>
      <w:pPr>
        <w:pStyle w:val="25"/>
      </w:pPr>
      <w:r>
        <w:t>针对目前存在的团员的先锋模范作用发挥不够突出的问题。采取严把团员入口关，提升团员质量，充分发挥团员先进引领作用。开展全县团干部工作会议，对入团年龄、团青比例、入团程序、入团仪式等做出严格规范，真正把优秀青年纳入团组织队伍。</w:t>
      </w:r>
    </w:p>
    <w:p>
      <w:pPr>
        <w:pStyle w:val="25"/>
      </w:pPr>
      <w:r>
        <w:t>（六）把握青年新动态，增添组织活动新活力</w:t>
      </w:r>
    </w:p>
    <w:p>
      <w:pPr>
        <w:pStyle w:val="25"/>
      </w:pPr>
      <w:r>
        <w:t>改革创新是群团工作发展进步的不竭动力。因此团的各项工作必须不断增加新的元素和血液，各项活动组织形式的单一不能满足青年的需求。针对目前网络信息化对青少年群体的影响力不断加强的情况，团县委采取“线上线下”的融合，全面改革组织的活动形式。微博、青年之声等交流平台进行青少年思想的正面引导，站在网上舆论斗争的最前沿，弘扬网上主旋律。全面推广微信公众号，运用公众号发布通知和公告，对线下工作开展进行及时宣传和报道，形成“线上线下”的高度融合。</w:t>
      </w:r>
    </w:p>
    <w:p>
      <w:pPr>
        <w:numPr>
          <w:ilvl w:val="0"/>
          <w:numId w:val="2"/>
        </w:numPr>
        <w:spacing w:before="0" w:after="0" w:line="240" w:lineRule="auto"/>
        <w:ind w:firstLine="640"/>
        <w:jc w:val="left"/>
        <w:outlineLvl w:val="9"/>
        <w:rPr>
          <w:rFonts w:ascii="方正楷体_GBK" w:hAnsi="方正楷体_GBK" w:eastAsia="方正楷体_GBK" w:cs="方正楷体_GBK"/>
          <w:b w:val="0"/>
          <w:bCs/>
          <w:color w:val="000000"/>
          <w:sz w:val="32"/>
        </w:rPr>
      </w:pPr>
      <w:r>
        <w:rPr>
          <w:rFonts w:ascii="方正楷体_GBK" w:hAnsi="方正楷体_GBK" w:eastAsia="方正楷体_GBK" w:cs="方正楷体_GBK"/>
          <w:b w:val="0"/>
          <w:bCs/>
          <w:color w:val="000000"/>
          <w:sz w:val="32"/>
        </w:rPr>
        <w:t xml:space="preserve"> 专项资金绩效目标</w:t>
      </w:r>
    </w:p>
    <w:p>
      <w:pPr>
        <w:numPr>
          <w:ilvl w:val="0"/>
          <w:numId w:val="0"/>
        </w:numPr>
        <w:spacing w:before="0" w:after="0" w:line="240" w:lineRule="auto"/>
        <w:jc w:val="left"/>
        <w:outlineLvl w:val="9"/>
        <w:rPr>
          <w:rFonts w:hint="default" w:ascii="方正楷体_GBK" w:hAnsi="方正楷体_GBK" w:eastAsia="方正楷体_GBK" w:cs="方正楷体_GBK"/>
          <w:b w:val="0"/>
          <w:bCs/>
          <w:color w:val="000000"/>
          <w:sz w:val="32"/>
          <w:lang w:val="en-US" w:eastAsia="zh-CN"/>
        </w:rPr>
      </w:pPr>
      <w:r>
        <w:rPr>
          <w:rFonts w:hint="eastAsia" w:ascii="方正楷体_GBK" w:hAnsi="方正楷体_GBK" w:eastAsia="方正楷体_GBK" w:cs="方正楷体_GBK"/>
          <w:b w:val="0"/>
          <w:bCs/>
          <w:color w:val="000000"/>
          <w:sz w:val="32"/>
          <w:lang w:val="en-US" w:eastAsia="zh-CN"/>
        </w:rPr>
        <w:t xml:space="preserve">     本年度无专项资金项目</w:t>
      </w:r>
    </w:p>
    <w:p>
      <w:pPr>
        <w:pStyle w:val="26"/>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第三部分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1、青年马克思主义者培训工程绩效目标表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1.目标内容1举办马克思主义思想理论培训，参训人数不少于80人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培训人数</w:t>
            </w:r>
          </w:p>
        </w:tc>
        <w:tc>
          <w:tcPr>
            <w:tcW w:w="2466" w:type="dxa"/>
            <w:vAlign w:val="center"/>
          </w:tcPr>
          <w:p>
            <w:pPr>
              <w:pStyle w:val="28"/>
            </w:pPr>
            <w:r>
              <w:t>参训人数不少于80人</w:t>
            </w:r>
          </w:p>
        </w:tc>
        <w:tc>
          <w:tcPr>
            <w:tcW w:w="2466" w:type="dxa"/>
            <w:vAlign w:val="center"/>
          </w:tcPr>
          <w:p>
            <w:pPr>
              <w:pStyle w:val="28"/>
            </w:pPr>
            <w:r>
              <w:t>≥80参训人数不少于80人</w:t>
            </w:r>
          </w:p>
        </w:tc>
        <w:tc>
          <w:tcPr>
            <w:tcW w:w="2466" w:type="dxa"/>
            <w:vAlign w:val="center"/>
          </w:tcPr>
          <w:p>
            <w:pPr>
              <w:pStyle w:val="28"/>
            </w:pPr>
            <w:r>
              <w:t>团干部数量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培训出勤率</w:t>
            </w:r>
          </w:p>
        </w:tc>
        <w:tc>
          <w:tcPr>
            <w:tcW w:w="2466" w:type="dxa"/>
            <w:vAlign w:val="center"/>
          </w:tcPr>
          <w:p>
            <w:pPr>
              <w:pStyle w:val="28"/>
            </w:pPr>
            <w:r>
              <w:t>出勤率不低于100%</w:t>
            </w:r>
          </w:p>
        </w:tc>
        <w:tc>
          <w:tcPr>
            <w:tcW w:w="2466" w:type="dxa"/>
            <w:vAlign w:val="center"/>
          </w:tcPr>
          <w:p>
            <w:pPr>
              <w:pStyle w:val="28"/>
            </w:pPr>
            <w:r>
              <w:t>≥100出勤率不低于100%</w:t>
            </w:r>
          </w:p>
        </w:tc>
        <w:tc>
          <w:tcPr>
            <w:tcW w:w="2466" w:type="dxa"/>
            <w:vAlign w:val="center"/>
          </w:tcPr>
          <w:p>
            <w:pPr>
              <w:pStyle w:val="28"/>
            </w:pPr>
            <w: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按时完成数</w:t>
            </w:r>
          </w:p>
        </w:tc>
        <w:tc>
          <w:tcPr>
            <w:tcW w:w="2466" w:type="dxa"/>
            <w:vAlign w:val="center"/>
          </w:tcPr>
          <w:p>
            <w:pPr>
              <w:pStyle w:val="28"/>
            </w:pPr>
            <w:r>
              <w:t>年内完成</w:t>
            </w:r>
          </w:p>
        </w:tc>
        <w:tc>
          <w:tcPr>
            <w:tcW w:w="2466" w:type="dxa"/>
            <w:vAlign w:val="center"/>
          </w:tcPr>
          <w:p>
            <w:pPr>
              <w:pStyle w:val="28"/>
            </w:pPr>
            <w:r>
              <w:t>年内完成</w:t>
            </w:r>
          </w:p>
        </w:tc>
        <w:tc>
          <w:tcPr>
            <w:tcW w:w="2466" w:type="dxa"/>
            <w:vAlign w:val="center"/>
          </w:tcPr>
          <w:p>
            <w:pPr>
              <w:pStyle w:val="28"/>
            </w:pPr>
            <w:r>
              <w:t>去年同期情况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按预算金额安排</w:t>
            </w:r>
          </w:p>
        </w:tc>
        <w:tc>
          <w:tcPr>
            <w:tcW w:w="2466" w:type="dxa"/>
            <w:vAlign w:val="center"/>
          </w:tcPr>
          <w:p>
            <w:pPr>
              <w:pStyle w:val="28"/>
            </w:pPr>
            <w:r>
              <w:t>按预算金额安排</w:t>
            </w:r>
          </w:p>
        </w:tc>
        <w:tc>
          <w:tcPr>
            <w:tcW w:w="2466" w:type="dxa"/>
            <w:vAlign w:val="center"/>
          </w:tcPr>
          <w:p>
            <w:pPr>
              <w:pStyle w:val="28"/>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资金使用效益</w:t>
            </w:r>
          </w:p>
        </w:tc>
        <w:tc>
          <w:tcPr>
            <w:tcW w:w="2466" w:type="dxa"/>
            <w:vAlign w:val="center"/>
          </w:tcPr>
          <w:p>
            <w:pPr>
              <w:pStyle w:val="28"/>
            </w:pPr>
            <w:r>
              <w:t>按预算金额安排</w:t>
            </w:r>
          </w:p>
        </w:tc>
        <w:tc>
          <w:tcPr>
            <w:tcW w:w="2466" w:type="dxa"/>
            <w:vAlign w:val="center"/>
          </w:tcPr>
          <w:p>
            <w:pPr>
              <w:pStyle w:val="28"/>
            </w:pPr>
            <w:r>
              <w:t>按预算金额安排</w:t>
            </w:r>
          </w:p>
        </w:tc>
        <w:tc>
          <w:tcPr>
            <w:tcW w:w="2466" w:type="dxa"/>
            <w:vAlign w:val="center"/>
          </w:tcPr>
          <w:p>
            <w:pPr>
              <w:pStyle w:val="28"/>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学习成效</w:t>
            </w:r>
          </w:p>
        </w:tc>
        <w:tc>
          <w:tcPr>
            <w:tcW w:w="2466" w:type="dxa"/>
            <w:vAlign w:val="center"/>
          </w:tcPr>
          <w:p>
            <w:pPr>
              <w:pStyle w:val="28"/>
            </w:pPr>
            <w:r>
              <w:t>出勤率100%</w:t>
            </w:r>
          </w:p>
        </w:tc>
        <w:tc>
          <w:tcPr>
            <w:tcW w:w="2466" w:type="dxa"/>
            <w:vAlign w:val="center"/>
          </w:tcPr>
          <w:p>
            <w:pPr>
              <w:pStyle w:val="28"/>
            </w:pPr>
            <w:r>
              <w:t>≥100出勤率100%</w:t>
            </w:r>
          </w:p>
        </w:tc>
        <w:tc>
          <w:tcPr>
            <w:tcW w:w="2466" w:type="dxa"/>
            <w:vAlign w:val="center"/>
          </w:tcPr>
          <w:p>
            <w:pPr>
              <w:pStyle w:val="28"/>
            </w:pPr>
            <w: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理论水平</w:t>
            </w:r>
          </w:p>
        </w:tc>
        <w:tc>
          <w:tcPr>
            <w:tcW w:w="2466" w:type="dxa"/>
            <w:vAlign w:val="center"/>
          </w:tcPr>
          <w:p>
            <w:pPr>
              <w:pStyle w:val="28"/>
            </w:pPr>
            <w:r>
              <w:t>撰写学习心得</w:t>
            </w:r>
          </w:p>
        </w:tc>
        <w:tc>
          <w:tcPr>
            <w:tcW w:w="2466" w:type="dxa"/>
            <w:vAlign w:val="center"/>
          </w:tcPr>
          <w:p>
            <w:pPr>
              <w:pStyle w:val="28"/>
            </w:pPr>
            <w:r>
              <w:t>撰写学习心得</w:t>
            </w:r>
          </w:p>
        </w:tc>
        <w:tc>
          <w:tcPr>
            <w:tcW w:w="2466" w:type="dxa"/>
            <w:vAlign w:val="center"/>
          </w:tcPr>
          <w:p>
            <w:pPr>
              <w:pStyle w:val="28"/>
            </w:pPr>
            <w:r>
              <w:t>结业作业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满意度</w:t>
            </w:r>
          </w:p>
        </w:tc>
        <w:tc>
          <w:tcPr>
            <w:tcW w:w="2466" w:type="dxa"/>
            <w:vAlign w:val="center"/>
          </w:tcPr>
          <w:p>
            <w:pPr>
              <w:pStyle w:val="28"/>
            </w:pPr>
            <w:r>
              <w:t>问卷调查</w:t>
            </w:r>
          </w:p>
        </w:tc>
        <w:tc>
          <w:tcPr>
            <w:tcW w:w="2466" w:type="dxa"/>
            <w:vAlign w:val="center"/>
          </w:tcPr>
          <w:p>
            <w:pPr>
              <w:pStyle w:val="28"/>
            </w:pPr>
            <w:r>
              <w:t>问卷调查</w:t>
            </w:r>
          </w:p>
        </w:tc>
        <w:tc>
          <w:tcPr>
            <w:tcW w:w="2466" w:type="dxa"/>
            <w:vAlign w:val="center"/>
          </w:tcPr>
          <w:p>
            <w:pPr>
              <w:pStyle w:val="28"/>
            </w:pPr>
            <w:r>
              <w:t>问卷调查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2、青年中心建设项目绩效目标表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1.用于隆尧县青年中心建设，并支持后续活动开展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数量建设</w:t>
            </w:r>
          </w:p>
        </w:tc>
        <w:tc>
          <w:tcPr>
            <w:tcW w:w="2466" w:type="dxa"/>
            <w:vAlign w:val="center"/>
          </w:tcPr>
          <w:p>
            <w:pPr>
              <w:pStyle w:val="28"/>
            </w:pPr>
            <w:r>
              <w:t>建设线下实体空间青年之家数量</w:t>
            </w:r>
          </w:p>
        </w:tc>
        <w:tc>
          <w:tcPr>
            <w:tcW w:w="2466" w:type="dxa"/>
            <w:vAlign w:val="center"/>
          </w:tcPr>
          <w:p>
            <w:pPr>
              <w:pStyle w:val="28"/>
            </w:pPr>
            <w:r>
              <w:t>青年中心挂牌数</w:t>
            </w:r>
          </w:p>
        </w:tc>
        <w:tc>
          <w:tcPr>
            <w:tcW w:w="2466" w:type="dxa"/>
            <w:vAlign w:val="center"/>
          </w:tcPr>
          <w:p>
            <w:pPr>
              <w:pStyle w:val="28"/>
            </w:pPr>
            <w:r>
              <w:t>青年中心挂牌数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突出团属特色</w:t>
            </w:r>
          </w:p>
        </w:tc>
        <w:tc>
          <w:tcPr>
            <w:tcW w:w="2466" w:type="dxa"/>
            <w:vAlign w:val="center"/>
          </w:tcPr>
          <w:p>
            <w:pPr>
              <w:pStyle w:val="28"/>
            </w:pPr>
            <w:r>
              <w:t>标示醒目，团属书特色鲜明</w:t>
            </w:r>
          </w:p>
        </w:tc>
        <w:tc>
          <w:tcPr>
            <w:tcW w:w="2466" w:type="dxa"/>
            <w:vAlign w:val="center"/>
          </w:tcPr>
          <w:p>
            <w:pPr>
              <w:pStyle w:val="28"/>
            </w:pPr>
            <w:r>
              <w:t>上级文件要求</w:t>
            </w:r>
          </w:p>
        </w:tc>
        <w:tc>
          <w:tcPr>
            <w:tcW w:w="2466"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完成时间</w:t>
            </w:r>
          </w:p>
        </w:tc>
        <w:tc>
          <w:tcPr>
            <w:tcW w:w="2466" w:type="dxa"/>
            <w:vAlign w:val="center"/>
          </w:tcPr>
          <w:p>
            <w:pPr>
              <w:pStyle w:val="28"/>
            </w:pPr>
            <w:r>
              <w:t>按照规定时间完成</w:t>
            </w:r>
          </w:p>
        </w:tc>
        <w:tc>
          <w:tcPr>
            <w:tcW w:w="2466" w:type="dxa"/>
            <w:vAlign w:val="center"/>
          </w:tcPr>
          <w:p>
            <w:pPr>
              <w:pStyle w:val="28"/>
            </w:pPr>
            <w:r>
              <w:t>上级文件要求</w:t>
            </w:r>
          </w:p>
        </w:tc>
        <w:tc>
          <w:tcPr>
            <w:tcW w:w="2466"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项目预算控制数</w:t>
            </w:r>
          </w:p>
        </w:tc>
        <w:tc>
          <w:tcPr>
            <w:tcW w:w="2466" w:type="dxa"/>
            <w:vAlign w:val="center"/>
          </w:tcPr>
          <w:p>
            <w:pPr>
              <w:pStyle w:val="28"/>
            </w:pPr>
            <w:r>
              <w:t>预算金额安排</w:t>
            </w:r>
          </w:p>
        </w:tc>
        <w:tc>
          <w:tcPr>
            <w:tcW w:w="2466" w:type="dxa"/>
            <w:vAlign w:val="center"/>
          </w:tcPr>
          <w:p>
            <w:pPr>
              <w:pStyle w:val="28"/>
            </w:pPr>
            <w:r>
              <w:t>预算金额</w:t>
            </w:r>
          </w:p>
        </w:tc>
        <w:tc>
          <w:tcPr>
            <w:tcW w:w="2466" w:type="dxa"/>
            <w:vAlign w:val="center"/>
          </w:tcPr>
          <w:p>
            <w:pPr>
              <w:pStyle w:val="28"/>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潜在经济价值</w:t>
            </w:r>
          </w:p>
        </w:tc>
        <w:tc>
          <w:tcPr>
            <w:tcW w:w="2466" w:type="dxa"/>
            <w:vAlign w:val="center"/>
          </w:tcPr>
          <w:p>
            <w:pPr>
              <w:pStyle w:val="28"/>
            </w:pPr>
            <w:r>
              <w:t>潜在经济价值</w:t>
            </w:r>
          </w:p>
        </w:tc>
        <w:tc>
          <w:tcPr>
            <w:tcW w:w="2466" w:type="dxa"/>
            <w:vAlign w:val="center"/>
          </w:tcPr>
          <w:p>
            <w:pPr>
              <w:pStyle w:val="28"/>
            </w:pPr>
            <w:r>
              <w:t>青年中心活动开展需要</w:t>
            </w:r>
          </w:p>
        </w:tc>
        <w:tc>
          <w:tcPr>
            <w:tcW w:w="2466" w:type="dxa"/>
            <w:vAlign w:val="center"/>
          </w:tcPr>
          <w:p>
            <w:pPr>
              <w:pStyle w:val="28"/>
            </w:pPr>
            <w:r>
              <w:t>青年中心活动开展需要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提升公共服务水平</w:t>
            </w:r>
          </w:p>
        </w:tc>
        <w:tc>
          <w:tcPr>
            <w:tcW w:w="2466" w:type="dxa"/>
            <w:vAlign w:val="center"/>
          </w:tcPr>
          <w:p>
            <w:pPr>
              <w:pStyle w:val="28"/>
            </w:pPr>
            <w:r>
              <w:t>提升公共服务水平</w:t>
            </w:r>
          </w:p>
        </w:tc>
        <w:tc>
          <w:tcPr>
            <w:tcW w:w="2466" w:type="dxa"/>
            <w:vAlign w:val="center"/>
          </w:tcPr>
          <w:p>
            <w:pPr>
              <w:pStyle w:val="28"/>
            </w:pPr>
            <w:r>
              <w:t>青年中心活动开展需要</w:t>
            </w:r>
          </w:p>
        </w:tc>
        <w:tc>
          <w:tcPr>
            <w:tcW w:w="2466" w:type="dxa"/>
            <w:vAlign w:val="center"/>
          </w:tcPr>
          <w:p>
            <w:pPr>
              <w:pStyle w:val="28"/>
            </w:pPr>
            <w:r>
              <w:t>青年中心活动开展需要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服务对象满意度</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3、预防青少年违法犯罪绩效目标表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1.用于宣传法律法规，提高青少年遵法守法意识，建设“双零”社区。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建立1个“双零”社区</w:t>
            </w:r>
          </w:p>
        </w:tc>
        <w:tc>
          <w:tcPr>
            <w:tcW w:w="2466" w:type="dxa"/>
            <w:vAlign w:val="center"/>
          </w:tcPr>
          <w:p>
            <w:pPr>
              <w:pStyle w:val="28"/>
            </w:pPr>
            <w:r>
              <w:t>年末完成1个“双零”社区创建工作</w:t>
            </w:r>
          </w:p>
        </w:tc>
        <w:tc>
          <w:tcPr>
            <w:tcW w:w="2466" w:type="dxa"/>
            <w:vAlign w:val="center"/>
          </w:tcPr>
          <w:p>
            <w:pPr>
              <w:pStyle w:val="28"/>
            </w:pPr>
            <w:r>
              <w:t>≥1</w:t>
            </w:r>
          </w:p>
        </w:tc>
        <w:tc>
          <w:tcPr>
            <w:tcW w:w="2466"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提高青少年法</w:t>
            </w:r>
            <w:r>
              <w:rPr>
                <w:rFonts w:hint="eastAsia"/>
                <w:lang w:eastAsia="zh-CN"/>
              </w:rPr>
              <w:t>治</w:t>
            </w:r>
            <w:r>
              <w:t>意识</w:t>
            </w:r>
          </w:p>
        </w:tc>
        <w:tc>
          <w:tcPr>
            <w:tcW w:w="2466" w:type="dxa"/>
            <w:vAlign w:val="center"/>
          </w:tcPr>
          <w:p>
            <w:pPr>
              <w:pStyle w:val="28"/>
            </w:pPr>
            <w:r>
              <w:t>举办不少于4场法律法规宣传活动</w:t>
            </w:r>
          </w:p>
        </w:tc>
        <w:tc>
          <w:tcPr>
            <w:tcW w:w="2466" w:type="dxa"/>
            <w:vAlign w:val="center"/>
          </w:tcPr>
          <w:p>
            <w:pPr>
              <w:pStyle w:val="28"/>
            </w:pPr>
            <w:r>
              <w:t>≥4</w:t>
            </w:r>
          </w:p>
        </w:tc>
        <w:tc>
          <w:tcPr>
            <w:tcW w:w="2466"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完成时间</w:t>
            </w:r>
          </w:p>
        </w:tc>
        <w:tc>
          <w:tcPr>
            <w:tcW w:w="2466" w:type="dxa"/>
            <w:vAlign w:val="center"/>
          </w:tcPr>
          <w:p>
            <w:pPr>
              <w:pStyle w:val="28"/>
            </w:pPr>
            <w:r>
              <w:t>年底完成</w:t>
            </w:r>
          </w:p>
        </w:tc>
        <w:tc>
          <w:tcPr>
            <w:tcW w:w="2466" w:type="dxa"/>
            <w:vAlign w:val="center"/>
          </w:tcPr>
          <w:p>
            <w:pPr>
              <w:pStyle w:val="28"/>
            </w:pPr>
            <w:r>
              <w:t>年底完成</w:t>
            </w:r>
          </w:p>
        </w:tc>
        <w:tc>
          <w:tcPr>
            <w:tcW w:w="2466" w:type="dxa"/>
            <w:vAlign w:val="center"/>
          </w:tcPr>
          <w:p>
            <w:pPr>
              <w:pStyle w:val="28"/>
            </w:pPr>
            <w:r>
              <w:t>去年同期完成情况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项目预算控制数</w:t>
            </w:r>
          </w:p>
        </w:tc>
        <w:tc>
          <w:tcPr>
            <w:tcW w:w="2466" w:type="dxa"/>
            <w:vAlign w:val="center"/>
          </w:tcPr>
          <w:p>
            <w:pPr>
              <w:pStyle w:val="28"/>
            </w:pPr>
            <w:r>
              <w:t>完成预算金额</w:t>
            </w:r>
          </w:p>
        </w:tc>
        <w:tc>
          <w:tcPr>
            <w:tcW w:w="2466" w:type="dxa"/>
            <w:vAlign w:val="center"/>
          </w:tcPr>
          <w:p>
            <w:pPr>
              <w:pStyle w:val="28"/>
            </w:pPr>
            <w:r>
              <w:t>完成预算金额</w:t>
            </w:r>
          </w:p>
        </w:tc>
        <w:tc>
          <w:tcPr>
            <w:tcW w:w="2466" w:type="dxa"/>
            <w:vAlign w:val="center"/>
          </w:tcPr>
          <w:p>
            <w:pPr>
              <w:pStyle w:val="28"/>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潜在经济效益</w:t>
            </w:r>
          </w:p>
        </w:tc>
        <w:tc>
          <w:tcPr>
            <w:tcW w:w="2466" w:type="dxa"/>
            <w:vAlign w:val="center"/>
          </w:tcPr>
          <w:p>
            <w:pPr>
              <w:pStyle w:val="28"/>
            </w:pPr>
            <w:r>
              <w:t>举办不少于4场法律法规宣传活动</w:t>
            </w:r>
          </w:p>
        </w:tc>
        <w:tc>
          <w:tcPr>
            <w:tcW w:w="2466" w:type="dxa"/>
            <w:vAlign w:val="center"/>
          </w:tcPr>
          <w:p>
            <w:pPr>
              <w:pStyle w:val="28"/>
            </w:pPr>
            <w:r>
              <w:t>≥4</w:t>
            </w:r>
          </w:p>
        </w:tc>
        <w:tc>
          <w:tcPr>
            <w:tcW w:w="2466" w:type="dxa"/>
            <w:vAlign w:val="center"/>
          </w:tcPr>
          <w:p>
            <w:pPr>
              <w:pStyle w:val="28"/>
            </w:pPr>
            <w:r>
              <w:t>活动开展需要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提高青少年法</w:t>
            </w:r>
            <w:r>
              <w:rPr>
                <w:rFonts w:hint="eastAsia"/>
                <w:lang w:eastAsia="zh-CN"/>
              </w:rPr>
              <w:t>治</w:t>
            </w:r>
            <w:r>
              <w:t>意识</w:t>
            </w:r>
          </w:p>
        </w:tc>
        <w:tc>
          <w:tcPr>
            <w:tcW w:w="2466" w:type="dxa"/>
            <w:vAlign w:val="center"/>
          </w:tcPr>
          <w:p>
            <w:pPr>
              <w:pStyle w:val="28"/>
            </w:pPr>
            <w:r>
              <w:t>举办不少于4场法律法规宣传活动</w:t>
            </w:r>
          </w:p>
        </w:tc>
        <w:tc>
          <w:tcPr>
            <w:tcW w:w="2466" w:type="dxa"/>
            <w:vAlign w:val="center"/>
          </w:tcPr>
          <w:p>
            <w:pPr>
              <w:pStyle w:val="28"/>
            </w:pPr>
            <w:r>
              <w:t>≥4</w:t>
            </w:r>
          </w:p>
        </w:tc>
        <w:tc>
          <w:tcPr>
            <w:tcW w:w="2466" w:type="dxa"/>
            <w:vAlign w:val="center"/>
          </w:tcPr>
          <w:p>
            <w:pPr>
              <w:pStyle w:val="28"/>
            </w:pPr>
            <w:r>
              <w:t>活动开展需要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服务对象满意度</w:t>
            </w:r>
          </w:p>
        </w:tc>
      </w:tr>
    </w:tbl>
    <w:p>
      <w:pPr>
        <w:pStyle w:val="26"/>
        <w:sectPr>
          <w:pgSz w:w="16840" w:h="11900" w:orient="landscape"/>
          <w:pgMar w:top="1361" w:right="1020" w:bottom="1361"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2022年，中国共产主义青年团隆尧县委员会安排政府采购预算1.38万元。具体内容见下表。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712中国共产主义青年团隆尧县委员会</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1.38</w:t>
            </w:r>
          </w:p>
        </w:tc>
        <w:tc>
          <w:tcPr>
            <w:tcW w:w="924" w:type="dxa"/>
            <w:vAlign w:val="center"/>
          </w:tcPr>
          <w:p>
            <w:pPr>
              <w:pStyle w:val="17"/>
            </w:pPr>
            <w:r>
              <w:t>1.38</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中国共产主义青年团隆尧县委员会本级小计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1.38</w:t>
            </w:r>
          </w:p>
        </w:tc>
        <w:tc>
          <w:tcPr>
            <w:tcW w:w="924" w:type="dxa"/>
            <w:vAlign w:val="center"/>
          </w:tcPr>
          <w:p>
            <w:pPr>
              <w:pStyle w:val="17"/>
            </w:pPr>
            <w:r>
              <w:t>1.38</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青年中心建设项目</w:t>
            </w:r>
          </w:p>
        </w:tc>
        <w:tc>
          <w:tcPr>
            <w:tcW w:w="924" w:type="dxa"/>
            <w:vAlign w:val="center"/>
          </w:tcPr>
          <w:p>
            <w:pPr>
              <w:pStyle w:val="13"/>
            </w:pPr>
            <w:r>
              <w:t>3.95</w:t>
            </w:r>
          </w:p>
        </w:tc>
        <w:tc>
          <w:tcPr>
            <w:tcW w:w="924" w:type="dxa"/>
            <w:vAlign w:val="center"/>
          </w:tcPr>
          <w:p>
            <w:pPr>
              <w:pStyle w:val="14"/>
            </w:pPr>
            <w:r>
              <w:t>触控一体机</w:t>
            </w:r>
          </w:p>
        </w:tc>
        <w:tc>
          <w:tcPr>
            <w:tcW w:w="924" w:type="dxa"/>
            <w:vAlign w:val="center"/>
          </w:tcPr>
          <w:p>
            <w:pPr>
              <w:pStyle w:val="14"/>
            </w:pPr>
            <w:r>
              <w:t>A020208</w:t>
            </w:r>
          </w:p>
        </w:tc>
        <w:tc>
          <w:tcPr>
            <w:tcW w:w="924" w:type="dxa"/>
            <w:vAlign w:val="center"/>
          </w:tcPr>
          <w:p>
            <w:pPr>
              <w:pStyle w:val="15"/>
            </w:pPr>
            <w:r>
              <w:t>个</w:t>
            </w:r>
          </w:p>
        </w:tc>
        <w:tc>
          <w:tcPr>
            <w:tcW w:w="924" w:type="dxa"/>
            <w:vAlign w:val="center"/>
          </w:tcPr>
          <w:p>
            <w:pPr>
              <w:pStyle w:val="13"/>
            </w:pPr>
            <w:r>
              <w:t>1</w:t>
            </w:r>
          </w:p>
        </w:tc>
        <w:tc>
          <w:tcPr>
            <w:tcW w:w="924" w:type="dxa"/>
            <w:vAlign w:val="center"/>
          </w:tcPr>
          <w:p>
            <w:pPr>
              <w:pStyle w:val="13"/>
            </w:pPr>
            <w:r>
              <w:t>0.90</w:t>
            </w:r>
          </w:p>
        </w:tc>
        <w:tc>
          <w:tcPr>
            <w:tcW w:w="924" w:type="dxa"/>
            <w:vAlign w:val="center"/>
          </w:tcPr>
          <w:p>
            <w:pPr>
              <w:pStyle w:val="13"/>
            </w:pPr>
            <w:r>
              <w:t>0.90</w:t>
            </w:r>
          </w:p>
        </w:tc>
        <w:tc>
          <w:tcPr>
            <w:tcW w:w="924" w:type="dxa"/>
            <w:vAlign w:val="center"/>
          </w:tcPr>
          <w:p>
            <w:pPr>
              <w:pStyle w:val="13"/>
            </w:pPr>
            <w:r>
              <w:t>0.90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青年中心建设项目</w:t>
            </w:r>
          </w:p>
        </w:tc>
        <w:tc>
          <w:tcPr>
            <w:tcW w:w="924" w:type="dxa"/>
            <w:vAlign w:val="center"/>
          </w:tcPr>
          <w:p>
            <w:pPr>
              <w:pStyle w:val="13"/>
            </w:pPr>
            <w:r>
              <w:t>3.95</w:t>
            </w:r>
          </w:p>
        </w:tc>
        <w:tc>
          <w:tcPr>
            <w:tcW w:w="924" w:type="dxa"/>
            <w:vAlign w:val="center"/>
          </w:tcPr>
          <w:p>
            <w:pPr>
              <w:pStyle w:val="14"/>
            </w:pPr>
            <w:r>
              <w:t>木制台、桌类</w:t>
            </w:r>
          </w:p>
        </w:tc>
        <w:tc>
          <w:tcPr>
            <w:tcW w:w="924" w:type="dxa"/>
            <w:vAlign w:val="center"/>
          </w:tcPr>
          <w:p>
            <w:pPr>
              <w:pStyle w:val="14"/>
            </w:pPr>
            <w:r>
              <w:t>A060205</w:t>
            </w:r>
          </w:p>
        </w:tc>
        <w:tc>
          <w:tcPr>
            <w:tcW w:w="924" w:type="dxa"/>
            <w:vAlign w:val="center"/>
          </w:tcPr>
          <w:p>
            <w:pPr>
              <w:pStyle w:val="15"/>
            </w:pPr>
            <w:r>
              <w:t>套</w:t>
            </w:r>
          </w:p>
        </w:tc>
        <w:tc>
          <w:tcPr>
            <w:tcW w:w="924" w:type="dxa"/>
            <w:vAlign w:val="center"/>
          </w:tcPr>
          <w:p>
            <w:pPr>
              <w:pStyle w:val="13"/>
            </w:pPr>
            <w:r>
              <w:t>1</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预防青少年违法犯罪</w:t>
            </w:r>
          </w:p>
        </w:tc>
        <w:tc>
          <w:tcPr>
            <w:tcW w:w="924" w:type="dxa"/>
            <w:vAlign w:val="center"/>
          </w:tcPr>
          <w:p>
            <w:pPr>
              <w:pStyle w:val="13"/>
            </w:pPr>
            <w:r>
              <w:t>2.00</w:t>
            </w:r>
          </w:p>
        </w:tc>
        <w:tc>
          <w:tcPr>
            <w:tcW w:w="924" w:type="dxa"/>
            <w:vAlign w:val="center"/>
          </w:tcPr>
          <w:p>
            <w:pPr>
              <w:pStyle w:val="14"/>
            </w:pPr>
            <w:r>
              <w:t>复印纸</w:t>
            </w:r>
          </w:p>
        </w:tc>
        <w:tc>
          <w:tcPr>
            <w:tcW w:w="924" w:type="dxa"/>
            <w:vAlign w:val="center"/>
          </w:tcPr>
          <w:p>
            <w:pPr>
              <w:pStyle w:val="14"/>
            </w:pPr>
            <w:r>
              <w:t>A090101</w:t>
            </w:r>
          </w:p>
        </w:tc>
        <w:tc>
          <w:tcPr>
            <w:tcW w:w="924" w:type="dxa"/>
            <w:vAlign w:val="center"/>
          </w:tcPr>
          <w:p>
            <w:pPr>
              <w:pStyle w:val="15"/>
            </w:pPr>
            <w:r>
              <w:t>箱</w:t>
            </w:r>
          </w:p>
        </w:tc>
        <w:tc>
          <w:tcPr>
            <w:tcW w:w="924" w:type="dxa"/>
            <w:vAlign w:val="center"/>
          </w:tcPr>
          <w:p>
            <w:pPr>
              <w:pStyle w:val="13"/>
            </w:pPr>
            <w:r>
              <w:t>4</w:t>
            </w:r>
          </w:p>
        </w:tc>
        <w:tc>
          <w:tcPr>
            <w:tcW w:w="924" w:type="dxa"/>
            <w:vAlign w:val="center"/>
          </w:tcPr>
          <w:p>
            <w:pPr>
              <w:pStyle w:val="13"/>
            </w:pPr>
            <w:r>
              <w:t>0.02</w:t>
            </w:r>
          </w:p>
        </w:tc>
        <w:tc>
          <w:tcPr>
            <w:tcW w:w="924" w:type="dxa"/>
            <w:vAlign w:val="center"/>
          </w:tcPr>
          <w:p>
            <w:pPr>
              <w:pStyle w:val="13"/>
            </w:pPr>
            <w:r>
              <w:t>0.08</w:t>
            </w:r>
          </w:p>
        </w:tc>
        <w:tc>
          <w:tcPr>
            <w:tcW w:w="924" w:type="dxa"/>
            <w:vAlign w:val="center"/>
          </w:tcPr>
          <w:p>
            <w:pPr>
              <w:pStyle w:val="13"/>
            </w:pPr>
            <w:r>
              <w:t>0.08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bookmarkStart w:id="15" w:name="_Toc_3_3_0000000016"/>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中国共产主义青年团隆尧县委员会（含所属单位）上年末固定资产金额为5.56万元（详见下表）。本年度拟购置固定资产总额为1.30万元，已按要求列入政府采购预算，详见政府采购预算表。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712中国共产主义青年团隆尧县委员会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rPr>
                <w:rFonts w:hint="default" w:eastAsia="方正书宋_GBK"/>
                <w:lang w:val="en-US" w:eastAsia="zh-CN"/>
              </w:rPr>
            </w:pPr>
            <w:r>
              <w:rPr>
                <w:rFonts w:hint="eastAsia"/>
                <w:lang w:val="en-US" w:eastAsia="zh-CN"/>
              </w:rPr>
              <w:t>31</w:t>
            </w:r>
          </w:p>
        </w:tc>
        <w:tc>
          <w:tcPr>
            <w:tcW w:w="4933" w:type="dxa"/>
            <w:vAlign w:val="center"/>
          </w:tcPr>
          <w:p>
            <w:pPr>
              <w:pStyle w:val="13"/>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31</w:t>
            </w:r>
          </w:p>
        </w:tc>
        <w:tc>
          <w:tcPr>
            <w:tcW w:w="4933" w:type="dxa"/>
            <w:vAlign w:val="center"/>
          </w:tcPr>
          <w:p>
            <w:pPr>
              <w:pStyle w:val="13"/>
              <w:rPr>
                <w:rFonts w:hint="default" w:eastAsia="方正书宋_GBK"/>
                <w:lang w:val="en-US" w:eastAsia="zh-CN"/>
              </w:rPr>
            </w:pPr>
            <w:r>
              <w:rPr>
                <w:rFonts w:hint="eastAsia"/>
                <w:lang w:val="en-US" w:eastAsia="zh-CN"/>
              </w:rPr>
              <w:t>5.56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bookmarkStart w:id="16" w:name="_Toc_3_3_0000000017"/>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bookmarkStart w:id="17" w:name="_Toc_3_3_0000000018"/>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rPr>
          <w:rFonts w:ascii="黑体" w:hAnsi="黑体" w:eastAsia="黑体" w:cs="黑体"/>
          <w:color w:val="000000"/>
          <w:sz w:val="32"/>
        </w:rPr>
      </w:pPr>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02A831E-A5A1-48EB-A11D-26CFD398297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E1C1F8F6-1CAC-4248-B7B1-F2975258E019}"/>
  </w:font>
  <w:font w:name="方正仿宋_GBK">
    <w:altName w:val="微软雅黑"/>
    <w:panose1 w:val="02000000000000000000"/>
    <w:charset w:val="86"/>
    <w:family w:val="auto"/>
    <w:pitch w:val="default"/>
    <w:sig w:usb0="00000000" w:usb1="00000000" w:usb2="00000000" w:usb3="00000000" w:csb0="00040000" w:csb1="00000000"/>
    <w:embedRegular r:id="rId3" w:fontKey="{22114254-9897-49DC-9381-257D379ADD15}"/>
  </w:font>
  <w:font w:name="方正小标宋_GBK">
    <w:altName w:val="微软雅黑"/>
    <w:panose1 w:val="02000000000000000000"/>
    <w:charset w:val="86"/>
    <w:family w:val="auto"/>
    <w:pitch w:val="default"/>
    <w:sig w:usb0="00000000" w:usb1="00000000" w:usb2="00082016" w:usb3="00000000" w:csb0="00040001" w:csb1="00000000"/>
    <w:embedRegular r:id="rId4" w:fontKey="{C337F92F-B49C-47EF-BD69-097DA1732945}"/>
  </w:font>
  <w:font w:name="方正书宋_GBK">
    <w:altName w:val="微软雅黑"/>
    <w:panose1 w:val="02000000000000000000"/>
    <w:charset w:val="86"/>
    <w:family w:val="auto"/>
    <w:pitch w:val="default"/>
    <w:sig w:usb0="00000000" w:usb1="00000000" w:usb2="00000000" w:usb3="00000000" w:csb0="00040000" w:csb1="00000000"/>
    <w:embedRegular r:id="rId5" w:fontKey="{E01875F4-0B50-4278-BEED-DC47534C2281}"/>
  </w:font>
  <w:font w:name="方正楷体_GBK">
    <w:altName w:val="微软雅黑"/>
    <w:panose1 w:val="02000000000000000000"/>
    <w:charset w:val="86"/>
    <w:family w:val="auto"/>
    <w:pitch w:val="default"/>
    <w:sig w:usb0="00000000" w:usb1="00000000" w:usb2="00000000" w:usb3="00000000" w:csb0="00040000" w:csb1="00000000"/>
    <w:embedRegular r:id="rId6" w:fontKey="{6307CAC8-5FB1-406E-A2F7-47616126A29C}"/>
  </w:font>
  <w:font w:name="楷体">
    <w:panose1 w:val="02010609060101010101"/>
    <w:charset w:val="86"/>
    <w:family w:val="auto"/>
    <w:pitch w:val="default"/>
    <w:sig w:usb0="800002BF" w:usb1="38CF7CFA" w:usb2="00000016" w:usb3="00000000" w:csb0="00040001" w:csb1="00000000"/>
    <w:embedRegular r:id="rId7" w:fontKey="{DF3ED4A1-0E2F-4F48-9A7D-D9C7494A0003}"/>
  </w:font>
  <w:font w:name="微软雅黑">
    <w:panose1 w:val="020B0503020204020204"/>
    <w:charset w:val="86"/>
    <w:family w:val="auto"/>
    <w:pitch w:val="default"/>
    <w:sig w:usb0="80000287" w:usb1="28C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52E473E"/>
    <w:multiLevelType w:val="singleLevel"/>
    <w:tmpl w:val="E52E473E"/>
    <w:lvl w:ilvl="0" w:tentative="0">
      <w:start w:val="4"/>
      <w:numFmt w:val="chineseCounting"/>
      <w:suff w:val="nothing"/>
      <w:lvlText w:val="%1、"/>
      <w:lvlJc w:val="left"/>
      <w:rPr>
        <w:rFonts w:hint="eastAsia"/>
      </w:rPr>
    </w:lvl>
  </w:abstractNum>
  <w:abstractNum w:abstractNumId="1">
    <w:nsid w:val="61D1D67A"/>
    <w:multiLevelType w:val="singleLevel"/>
    <w:tmpl w:val="61D1D67A"/>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diYjU2NWUxMzE2NGI4YWRjODU5NWIxZTUyNWIzZjUifQ=="/>
  </w:docVars>
  <w:rsids>
    <w:rsidRoot w:val="00000000"/>
    <w:rsid w:val="04047E05"/>
    <w:rsid w:val="078248F3"/>
    <w:rsid w:val="08F24DDE"/>
    <w:rsid w:val="12E2054E"/>
    <w:rsid w:val="140A7114"/>
    <w:rsid w:val="1782529E"/>
    <w:rsid w:val="18F17856"/>
    <w:rsid w:val="2406231C"/>
    <w:rsid w:val="27AB1CB6"/>
    <w:rsid w:val="282E2754"/>
    <w:rsid w:val="3CA41D62"/>
    <w:rsid w:val="3CFA72EC"/>
    <w:rsid w:val="3EB36733"/>
    <w:rsid w:val="4D236E18"/>
    <w:rsid w:val="4F4E56CB"/>
    <w:rsid w:val="52420AF2"/>
    <w:rsid w:val="533F6EA0"/>
    <w:rsid w:val="543B27E9"/>
    <w:rsid w:val="54984573"/>
    <w:rsid w:val="5F3377DF"/>
    <w:rsid w:val="6EF32A92"/>
    <w:rsid w:val="71D15700"/>
    <w:rsid w:val="72301768"/>
    <w:rsid w:val="74931AB2"/>
    <w:rsid w:val="7EEDB39E"/>
    <w:rsid w:val="7F2C2E40"/>
    <w:rsid w:val="FEF95B4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9b54137-b9db-4f82-a773-8c52beb4aa2c"/>
    <w:qFormat/>
    <w:uiPriority w:val="0"/>
    <w:rPr>
      <w:rFonts w:ascii="Times New Roman" w:hAnsi="Times New Roman" w:eastAsia="Times New Roman" w:cstheme="minorBidi"/>
      <w:sz w:val="24"/>
      <w:szCs w:val="24"/>
      <w:lang w:val="en-US" w:eastAsia="uk-UA" w:bidi="ar-SA"/>
    </w:rPr>
  </w:style>
  <w:style w:type="paragraph" w:customStyle="1" w:styleId="27">
    <w:name w:val="单元格样式1_9ac304c5-4e2d-4dc9-a61a-b6b66e4ee13c"/>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4d8b62b8-fa0f-4bbe-972c-a8301d2d4649"/>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ab237367-ad3e-4ee2-a7c6-6685a00c4ce9"/>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Words>8040</Words>
  <Characters>9151</Characters>
  <TotalTime>6</TotalTime>
  <ScaleCrop>false</ScaleCrop>
  <LinksUpToDate>false</LinksUpToDate>
  <CharactersWithSpaces>9339</CharactersWithSpaces>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2022-02-15T22:44:00Z</dcterms:created>
  <dc:creator>Administrator</dc:creator>
  <cp:lastModifiedBy>扁豆</cp:lastModifiedBy>
  <dcterms:modified xsi:type="dcterms:W3CDTF">2023-09-06T01:46:54Z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73102FA9C00F6A62634C8064F62491D4</vt:lpwstr>
  </property>
</Properties>
</file>