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18</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69.12</w:t>
            </w:r>
          </w:p>
        </w:tc>
        <w:tc>
          <w:tcPr>
            <w:tcW w:w="1971" w:type="dxa"/>
            <w:vAlign w:val="center"/>
          </w:tcPr>
          <w:p>
            <w:pPr>
              <w:pStyle w:val="14"/>
            </w:pPr>
            <w:r>
              <w:t>一、一般公共服务支出</w:t>
            </w:r>
          </w:p>
        </w:tc>
        <w:tc>
          <w:tcPr>
            <w:tcW w:w="1971" w:type="dxa"/>
            <w:vAlign w:val="center"/>
          </w:tcPr>
          <w:p>
            <w:pPr>
              <w:pStyle w:val="13"/>
            </w:pPr>
            <w:r>
              <w:t>57.98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二十六、年初预留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69.12</w:t>
            </w:r>
          </w:p>
        </w:tc>
        <w:tc>
          <w:tcPr>
            <w:tcW w:w="1971" w:type="dxa"/>
            <w:vAlign w:val="center"/>
          </w:tcPr>
          <w:p>
            <w:pPr>
              <w:pStyle w:val="16"/>
            </w:pPr>
            <w:r>
              <w:t>本年支出合计</w:t>
            </w:r>
          </w:p>
        </w:tc>
        <w:tc>
          <w:tcPr>
            <w:tcW w:w="1971" w:type="dxa"/>
            <w:vAlign w:val="center"/>
          </w:tcPr>
          <w:p>
            <w:pPr>
              <w:pStyle w:val="17"/>
            </w:pPr>
            <w:r>
              <w:t>69.12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69.12</w:t>
            </w:r>
          </w:p>
        </w:tc>
        <w:tc>
          <w:tcPr>
            <w:tcW w:w="1971" w:type="dxa"/>
            <w:vAlign w:val="center"/>
          </w:tcPr>
          <w:p>
            <w:pPr>
              <w:pStyle w:val="16"/>
            </w:pPr>
            <w:r>
              <w:t>支出总计</w:t>
            </w:r>
          </w:p>
        </w:tc>
        <w:tc>
          <w:tcPr>
            <w:tcW w:w="1971" w:type="dxa"/>
            <w:vAlign w:val="center"/>
          </w:tcPr>
          <w:p>
            <w:pPr>
              <w:pStyle w:val="17"/>
            </w:pPr>
            <w:r>
              <w:t>69.12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69.12</w:t>
            </w:r>
          </w:p>
        </w:tc>
        <w:tc>
          <w:tcPr>
            <w:tcW w:w="758" w:type="dxa"/>
            <w:vAlign w:val="center"/>
          </w:tcPr>
          <w:p>
            <w:pPr>
              <w:pStyle w:val="17"/>
            </w:pPr>
            <w:r>
              <w:t>69.12</w:t>
            </w:r>
          </w:p>
        </w:tc>
        <w:tc>
          <w:tcPr>
            <w:tcW w:w="758" w:type="dxa"/>
            <w:vAlign w:val="center"/>
          </w:tcPr>
          <w:p>
            <w:pPr>
              <w:pStyle w:val="17"/>
            </w:pPr>
            <w:r>
              <w:t>69.12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57.98</w:t>
            </w:r>
          </w:p>
        </w:tc>
        <w:tc>
          <w:tcPr>
            <w:tcW w:w="758" w:type="dxa"/>
            <w:vAlign w:val="center"/>
          </w:tcPr>
          <w:p>
            <w:pPr>
              <w:pStyle w:val="13"/>
            </w:pPr>
            <w:r>
              <w:t>57.98</w:t>
            </w:r>
          </w:p>
        </w:tc>
        <w:tc>
          <w:tcPr>
            <w:tcW w:w="758" w:type="dxa"/>
            <w:vAlign w:val="center"/>
          </w:tcPr>
          <w:p>
            <w:pPr>
              <w:pStyle w:val="13"/>
            </w:pPr>
            <w:r>
              <w:t>57.98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20136</w:t>
            </w:r>
          </w:p>
        </w:tc>
        <w:tc>
          <w:tcPr>
            <w:tcW w:w="758" w:type="dxa"/>
            <w:vAlign w:val="center"/>
          </w:tcPr>
          <w:p>
            <w:pPr>
              <w:pStyle w:val="14"/>
            </w:pPr>
            <w:r>
              <w:t>其他共产党事务支出</w:t>
            </w:r>
          </w:p>
        </w:tc>
        <w:tc>
          <w:tcPr>
            <w:tcW w:w="758" w:type="dxa"/>
            <w:vAlign w:val="center"/>
          </w:tcPr>
          <w:p>
            <w:pPr>
              <w:pStyle w:val="13"/>
            </w:pPr>
            <w:r>
              <w:t>57.98</w:t>
            </w:r>
          </w:p>
        </w:tc>
        <w:tc>
          <w:tcPr>
            <w:tcW w:w="758" w:type="dxa"/>
            <w:vAlign w:val="center"/>
          </w:tcPr>
          <w:p>
            <w:pPr>
              <w:pStyle w:val="13"/>
            </w:pPr>
            <w:r>
              <w:t>57.98</w:t>
            </w:r>
          </w:p>
        </w:tc>
        <w:tc>
          <w:tcPr>
            <w:tcW w:w="758" w:type="dxa"/>
            <w:vAlign w:val="center"/>
          </w:tcPr>
          <w:p>
            <w:pPr>
              <w:pStyle w:val="13"/>
            </w:pPr>
            <w:r>
              <w:t>57.98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2013601</w:t>
            </w:r>
          </w:p>
        </w:tc>
        <w:tc>
          <w:tcPr>
            <w:tcW w:w="758" w:type="dxa"/>
            <w:vAlign w:val="center"/>
          </w:tcPr>
          <w:p>
            <w:pPr>
              <w:pStyle w:val="14"/>
            </w:pPr>
            <w:r>
              <w:t>行政运行</w:t>
            </w:r>
          </w:p>
        </w:tc>
        <w:tc>
          <w:tcPr>
            <w:tcW w:w="758" w:type="dxa"/>
            <w:vAlign w:val="center"/>
          </w:tcPr>
          <w:p>
            <w:pPr>
              <w:pStyle w:val="13"/>
            </w:pPr>
            <w:r>
              <w:t>57.98</w:t>
            </w:r>
          </w:p>
        </w:tc>
        <w:tc>
          <w:tcPr>
            <w:tcW w:w="758" w:type="dxa"/>
            <w:vAlign w:val="center"/>
          </w:tcPr>
          <w:p>
            <w:pPr>
              <w:pStyle w:val="13"/>
            </w:pPr>
            <w:r>
              <w:t>57.98</w:t>
            </w:r>
          </w:p>
        </w:tc>
        <w:tc>
          <w:tcPr>
            <w:tcW w:w="758" w:type="dxa"/>
            <w:vAlign w:val="center"/>
          </w:tcPr>
          <w:p>
            <w:pPr>
              <w:pStyle w:val="13"/>
            </w:pPr>
            <w:r>
              <w:t>57.98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4.86</w:t>
            </w:r>
          </w:p>
        </w:tc>
        <w:tc>
          <w:tcPr>
            <w:tcW w:w="758" w:type="dxa"/>
            <w:vAlign w:val="center"/>
          </w:tcPr>
          <w:p>
            <w:pPr>
              <w:pStyle w:val="13"/>
            </w:pPr>
            <w:r>
              <w:t>4.86</w:t>
            </w:r>
          </w:p>
        </w:tc>
        <w:tc>
          <w:tcPr>
            <w:tcW w:w="758" w:type="dxa"/>
            <w:vAlign w:val="center"/>
          </w:tcPr>
          <w:p>
            <w:pPr>
              <w:pStyle w:val="13"/>
            </w:pPr>
            <w:r>
              <w:t>4.86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4.86</w:t>
            </w:r>
          </w:p>
        </w:tc>
        <w:tc>
          <w:tcPr>
            <w:tcW w:w="758" w:type="dxa"/>
            <w:vAlign w:val="center"/>
          </w:tcPr>
          <w:p>
            <w:pPr>
              <w:pStyle w:val="13"/>
            </w:pPr>
            <w:r>
              <w:t>4.86</w:t>
            </w:r>
          </w:p>
        </w:tc>
        <w:tc>
          <w:tcPr>
            <w:tcW w:w="758" w:type="dxa"/>
            <w:vAlign w:val="center"/>
          </w:tcPr>
          <w:p>
            <w:pPr>
              <w:pStyle w:val="13"/>
            </w:pPr>
            <w:r>
              <w:t>4.86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4.86</w:t>
            </w:r>
          </w:p>
        </w:tc>
        <w:tc>
          <w:tcPr>
            <w:tcW w:w="758" w:type="dxa"/>
            <w:vAlign w:val="center"/>
          </w:tcPr>
          <w:p>
            <w:pPr>
              <w:pStyle w:val="13"/>
            </w:pPr>
            <w:r>
              <w:t>4.86</w:t>
            </w:r>
          </w:p>
        </w:tc>
        <w:tc>
          <w:tcPr>
            <w:tcW w:w="758" w:type="dxa"/>
            <w:vAlign w:val="center"/>
          </w:tcPr>
          <w:p>
            <w:pPr>
              <w:pStyle w:val="13"/>
            </w:pPr>
            <w:r>
              <w:t>4.86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2.20</w:t>
            </w:r>
          </w:p>
        </w:tc>
        <w:tc>
          <w:tcPr>
            <w:tcW w:w="758" w:type="dxa"/>
            <w:vAlign w:val="center"/>
          </w:tcPr>
          <w:p>
            <w:pPr>
              <w:pStyle w:val="13"/>
            </w:pPr>
            <w:r>
              <w:t>2.20</w:t>
            </w:r>
          </w:p>
        </w:tc>
        <w:tc>
          <w:tcPr>
            <w:tcW w:w="758" w:type="dxa"/>
            <w:vAlign w:val="center"/>
          </w:tcPr>
          <w:p>
            <w:pPr>
              <w:pStyle w:val="13"/>
            </w:pPr>
            <w:r>
              <w:t>2.20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2.20</w:t>
            </w:r>
          </w:p>
        </w:tc>
        <w:tc>
          <w:tcPr>
            <w:tcW w:w="758" w:type="dxa"/>
            <w:vAlign w:val="center"/>
          </w:tcPr>
          <w:p>
            <w:pPr>
              <w:pStyle w:val="13"/>
            </w:pPr>
            <w:r>
              <w:t>2.20</w:t>
            </w:r>
          </w:p>
        </w:tc>
        <w:tc>
          <w:tcPr>
            <w:tcW w:w="758" w:type="dxa"/>
            <w:vAlign w:val="center"/>
          </w:tcPr>
          <w:p>
            <w:pPr>
              <w:pStyle w:val="13"/>
            </w:pPr>
            <w:r>
              <w:t>2.20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2.20</w:t>
            </w:r>
          </w:p>
        </w:tc>
        <w:tc>
          <w:tcPr>
            <w:tcW w:w="758" w:type="dxa"/>
            <w:vAlign w:val="center"/>
          </w:tcPr>
          <w:p>
            <w:pPr>
              <w:pStyle w:val="13"/>
            </w:pPr>
            <w:r>
              <w:t>2.20</w:t>
            </w:r>
          </w:p>
        </w:tc>
        <w:tc>
          <w:tcPr>
            <w:tcW w:w="758" w:type="dxa"/>
            <w:vAlign w:val="center"/>
          </w:tcPr>
          <w:p>
            <w:pPr>
              <w:pStyle w:val="13"/>
            </w:pPr>
            <w:r>
              <w:t>2.20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4.08</w:t>
            </w:r>
          </w:p>
        </w:tc>
        <w:tc>
          <w:tcPr>
            <w:tcW w:w="758" w:type="dxa"/>
            <w:vAlign w:val="center"/>
          </w:tcPr>
          <w:p>
            <w:pPr>
              <w:pStyle w:val="13"/>
            </w:pPr>
            <w:r>
              <w:t>4.08</w:t>
            </w:r>
          </w:p>
        </w:tc>
        <w:tc>
          <w:tcPr>
            <w:tcW w:w="758" w:type="dxa"/>
            <w:vAlign w:val="center"/>
          </w:tcPr>
          <w:p>
            <w:pPr>
              <w:pStyle w:val="13"/>
            </w:pPr>
            <w:r>
              <w:t>4.08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4.08</w:t>
            </w:r>
          </w:p>
        </w:tc>
        <w:tc>
          <w:tcPr>
            <w:tcW w:w="758" w:type="dxa"/>
            <w:vAlign w:val="center"/>
          </w:tcPr>
          <w:p>
            <w:pPr>
              <w:pStyle w:val="13"/>
            </w:pPr>
            <w:r>
              <w:t>4.08</w:t>
            </w:r>
          </w:p>
        </w:tc>
        <w:tc>
          <w:tcPr>
            <w:tcW w:w="758" w:type="dxa"/>
            <w:vAlign w:val="center"/>
          </w:tcPr>
          <w:p>
            <w:pPr>
              <w:pStyle w:val="13"/>
            </w:pPr>
            <w:r>
              <w:t>4.08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4.08</w:t>
            </w:r>
          </w:p>
        </w:tc>
        <w:tc>
          <w:tcPr>
            <w:tcW w:w="758" w:type="dxa"/>
            <w:vAlign w:val="center"/>
          </w:tcPr>
          <w:p>
            <w:pPr>
              <w:pStyle w:val="13"/>
            </w:pPr>
            <w:r>
              <w:t>4.08</w:t>
            </w:r>
          </w:p>
        </w:tc>
        <w:tc>
          <w:tcPr>
            <w:tcW w:w="758" w:type="dxa"/>
            <w:vAlign w:val="center"/>
          </w:tcPr>
          <w:p>
            <w:pPr>
              <w:pStyle w:val="13"/>
            </w:pPr>
            <w:r>
              <w:t>4.08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69.12</w:t>
            </w:r>
          </w:p>
        </w:tc>
        <w:tc>
          <w:tcPr>
            <w:tcW w:w="1095" w:type="dxa"/>
            <w:vAlign w:val="center"/>
          </w:tcPr>
          <w:p>
            <w:pPr>
              <w:pStyle w:val="17"/>
            </w:pPr>
            <w:r>
              <w:t>60.62</w:t>
            </w:r>
          </w:p>
        </w:tc>
        <w:tc>
          <w:tcPr>
            <w:tcW w:w="1095" w:type="dxa"/>
            <w:vAlign w:val="center"/>
          </w:tcPr>
          <w:p>
            <w:pPr>
              <w:pStyle w:val="17"/>
            </w:pPr>
            <w:r>
              <w:t>8.50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57.98</w:t>
            </w:r>
          </w:p>
        </w:tc>
        <w:tc>
          <w:tcPr>
            <w:tcW w:w="1095" w:type="dxa"/>
            <w:vAlign w:val="center"/>
          </w:tcPr>
          <w:p>
            <w:pPr>
              <w:pStyle w:val="13"/>
            </w:pPr>
            <w:r>
              <w:t>49.48</w:t>
            </w:r>
          </w:p>
        </w:tc>
        <w:tc>
          <w:tcPr>
            <w:tcW w:w="1095" w:type="dxa"/>
            <w:vAlign w:val="center"/>
          </w:tcPr>
          <w:p>
            <w:pPr>
              <w:pStyle w:val="13"/>
            </w:pPr>
            <w:r>
              <w:t>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20136</w:t>
            </w:r>
          </w:p>
        </w:tc>
        <w:tc>
          <w:tcPr>
            <w:tcW w:w="1095" w:type="dxa"/>
            <w:vAlign w:val="center"/>
          </w:tcPr>
          <w:p>
            <w:pPr>
              <w:pStyle w:val="14"/>
            </w:pPr>
            <w:r>
              <w:t>其他共产党事务支出</w:t>
            </w:r>
          </w:p>
        </w:tc>
        <w:tc>
          <w:tcPr>
            <w:tcW w:w="1095" w:type="dxa"/>
            <w:vAlign w:val="center"/>
          </w:tcPr>
          <w:p>
            <w:pPr>
              <w:pStyle w:val="13"/>
            </w:pPr>
            <w:r>
              <w:t>57.98</w:t>
            </w:r>
          </w:p>
        </w:tc>
        <w:tc>
          <w:tcPr>
            <w:tcW w:w="1095" w:type="dxa"/>
            <w:vAlign w:val="center"/>
          </w:tcPr>
          <w:p>
            <w:pPr>
              <w:pStyle w:val="13"/>
            </w:pPr>
            <w:r>
              <w:t>49.48</w:t>
            </w:r>
          </w:p>
        </w:tc>
        <w:tc>
          <w:tcPr>
            <w:tcW w:w="1095" w:type="dxa"/>
            <w:vAlign w:val="center"/>
          </w:tcPr>
          <w:p>
            <w:pPr>
              <w:pStyle w:val="13"/>
            </w:pPr>
            <w:r>
              <w:t>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2013601</w:t>
            </w:r>
          </w:p>
        </w:tc>
        <w:tc>
          <w:tcPr>
            <w:tcW w:w="1095" w:type="dxa"/>
            <w:vAlign w:val="center"/>
          </w:tcPr>
          <w:p>
            <w:pPr>
              <w:pStyle w:val="14"/>
            </w:pPr>
            <w:r>
              <w:t>行政运行</w:t>
            </w:r>
          </w:p>
        </w:tc>
        <w:tc>
          <w:tcPr>
            <w:tcW w:w="1095" w:type="dxa"/>
            <w:vAlign w:val="center"/>
          </w:tcPr>
          <w:p>
            <w:pPr>
              <w:pStyle w:val="13"/>
            </w:pPr>
            <w:r>
              <w:t>57.98</w:t>
            </w:r>
          </w:p>
        </w:tc>
        <w:tc>
          <w:tcPr>
            <w:tcW w:w="1095" w:type="dxa"/>
            <w:vAlign w:val="center"/>
          </w:tcPr>
          <w:p>
            <w:pPr>
              <w:pStyle w:val="13"/>
            </w:pPr>
            <w:r>
              <w:t>49.48</w:t>
            </w:r>
          </w:p>
        </w:tc>
        <w:tc>
          <w:tcPr>
            <w:tcW w:w="1095" w:type="dxa"/>
            <w:vAlign w:val="center"/>
          </w:tcPr>
          <w:p>
            <w:pPr>
              <w:pStyle w:val="13"/>
            </w:pPr>
            <w:r>
              <w:t>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4.86</w:t>
            </w:r>
          </w:p>
        </w:tc>
        <w:tc>
          <w:tcPr>
            <w:tcW w:w="1095" w:type="dxa"/>
            <w:vAlign w:val="center"/>
          </w:tcPr>
          <w:p>
            <w:pPr>
              <w:pStyle w:val="13"/>
            </w:pPr>
            <w:r>
              <w:t>4.86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4.86</w:t>
            </w:r>
          </w:p>
        </w:tc>
        <w:tc>
          <w:tcPr>
            <w:tcW w:w="1095" w:type="dxa"/>
            <w:vAlign w:val="center"/>
          </w:tcPr>
          <w:p>
            <w:pPr>
              <w:pStyle w:val="13"/>
            </w:pPr>
            <w:r>
              <w:t>4.86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4.86</w:t>
            </w:r>
          </w:p>
        </w:tc>
        <w:tc>
          <w:tcPr>
            <w:tcW w:w="1095" w:type="dxa"/>
            <w:vAlign w:val="center"/>
          </w:tcPr>
          <w:p>
            <w:pPr>
              <w:pStyle w:val="13"/>
            </w:pPr>
            <w:r>
              <w:t>4.86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2.20</w:t>
            </w:r>
          </w:p>
        </w:tc>
        <w:tc>
          <w:tcPr>
            <w:tcW w:w="1095" w:type="dxa"/>
            <w:vAlign w:val="center"/>
          </w:tcPr>
          <w:p>
            <w:pPr>
              <w:pStyle w:val="13"/>
            </w:pPr>
            <w:r>
              <w:t>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2.20</w:t>
            </w:r>
          </w:p>
        </w:tc>
        <w:tc>
          <w:tcPr>
            <w:tcW w:w="1095" w:type="dxa"/>
            <w:vAlign w:val="center"/>
          </w:tcPr>
          <w:p>
            <w:pPr>
              <w:pStyle w:val="13"/>
            </w:pPr>
            <w:r>
              <w:t>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2.20</w:t>
            </w:r>
          </w:p>
        </w:tc>
        <w:tc>
          <w:tcPr>
            <w:tcW w:w="1095" w:type="dxa"/>
            <w:vAlign w:val="center"/>
          </w:tcPr>
          <w:p>
            <w:pPr>
              <w:pStyle w:val="13"/>
            </w:pPr>
            <w:r>
              <w:t>2.20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4.08</w:t>
            </w:r>
          </w:p>
        </w:tc>
        <w:tc>
          <w:tcPr>
            <w:tcW w:w="1095" w:type="dxa"/>
            <w:vAlign w:val="center"/>
          </w:tcPr>
          <w:p>
            <w:pPr>
              <w:pStyle w:val="13"/>
            </w:pPr>
            <w:r>
              <w:t>4.08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4.08</w:t>
            </w:r>
          </w:p>
        </w:tc>
        <w:tc>
          <w:tcPr>
            <w:tcW w:w="1095" w:type="dxa"/>
            <w:vAlign w:val="center"/>
          </w:tcPr>
          <w:p>
            <w:pPr>
              <w:pStyle w:val="13"/>
            </w:pPr>
            <w:r>
              <w:t>4.08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4.08</w:t>
            </w:r>
          </w:p>
        </w:tc>
        <w:tc>
          <w:tcPr>
            <w:tcW w:w="1095" w:type="dxa"/>
            <w:vAlign w:val="center"/>
          </w:tcPr>
          <w:p>
            <w:pPr>
              <w:pStyle w:val="13"/>
            </w:pPr>
            <w:r>
              <w:t>4.08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69.12</w:t>
            </w:r>
          </w:p>
        </w:tc>
        <w:tc>
          <w:tcPr>
            <w:tcW w:w="1232" w:type="dxa"/>
            <w:vAlign w:val="center"/>
          </w:tcPr>
          <w:p>
            <w:pPr>
              <w:pStyle w:val="14"/>
            </w:pPr>
            <w:r>
              <w:t>一、一般公共服务支出</w:t>
            </w:r>
          </w:p>
        </w:tc>
        <w:tc>
          <w:tcPr>
            <w:tcW w:w="1232" w:type="dxa"/>
            <w:vAlign w:val="center"/>
          </w:tcPr>
          <w:p>
            <w:pPr>
              <w:pStyle w:val="13"/>
            </w:pPr>
            <w:r>
              <w:t>57.98</w:t>
            </w:r>
          </w:p>
        </w:tc>
        <w:tc>
          <w:tcPr>
            <w:tcW w:w="1232" w:type="dxa"/>
            <w:vAlign w:val="center"/>
          </w:tcPr>
          <w:p>
            <w:pPr>
              <w:pStyle w:val="13"/>
            </w:pPr>
            <w:r>
              <w:t>57.98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4.86</w:t>
            </w:r>
          </w:p>
        </w:tc>
        <w:tc>
          <w:tcPr>
            <w:tcW w:w="1232" w:type="dxa"/>
            <w:vAlign w:val="center"/>
          </w:tcPr>
          <w:p>
            <w:pPr>
              <w:pStyle w:val="13"/>
            </w:pPr>
            <w:r>
              <w:t>4.86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2.20</w:t>
            </w:r>
          </w:p>
        </w:tc>
        <w:tc>
          <w:tcPr>
            <w:tcW w:w="1232" w:type="dxa"/>
            <w:vAlign w:val="center"/>
          </w:tcPr>
          <w:p>
            <w:pPr>
              <w:pStyle w:val="13"/>
            </w:pPr>
            <w:r>
              <w:t>2.20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4.08</w:t>
            </w:r>
          </w:p>
        </w:tc>
        <w:tc>
          <w:tcPr>
            <w:tcW w:w="1232" w:type="dxa"/>
            <w:vAlign w:val="center"/>
          </w:tcPr>
          <w:p>
            <w:pPr>
              <w:pStyle w:val="13"/>
            </w:pPr>
            <w:r>
              <w:t>4.08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69.12</w:t>
            </w:r>
          </w:p>
        </w:tc>
        <w:tc>
          <w:tcPr>
            <w:tcW w:w="1232" w:type="dxa"/>
            <w:vAlign w:val="center"/>
          </w:tcPr>
          <w:p>
            <w:pPr>
              <w:pStyle w:val="16"/>
            </w:pPr>
            <w:r>
              <w:t>本年支出合计</w:t>
            </w:r>
          </w:p>
        </w:tc>
        <w:tc>
          <w:tcPr>
            <w:tcW w:w="1232" w:type="dxa"/>
            <w:vAlign w:val="center"/>
          </w:tcPr>
          <w:p>
            <w:pPr>
              <w:pStyle w:val="17"/>
            </w:pPr>
            <w:r>
              <w:t>69.12</w:t>
            </w:r>
          </w:p>
        </w:tc>
        <w:tc>
          <w:tcPr>
            <w:tcW w:w="1232" w:type="dxa"/>
            <w:vAlign w:val="center"/>
          </w:tcPr>
          <w:p>
            <w:pPr>
              <w:pStyle w:val="17"/>
            </w:pPr>
            <w:r>
              <w:t>69.12</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69.12</w:t>
            </w:r>
          </w:p>
        </w:tc>
        <w:tc>
          <w:tcPr>
            <w:tcW w:w="1232" w:type="dxa"/>
            <w:vAlign w:val="center"/>
          </w:tcPr>
          <w:p>
            <w:pPr>
              <w:pStyle w:val="16"/>
            </w:pPr>
            <w:r>
              <w:t>支出总计</w:t>
            </w:r>
          </w:p>
        </w:tc>
        <w:tc>
          <w:tcPr>
            <w:tcW w:w="1232" w:type="dxa"/>
            <w:vAlign w:val="center"/>
          </w:tcPr>
          <w:p>
            <w:pPr>
              <w:pStyle w:val="17"/>
            </w:pPr>
            <w:r>
              <w:t>69.12</w:t>
            </w:r>
          </w:p>
        </w:tc>
        <w:tc>
          <w:tcPr>
            <w:tcW w:w="1232" w:type="dxa"/>
            <w:vAlign w:val="center"/>
          </w:tcPr>
          <w:p>
            <w:pPr>
              <w:pStyle w:val="17"/>
            </w:pPr>
            <w:r>
              <w:t>69.12</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69.12</w:t>
            </w:r>
          </w:p>
        </w:tc>
        <w:tc>
          <w:tcPr>
            <w:tcW w:w="1643" w:type="dxa"/>
            <w:vAlign w:val="center"/>
          </w:tcPr>
          <w:p>
            <w:pPr>
              <w:pStyle w:val="17"/>
            </w:pPr>
            <w:r>
              <w:t>60.62</w:t>
            </w:r>
          </w:p>
        </w:tc>
        <w:tc>
          <w:tcPr>
            <w:tcW w:w="1643" w:type="dxa"/>
            <w:vAlign w:val="center"/>
          </w:tcPr>
          <w:p>
            <w:pPr>
              <w:pStyle w:val="17"/>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57.98</w:t>
            </w:r>
          </w:p>
        </w:tc>
        <w:tc>
          <w:tcPr>
            <w:tcW w:w="1643" w:type="dxa"/>
            <w:vAlign w:val="center"/>
          </w:tcPr>
          <w:p>
            <w:pPr>
              <w:pStyle w:val="13"/>
            </w:pPr>
            <w:r>
              <w:t>49.48</w:t>
            </w:r>
          </w:p>
        </w:tc>
        <w:tc>
          <w:tcPr>
            <w:tcW w:w="1643"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20136</w:t>
            </w:r>
          </w:p>
        </w:tc>
        <w:tc>
          <w:tcPr>
            <w:tcW w:w="1643" w:type="dxa"/>
            <w:vAlign w:val="center"/>
          </w:tcPr>
          <w:p>
            <w:pPr>
              <w:pStyle w:val="14"/>
            </w:pPr>
            <w:r>
              <w:t>其他共产党事务支出</w:t>
            </w:r>
          </w:p>
        </w:tc>
        <w:tc>
          <w:tcPr>
            <w:tcW w:w="1643" w:type="dxa"/>
            <w:vAlign w:val="center"/>
          </w:tcPr>
          <w:p>
            <w:pPr>
              <w:pStyle w:val="13"/>
            </w:pPr>
            <w:r>
              <w:t>57.98</w:t>
            </w:r>
          </w:p>
        </w:tc>
        <w:tc>
          <w:tcPr>
            <w:tcW w:w="1643" w:type="dxa"/>
            <w:vAlign w:val="center"/>
          </w:tcPr>
          <w:p>
            <w:pPr>
              <w:pStyle w:val="13"/>
            </w:pPr>
            <w:r>
              <w:t>49.48</w:t>
            </w:r>
          </w:p>
        </w:tc>
        <w:tc>
          <w:tcPr>
            <w:tcW w:w="1643"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2013601</w:t>
            </w:r>
          </w:p>
        </w:tc>
        <w:tc>
          <w:tcPr>
            <w:tcW w:w="1643" w:type="dxa"/>
            <w:vAlign w:val="center"/>
          </w:tcPr>
          <w:p>
            <w:pPr>
              <w:pStyle w:val="14"/>
            </w:pPr>
            <w:r>
              <w:t>行政运行</w:t>
            </w:r>
          </w:p>
        </w:tc>
        <w:tc>
          <w:tcPr>
            <w:tcW w:w="1643" w:type="dxa"/>
            <w:vAlign w:val="center"/>
          </w:tcPr>
          <w:p>
            <w:pPr>
              <w:pStyle w:val="13"/>
            </w:pPr>
            <w:r>
              <w:t>57.98</w:t>
            </w:r>
          </w:p>
        </w:tc>
        <w:tc>
          <w:tcPr>
            <w:tcW w:w="1643" w:type="dxa"/>
            <w:vAlign w:val="center"/>
          </w:tcPr>
          <w:p>
            <w:pPr>
              <w:pStyle w:val="13"/>
            </w:pPr>
            <w:r>
              <w:t>49.48</w:t>
            </w:r>
          </w:p>
        </w:tc>
        <w:tc>
          <w:tcPr>
            <w:tcW w:w="1643"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4.86</w:t>
            </w:r>
          </w:p>
        </w:tc>
        <w:tc>
          <w:tcPr>
            <w:tcW w:w="1643" w:type="dxa"/>
            <w:vAlign w:val="center"/>
          </w:tcPr>
          <w:p>
            <w:pPr>
              <w:pStyle w:val="13"/>
            </w:pPr>
            <w:r>
              <w:t>4.86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4.86</w:t>
            </w:r>
          </w:p>
        </w:tc>
        <w:tc>
          <w:tcPr>
            <w:tcW w:w="1643" w:type="dxa"/>
            <w:vAlign w:val="center"/>
          </w:tcPr>
          <w:p>
            <w:pPr>
              <w:pStyle w:val="13"/>
            </w:pPr>
            <w:r>
              <w:t>4.86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4.86</w:t>
            </w:r>
          </w:p>
        </w:tc>
        <w:tc>
          <w:tcPr>
            <w:tcW w:w="1643" w:type="dxa"/>
            <w:vAlign w:val="center"/>
          </w:tcPr>
          <w:p>
            <w:pPr>
              <w:pStyle w:val="13"/>
            </w:pPr>
            <w:r>
              <w:t>4.86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4.08</w:t>
            </w:r>
          </w:p>
        </w:tc>
        <w:tc>
          <w:tcPr>
            <w:tcW w:w="1643" w:type="dxa"/>
            <w:vAlign w:val="center"/>
          </w:tcPr>
          <w:p>
            <w:pPr>
              <w:pStyle w:val="13"/>
            </w:pPr>
            <w:r>
              <w:t>4.08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4.08</w:t>
            </w:r>
          </w:p>
        </w:tc>
        <w:tc>
          <w:tcPr>
            <w:tcW w:w="1643" w:type="dxa"/>
            <w:vAlign w:val="center"/>
          </w:tcPr>
          <w:p>
            <w:pPr>
              <w:pStyle w:val="13"/>
            </w:pPr>
            <w:r>
              <w:t>4.08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4.08</w:t>
            </w:r>
          </w:p>
        </w:tc>
        <w:tc>
          <w:tcPr>
            <w:tcW w:w="1643" w:type="dxa"/>
            <w:vAlign w:val="center"/>
          </w:tcPr>
          <w:p>
            <w:pPr>
              <w:pStyle w:val="13"/>
            </w:pPr>
            <w:r>
              <w:t>4.08</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60.62</w:t>
            </w:r>
          </w:p>
        </w:tc>
        <w:tc>
          <w:tcPr>
            <w:tcW w:w="1643" w:type="dxa"/>
            <w:vAlign w:val="center"/>
          </w:tcPr>
          <w:p>
            <w:pPr>
              <w:pStyle w:val="17"/>
            </w:pPr>
            <w:r>
              <w:t>54.94</w:t>
            </w:r>
          </w:p>
        </w:tc>
        <w:tc>
          <w:tcPr>
            <w:tcW w:w="1643" w:type="dxa"/>
            <w:vAlign w:val="center"/>
          </w:tcPr>
          <w:p>
            <w:pPr>
              <w:pStyle w:val="17"/>
            </w:pPr>
            <w:r>
              <w:t>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53.25</w:t>
            </w:r>
          </w:p>
        </w:tc>
        <w:tc>
          <w:tcPr>
            <w:tcW w:w="1643" w:type="dxa"/>
            <w:vAlign w:val="center"/>
          </w:tcPr>
          <w:p>
            <w:pPr>
              <w:pStyle w:val="13"/>
            </w:pPr>
            <w:r>
              <w:t>53.25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21.51</w:t>
            </w:r>
          </w:p>
        </w:tc>
        <w:tc>
          <w:tcPr>
            <w:tcW w:w="1643" w:type="dxa"/>
            <w:vAlign w:val="center"/>
          </w:tcPr>
          <w:p>
            <w:pPr>
              <w:pStyle w:val="13"/>
            </w:pPr>
            <w:r>
              <w:t>21.51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18.65</w:t>
            </w:r>
          </w:p>
        </w:tc>
        <w:tc>
          <w:tcPr>
            <w:tcW w:w="1643" w:type="dxa"/>
            <w:vAlign w:val="center"/>
          </w:tcPr>
          <w:p>
            <w:pPr>
              <w:pStyle w:val="13"/>
            </w:pPr>
            <w:r>
              <w:t>18.65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1.79</w:t>
            </w:r>
          </w:p>
        </w:tc>
        <w:tc>
          <w:tcPr>
            <w:tcW w:w="1643" w:type="dxa"/>
            <w:vAlign w:val="center"/>
          </w:tcPr>
          <w:p>
            <w:pPr>
              <w:pStyle w:val="13"/>
            </w:pPr>
            <w:r>
              <w:t>1.79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0.04</w:t>
            </w:r>
          </w:p>
        </w:tc>
        <w:tc>
          <w:tcPr>
            <w:tcW w:w="1643" w:type="dxa"/>
            <w:vAlign w:val="center"/>
          </w:tcPr>
          <w:p>
            <w:pPr>
              <w:pStyle w:val="13"/>
            </w:pPr>
            <w:r>
              <w:t>0.04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4.86</w:t>
            </w:r>
          </w:p>
        </w:tc>
        <w:tc>
          <w:tcPr>
            <w:tcW w:w="1643" w:type="dxa"/>
            <w:vAlign w:val="center"/>
          </w:tcPr>
          <w:p>
            <w:pPr>
              <w:pStyle w:val="13"/>
            </w:pPr>
            <w:r>
              <w:t>4.86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0.13</w:t>
            </w:r>
          </w:p>
        </w:tc>
        <w:tc>
          <w:tcPr>
            <w:tcW w:w="1643" w:type="dxa"/>
            <w:vAlign w:val="center"/>
          </w:tcPr>
          <w:p>
            <w:pPr>
              <w:pStyle w:val="13"/>
            </w:pPr>
            <w:r>
              <w:t>0.13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4.08</w:t>
            </w:r>
          </w:p>
        </w:tc>
        <w:tc>
          <w:tcPr>
            <w:tcW w:w="1643" w:type="dxa"/>
            <w:vAlign w:val="center"/>
          </w:tcPr>
          <w:p>
            <w:pPr>
              <w:pStyle w:val="13"/>
            </w:pPr>
            <w:r>
              <w:t>4.08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5.68</w:t>
            </w:r>
          </w:p>
        </w:tc>
        <w:tc>
          <w:tcPr>
            <w:tcW w:w="1643" w:type="dxa"/>
            <w:vAlign w:val="center"/>
          </w:tcPr>
          <w:p>
            <w:pPr>
              <w:pStyle w:val="13"/>
            </w:pPr>
          </w:p>
        </w:tc>
        <w:tc>
          <w:tcPr>
            <w:tcW w:w="1643" w:type="dxa"/>
            <w:vAlign w:val="center"/>
          </w:tcPr>
          <w:p>
            <w:pPr>
              <w:pStyle w:val="13"/>
            </w:pPr>
            <w:r>
              <w:t>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0.10</w:t>
            </w:r>
          </w:p>
        </w:tc>
        <w:tc>
          <w:tcPr>
            <w:tcW w:w="1643" w:type="dxa"/>
            <w:vAlign w:val="center"/>
          </w:tcPr>
          <w:p>
            <w:pPr>
              <w:pStyle w:val="13"/>
            </w:pPr>
          </w:p>
        </w:tc>
        <w:tc>
          <w:tcPr>
            <w:tcW w:w="1643"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0.10</w:t>
            </w:r>
          </w:p>
        </w:tc>
        <w:tc>
          <w:tcPr>
            <w:tcW w:w="1643" w:type="dxa"/>
            <w:vAlign w:val="center"/>
          </w:tcPr>
          <w:p>
            <w:pPr>
              <w:pStyle w:val="13"/>
            </w:pPr>
          </w:p>
        </w:tc>
        <w:tc>
          <w:tcPr>
            <w:tcW w:w="1643"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3.18</w:t>
            </w:r>
          </w:p>
        </w:tc>
        <w:tc>
          <w:tcPr>
            <w:tcW w:w="1643" w:type="dxa"/>
            <w:vAlign w:val="center"/>
          </w:tcPr>
          <w:p>
            <w:pPr>
              <w:pStyle w:val="13"/>
            </w:pPr>
          </w:p>
        </w:tc>
        <w:tc>
          <w:tcPr>
            <w:tcW w:w="1643" w:type="dxa"/>
            <w:vAlign w:val="center"/>
          </w:tcPr>
          <w:p>
            <w:pPr>
              <w:pStyle w:val="13"/>
            </w:pPr>
            <w:r>
              <w:t>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0.10</w:t>
            </w:r>
          </w:p>
        </w:tc>
        <w:tc>
          <w:tcPr>
            <w:tcW w:w="1643" w:type="dxa"/>
            <w:vAlign w:val="center"/>
          </w:tcPr>
          <w:p>
            <w:pPr>
              <w:pStyle w:val="13"/>
            </w:pPr>
          </w:p>
        </w:tc>
        <w:tc>
          <w:tcPr>
            <w:tcW w:w="1643"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1.68</w:t>
            </w:r>
          </w:p>
        </w:tc>
        <w:tc>
          <w:tcPr>
            <w:tcW w:w="1643" w:type="dxa"/>
            <w:vAlign w:val="center"/>
          </w:tcPr>
          <w:p>
            <w:pPr>
              <w:pStyle w:val="13"/>
            </w:pPr>
            <w:r>
              <w:t>1.68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1.32</w:t>
            </w:r>
          </w:p>
        </w:tc>
        <w:tc>
          <w:tcPr>
            <w:tcW w:w="1643" w:type="dxa"/>
            <w:vAlign w:val="center"/>
          </w:tcPr>
          <w:p>
            <w:pPr>
              <w:pStyle w:val="13"/>
            </w:pPr>
            <w:r>
              <w:t>1.32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0.36</w:t>
            </w:r>
          </w:p>
        </w:tc>
        <w:tc>
          <w:tcPr>
            <w:tcW w:w="1643" w:type="dxa"/>
            <w:vAlign w:val="center"/>
          </w:tcPr>
          <w:p>
            <w:pPr>
              <w:pStyle w:val="13"/>
            </w:pPr>
            <w:r>
              <w:t>0.36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中共隆尧县委县直属单位工作委员会2022年部门预算信息公开情况说明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中共隆尧县委县直属单位工作委员会2022年部门预算信息公开情况说明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按照《预算法》、《地方预决算公开操作规程》和《关于进一步推进预算公开工作的实施意见》规定，现将中共隆尧县委县直属单位工作委员会2022年部门预算公开如下：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一、组织、规划、部署县直机关党的工作，提出加强和改进机关党的建设的意见和建议。</w:t>
      </w:r>
    </w:p>
    <w:p>
      <w:pPr>
        <w:pStyle w:val="19"/>
      </w:pPr>
      <w:r>
        <w:t>二、指导县直机关党的政治建设、思想建设、组织建设、作风建设、纪律建设。</w:t>
      </w:r>
    </w:p>
    <w:p>
      <w:pPr>
        <w:pStyle w:val="19"/>
      </w:pPr>
      <w:r>
        <w:t>三、指导县直机关各级党组织和广大党员学习马克思列宁主义，毛泽东思想，邓小平理论、“三个代表”重要思想、科学发展观、习近平新时代中国特色社会主义思想。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中共隆尧县委县直属单位工作委员会本级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hint="eastAsia" w:eastAsia="方正仿宋_GBK" w:cs="Times New Roman"/>
          <w:b w:val="0"/>
          <w:color w:val="000000"/>
          <w:sz w:val="28"/>
          <w:lang w:eastAsia="zh-CN"/>
        </w:rPr>
      </w:pPr>
      <w:bookmarkStart w:id="11" w:name="_Toc_3_3_0000000014"/>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r>
        <w:rPr>
          <w:rFonts w:hint="eastAsia" w:eastAsia="方正仿宋_GBK" w:cs="Times New Roman"/>
          <w:b w:val="0"/>
          <w:color w:val="000000"/>
          <w:sz w:val="28"/>
          <w:lang w:eastAsia="zh-CN"/>
        </w:rPr>
        <w:t>县直工的收支包含在部门预算中。</w:t>
      </w:r>
    </w:p>
    <w:p>
      <w:pPr>
        <w:numPr>
          <w:ilvl w:val="0"/>
          <w:numId w:val="1"/>
        </w:numPr>
        <w:spacing w:before="0" w:after="0" w:line="500" w:lineRule="exact"/>
        <w:ind w:firstLine="560"/>
        <w:jc w:val="left"/>
        <w:outlineLvl w:val="9"/>
        <w:rPr>
          <w:rFonts w:hint="eastAsia" w:eastAsia="方正仿宋_GBK" w:cs="Times New Roman"/>
          <w:b w:val="0"/>
          <w:color w:val="000000"/>
          <w:sz w:val="28"/>
          <w:lang w:val="en-US" w:eastAsia="zh-CN"/>
        </w:rPr>
      </w:pPr>
      <w:r>
        <w:rPr>
          <w:rFonts w:hint="eastAsia" w:eastAsia="方正仿宋_GBK" w:cs="Times New Roman"/>
          <w:b w:val="0"/>
          <w:color w:val="000000"/>
          <w:sz w:val="28"/>
          <w:lang w:val="en-US" w:eastAsia="zh-CN"/>
        </w:rPr>
        <w:t>收入说明</w:t>
      </w:r>
    </w:p>
    <w:p>
      <w:pPr>
        <w:numPr>
          <w:ilvl w:val="0"/>
          <w:numId w:val="0"/>
        </w:numPr>
        <w:spacing w:before="0" w:after="0" w:line="500" w:lineRule="exact"/>
        <w:jc w:val="left"/>
        <w:outlineLvl w:val="9"/>
        <w:rPr>
          <w:rFonts w:hint="eastAsia" w:eastAsia="方正仿宋_GBK" w:cs="Times New Roman"/>
          <w:b w:val="0"/>
          <w:color w:val="000000"/>
          <w:sz w:val="28"/>
          <w:lang w:val="en-US" w:eastAsia="zh-CN"/>
        </w:rPr>
      </w:pPr>
      <w:r>
        <w:rPr>
          <w:rFonts w:hint="eastAsia" w:eastAsia="方正仿宋_GBK" w:cs="Times New Roman"/>
          <w:b w:val="0"/>
          <w:color w:val="000000"/>
          <w:sz w:val="28"/>
          <w:lang w:val="en-US" w:eastAsia="zh-CN"/>
        </w:rPr>
        <w:t xml:space="preserve">        反映本部门当年全部收入。2022年预算收入69.12万元，其中：一般公共预算收入69.12万元，基金预算收入0万元，国有资本经营预算收入0万元，财政专户核拨收入0万元同，单位资金收入0万元，上年结转结余0万元。</w:t>
      </w:r>
    </w:p>
    <w:p>
      <w:pPr>
        <w:numPr>
          <w:ilvl w:val="0"/>
          <w:numId w:val="1"/>
        </w:numPr>
        <w:spacing w:before="0" w:after="0" w:line="500" w:lineRule="exact"/>
        <w:ind w:left="0" w:leftChars="0" w:firstLine="560" w:firstLineChars="0"/>
        <w:jc w:val="left"/>
        <w:outlineLvl w:val="9"/>
        <w:rPr>
          <w:rFonts w:hint="eastAsia" w:eastAsia="方正仿宋_GBK" w:cs="Times New Roman"/>
          <w:b w:val="0"/>
          <w:color w:val="000000"/>
          <w:sz w:val="28"/>
          <w:lang w:val="en-US" w:eastAsia="zh-CN"/>
        </w:rPr>
      </w:pPr>
      <w:r>
        <w:rPr>
          <w:rFonts w:hint="eastAsia" w:eastAsia="方正仿宋_GBK" w:cs="Times New Roman"/>
          <w:b w:val="0"/>
          <w:color w:val="000000"/>
          <w:sz w:val="28"/>
          <w:lang w:val="en-US" w:eastAsia="zh-CN"/>
        </w:rPr>
        <w:t>支出说明</w:t>
      </w:r>
    </w:p>
    <w:p>
      <w:pPr>
        <w:numPr>
          <w:ilvl w:val="0"/>
          <w:numId w:val="0"/>
        </w:numPr>
        <w:spacing w:before="0" w:after="0" w:line="500" w:lineRule="exact"/>
        <w:ind w:left="560" w:leftChars="0"/>
        <w:jc w:val="left"/>
        <w:outlineLvl w:val="9"/>
        <w:rPr>
          <w:rFonts w:hint="default" w:eastAsia="方正仿宋_GBK" w:cs="Times New Roman"/>
          <w:b w:val="0"/>
          <w:color w:val="000000"/>
          <w:sz w:val="28"/>
          <w:lang w:val="en-US" w:eastAsia="zh-CN"/>
        </w:rPr>
      </w:pPr>
      <w:r>
        <w:rPr>
          <w:rFonts w:hint="eastAsia" w:eastAsia="方正仿宋_GBK" w:cs="Times New Roman"/>
          <w:b w:val="0"/>
          <w:color w:val="000000"/>
          <w:sz w:val="28"/>
          <w:lang w:val="en-US" w:eastAsia="zh-CN"/>
        </w:rPr>
        <w:t>收支预算总表支出栏、基本支出表、项目支出表按经济分类和支出功能分类科目编制，反映县直工委年度部门预算中支出预算的总体情况。2022年支出预算69.12万元，其中基本支出69.12万元，包括人员经费54.94万元和日常公用经费5.68万元；项目支出8.5万元，主要为县直工委经费、群众满意度测评。</w:t>
      </w:r>
    </w:p>
    <w:p>
      <w:pPr>
        <w:pStyle w:val="32"/>
        <w:numPr>
          <w:ilvl w:val="0"/>
          <w:numId w:val="1"/>
        </w:numPr>
        <w:ind w:left="0" w:leftChars="0" w:firstLine="560" w:firstLineChars="0"/>
        <w:rPr>
          <w:rFonts w:hint="eastAsia"/>
          <w:lang w:val="en-US" w:eastAsia="zh-CN"/>
        </w:rPr>
      </w:pPr>
      <w:r>
        <w:rPr>
          <w:rFonts w:hint="eastAsia"/>
          <w:lang w:val="en-US" w:eastAsia="zh-CN"/>
        </w:rPr>
        <w:t>比上年增减情况</w:t>
      </w:r>
    </w:p>
    <w:p>
      <w:pPr>
        <w:pStyle w:val="32"/>
        <w:numPr>
          <w:ilvl w:val="0"/>
          <w:numId w:val="0"/>
        </w:numPr>
        <w:ind w:left="560" w:leftChars="0"/>
      </w:pPr>
      <w:r>
        <w:t>2022年预算</w:t>
      </w:r>
      <w:r>
        <w:rPr>
          <w:rFonts w:hint="eastAsia"/>
          <w:lang w:eastAsia="zh-CN"/>
        </w:rPr>
        <w:t>收支</w:t>
      </w:r>
      <w:r>
        <w:t>安排69.12万元，</w:t>
      </w:r>
      <w:r>
        <w:rPr>
          <w:rFonts w:hint="eastAsia"/>
          <w:lang w:eastAsia="zh-CN"/>
        </w:rPr>
        <w:t>较</w:t>
      </w:r>
      <w:r>
        <w:rPr>
          <w:rFonts w:hint="eastAsia"/>
          <w:lang w:val="en-US" w:eastAsia="zh-CN"/>
        </w:rPr>
        <w:t>2021</w:t>
      </w:r>
      <w:r>
        <w:t>年</w:t>
      </w:r>
      <w:r>
        <w:rPr>
          <w:rFonts w:hint="eastAsia"/>
          <w:lang w:eastAsia="zh-CN"/>
        </w:rPr>
        <w:t>预算</w:t>
      </w:r>
      <w:r>
        <w:t>增加9.12万元，</w:t>
      </w:r>
      <w:r>
        <w:rPr>
          <w:rFonts w:hint="eastAsia"/>
          <w:lang w:eastAsia="zh-CN"/>
        </w:rPr>
        <w:t>其中：基本支出增加</w:t>
      </w:r>
      <w:r>
        <w:rPr>
          <w:rFonts w:hint="eastAsia"/>
          <w:lang w:val="en-US" w:eastAsia="zh-CN"/>
        </w:rPr>
        <w:t>4.62万元，</w:t>
      </w:r>
      <w:r>
        <w:t>主要</w:t>
      </w:r>
      <w:r>
        <w:rPr>
          <w:rFonts w:hint="eastAsia"/>
          <w:lang w:eastAsia="zh-CN"/>
        </w:rPr>
        <w:t>为增加人员经费支出；项目支出增加</w:t>
      </w:r>
      <w:r>
        <w:rPr>
          <w:rFonts w:hint="eastAsia"/>
          <w:lang w:val="en-US" w:eastAsia="zh-CN"/>
        </w:rPr>
        <w:t>4.5万元，主要为增加群众满意度测评项目</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3"/>
      </w:pPr>
      <w:r>
        <w:t>县直工委2022年机关红运行经费预算安排5.68万元，比上年减少0.98万元，主要原因是调出一个公务交通补贴减少。</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4"/>
      </w:pPr>
      <w:r>
        <w:rPr>
          <w:rFonts w:hint="eastAsia" w:ascii="Times New Roman" w:hAnsi="Times New Roman" w:eastAsia="方正仿宋_GBK" w:cs="Times New Roman"/>
          <w:sz w:val="28"/>
          <w:szCs w:val="24"/>
          <w:lang w:val="en-US" w:eastAsia="zh-CN" w:bidi="ar-SA"/>
        </w:rPr>
        <w:t>2022年，我部门财政拨款“三公”经费预算安排0万元，其中因公出国（境）费0万元；公务用车购置及运维费0万元（其中：公务用车购置费0万元，公务用车运维费0万元）；公务接待费0万元。与2021年相比无变化。</w:t>
      </w:r>
    </w:p>
    <w:p>
      <w:pPr>
        <w:spacing w:before="10" w:after="10" w:line="360" w:lineRule="auto"/>
        <w:ind w:firstLine="640"/>
        <w:jc w:val="left"/>
        <w:outlineLvl w:val="2"/>
      </w:pPr>
      <w:r>
        <w:rPr>
          <w:rFonts w:ascii="黑体" w:hAnsi="黑体" w:eastAsia="黑体" w:cs="黑体"/>
          <w:color w:val="000000"/>
          <w:sz w:val="32"/>
        </w:rPr>
        <w:t>五、预算绩效信息</w:t>
      </w:r>
      <w:bookmarkEnd w:id="11"/>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组织、规划、部署县直机关党的工作，提出加强和改进机关党的建设的意见和建议，研究制定工作规划，并抓好组织实施，指导县直机关党的政治建设、思想建设、组织建设、作风建设、纪律建设。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1，加强县直机关党的思想政治建设、组织建设、作风建设、制度建设和反腐倡廉建设，做好县直机关其他党建工作。</w:t>
      </w:r>
    </w:p>
    <w:p>
      <w:pPr>
        <w:pStyle w:val="24"/>
      </w:pPr>
      <w:r>
        <w:t>2，指导县直机关动员组织党外人士、群众团体积极开展活动，做好全民国防教育和人民武装工作，发挥各自职能作用，服务中心工作。</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1、利用各种有效载体开展宣传教育活动,效果明显;学习制度得到普遍落实，各项活动普遍参加;精神文明创建活动参与广泛，公民道德素质、各项活动满意率明显提高。</w:t>
      </w:r>
    </w:p>
    <w:p>
      <w:pPr>
        <w:pStyle w:val="25"/>
      </w:pPr>
      <w:r>
        <w:t>2、指导县直机关共青团组织和妇联组织加强队伍建设，积极开展活动，做好换届工作，充分发挥青年和妇女在经济社会发展及机关党建工作中的作用。</w:t>
      </w:r>
    </w:p>
    <w:p>
      <w:pPr>
        <w:pStyle w:val="25"/>
      </w:pPr>
      <w:r>
        <w:t>3、做好县直机关党委和纪委负责人任免、考核、培训工作；活跃县直机关文化生活，建好机关党建工作信息平台，加强全县机关党建工作调研交流，做好县直反邪教、维稳和老龄协调工作。</w:t>
      </w:r>
    </w:p>
    <w:p>
      <w:pPr>
        <w:pStyle w:val="25"/>
      </w:pPr>
    </w:p>
    <w:p>
      <w:pPr>
        <w:numPr>
          <w:ilvl w:val="0"/>
          <w:numId w:val="2"/>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numId w:val="0"/>
        </w:numPr>
        <w:spacing w:before="0" w:after="0" w:line="240" w:lineRule="auto"/>
        <w:jc w:val="left"/>
        <w:outlineLvl w:val="9"/>
        <w:rPr>
          <w:rFonts w:hint="eastAsia" w:ascii="方正楷体_GBK" w:hAnsi="方正楷体_GBK" w:eastAsia="方正楷体_GBK" w:cs="方正楷体_GBK"/>
          <w:b/>
          <w:color w:val="000000"/>
          <w:sz w:val="32"/>
          <w:lang w:eastAsia="zh-CN"/>
        </w:rPr>
      </w:pPr>
      <w:r>
        <w:rPr>
          <w:rFonts w:hint="eastAsia" w:ascii="方正楷体_GBK" w:hAnsi="方正楷体_GBK" w:eastAsia="方正楷体_GBK" w:cs="方正楷体_GBK"/>
          <w:b/>
          <w:color w:val="000000"/>
          <w:sz w:val="32"/>
          <w:lang w:eastAsia="zh-CN"/>
        </w:rPr>
        <w:t>　　</w:t>
      </w:r>
      <w:r>
        <w:rPr>
          <w:rFonts w:hint="eastAsia" w:ascii="方正楷体_GBK" w:hAnsi="方正楷体_GBK" w:eastAsia="方正楷体_GBK" w:cs="方正楷体_GBK"/>
          <w:b/>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本年度无专项资金</w:t>
      </w:r>
      <w:r>
        <w:rPr>
          <w:rFonts w:hint="eastAsia" w:eastAsia="方正仿宋_GBK" w:cs="Times New Roman"/>
          <w:sz w:val="28"/>
          <w:szCs w:val="24"/>
          <w:lang w:val="en-US" w:eastAsia="zh-CN" w:bidi="ar-SA"/>
        </w:rPr>
        <w:t>。</w:t>
      </w: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第三部分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1、群众满意度测评绩效目标表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测评单位数量</w:t>
            </w:r>
          </w:p>
        </w:tc>
        <w:tc>
          <w:tcPr>
            <w:tcW w:w="2466" w:type="dxa"/>
            <w:vAlign w:val="center"/>
          </w:tcPr>
          <w:p>
            <w:pPr>
              <w:pStyle w:val="28"/>
            </w:pPr>
            <w:r>
              <w:t>全县的窗口单位和重点行业数量</w:t>
            </w:r>
          </w:p>
        </w:tc>
        <w:tc>
          <w:tcPr>
            <w:tcW w:w="2466" w:type="dxa"/>
            <w:vAlign w:val="center"/>
          </w:tcPr>
          <w:p>
            <w:pPr>
              <w:pStyle w:val="28"/>
            </w:pPr>
            <w:r>
              <w:t>≥41数量</w:t>
            </w:r>
          </w:p>
        </w:tc>
        <w:tc>
          <w:tcPr>
            <w:tcW w:w="2466" w:type="dxa"/>
            <w:vAlign w:val="center"/>
          </w:tcPr>
          <w:p>
            <w:pPr>
              <w:pStyle w:val="28"/>
            </w:pPr>
            <w:r>
              <w:t>测评计划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测评单位人员比例</w:t>
            </w:r>
          </w:p>
        </w:tc>
        <w:tc>
          <w:tcPr>
            <w:tcW w:w="2466" w:type="dxa"/>
            <w:vAlign w:val="center"/>
          </w:tcPr>
          <w:p>
            <w:pPr>
              <w:pStyle w:val="28"/>
            </w:pPr>
            <w:r>
              <w:t>参加测评人员占应测比例</w:t>
            </w:r>
          </w:p>
        </w:tc>
        <w:tc>
          <w:tcPr>
            <w:tcW w:w="2466" w:type="dxa"/>
            <w:vAlign w:val="center"/>
          </w:tcPr>
          <w:p>
            <w:pPr>
              <w:pStyle w:val="28"/>
            </w:pPr>
            <w:r>
              <w:t>≥90%</w:t>
            </w:r>
          </w:p>
        </w:tc>
        <w:tc>
          <w:tcPr>
            <w:tcW w:w="2466" w:type="dxa"/>
            <w:vAlign w:val="center"/>
          </w:tcPr>
          <w:p>
            <w:pPr>
              <w:pStyle w:val="28"/>
            </w:pPr>
            <w:r>
              <w:t>测评计划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及时完成比例</w:t>
            </w:r>
          </w:p>
        </w:tc>
        <w:tc>
          <w:tcPr>
            <w:tcW w:w="2466" w:type="dxa"/>
            <w:vAlign w:val="center"/>
          </w:tcPr>
          <w:p>
            <w:pPr>
              <w:pStyle w:val="28"/>
            </w:pPr>
            <w:r>
              <w:t>按时完成测评单位占总数比例</w:t>
            </w:r>
          </w:p>
        </w:tc>
        <w:tc>
          <w:tcPr>
            <w:tcW w:w="2466" w:type="dxa"/>
            <w:vAlign w:val="center"/>
          </w:tcPr>
          <w:p>
            <w:pPr>
              <w:pStyle w:val="28"/>
            </w:pPr>
            <w:r>
              <w:t>≥90%</w:t>
            </w:r>
          </w:p>
        </w:tc>
        <w:tc>
          <w:tcPr>
            <w:tcW w:w="2466" w:type="dxa"/>
            <w:vAlign w:val="center"/>
          </w:tcPr>
          <w:p>
            <w:pPr>
              <w:pStyle w:val="28"/>
            </w:pPr>
            <w:r>
              <w:t>测评计划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资金支出占比</w:t>
            </w:r>
          </w:p>
        </w:tc>
        <w:tc>
          <w:tcPr>
            <w:tcW w:w="2466" w:type="dxa"/>
            <w:vAlign w:val="center"/>
          </w:tcPr>
          <w:p>
            <w:pPr>
              <w:pStyle w:val="28"/>
            </w:pPr>
            <w:r>
              <w:t>≥90%</w:t>
            </w:r>
          </w:p>
        </w:tc>
        <w:tc>
          <w:tcPr>
            <w:tcW w:w="2466" w:type="dxa"/>
            <w:vAlign w:val="center"/>
          </w:tcPr>
          <w:p>
            <w:pPr>
              <w:pStyle w:val="28"/>
            </w:pPr>
            <w:r>
              <w:t>测评计划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达标率</w:t>
            </w:r>
          </w:p>
        </w:tc>
        <w:tc>
          <w:tcPr>
            <w:tcW w:w="2466" w:type="dxa"/>
            <w:vAlign w:val="center"/>
          </w:tcPr>
          <w:p>
            <w:pPr>
              <w:pStyle w:val="28"/>
            </w:pPr>
            <w:r>
              <w:t>窗口单位、重点行业达标率</w:t>
            </w:r>
          </w:p>
        </w:tc>
        <w:tc>
          <w:tcPr>
            <w:tcW w:w="2466" w:type="dxa"/>
            <w:vAlign w:val="center"/>
          </w:tcPr>
          <w:p>
            <w:pPr>
              <w:pStyle w:val="28"/>
            </w:pPr>
            <w:r>
              <w:t>≥90%</w:t>
            </w:r>
          </w:p>
        </w:tc>
        <w:tc>
          <w:tcPr>
            <w:tcW w:w="2466" w:type="dxa"/>
            <w:vAlign w:val="center"/>
          </w:tcPr>
          <w:p>
            <w:pPr>
              <w:pStyle w:val="28"/>
            </w:pPr>
            <w:r>
              <w:t>测评计划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群众满意数量占总数比例</w:t>
            </w:r>
          </w:p>
        </w:tc>
        <w:tc>
          <w:tcPr>
            <w:tcW w:w="2466" w:type="dxa"/>
            <w:vAlign w:val="center"/>
          </w:tcPr>
          <w:p>
            <w:pPr>
              <w:pStyle w:val="28"/>
            </w:pPr>
            <w:r>
              <w:t>≥90%</w:t>
            </w:r>
          </w:p>
        </w:tc>
        <w:tc>
          <w:tcPr>
            <w:tcW w:w="2466" w:type="dxa"/>
            <w:vAlign w:val="center"/>
          </w:tcPr>
          <w:p>
            <w:pPr>
              <w:pStyle w:val="28"/>
            </w:pPr>
            <w:r>
              <w:t xml:space="preserve">测评计划 </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2、县直工委经费绩效目标表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 县直单位党的思想建设、政治建设、组织建设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参与率</w:t>
            </w:r>
          </w:p>
        </w:tc>
        <w:tc>
          <w:tcPr>
            <w:tcW w:w="2466" w:type="dxa"/>
            <w:vAlign w:val="center"/>
          </w:tcPr>
          <w:p>
            <w:pPr>
              <w:pStyle w:val="28"/>
            </w:pPr>
            <w:r>
              <w:t>领导干部参与思想学习</w:t>
            </w:r>
          </w:p>
        </w:tc>
        <w:tc>
          <w:tcPr>
            <w:tcW w:w="2466" w:type="dxa"/>
            <w:vAlign w:val="center"/>
          </w:tcPr>
          <w:p>
            <w:pPr>
              <w:pStyle w:val="28"/>
            </w:pPr>
            <w:r>
              <w:t>≥90</w:t>
            </w:r>
          </w:p>
        </w:tc>
        <w:tc>
          <w:tcPr>
            <w:tcW w:w="2466"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参与率</w:t>
            </w:r>
          </w:p>
        </w:tc>
        <w:tc>
          <w:tcPr>
            <w:tcW w:w="2466" w:type="dxa"/>
            <w:vAlign w:val="center"/>
          </w:tcPr>
          <w:p>
            <w:pPr>
              <w:pStyle w:val="28"/>
            </w:pPr>
            <w:r>
              <w:t>干部职工参与思想学习</w:t>
            </w:r>
          </w:p>
        </w:tc>
        <w:tc>
          <w:tcPr>
            <w:tcW w:w="2466" w:type="dxa"/>
            <w:vAlign w:val="center"/>
          </w:tcPr>
          <w:p>
            <w:pPr>
              <w:pStyle w:val="28"/>
            </w:pPr>
            <w:r>
              <w:t>≥90</w:t>
            </w:r>
          </w:p>
        </w:tc>
        <w:tc>
          <w:tcPr>
            <w:tcW w:w="2466"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按时率</w:t>
            </w:r>
          </w:p>
        </w:tc>
        <w:tc>
          <w:tcPr>
            <w:tcW w:w="2466" w:type="dxa"/>
            <w:vAlign w:val="center"/>
          </w:tcPr>
          <w:p>
            <w:pPr>
              <w:pStyle w:val="28"/>
            </w:pPr>
            <w:r>
              <w:t>按时参与思想学习</w:t>
            </w:r>
          </w:p>
        </w:tc>
        <w:tc>
          <w:tcPr>
            <w:tcW w:w="2466" w:type="dxa"/>
            <w:vAlign w:val="center"/>
          </w:tcPr>
          <w:p>
            <w:pPr>
              <w:pStyle w:val="28"/>
            </w:pPr>
            <w:r>
              <w:t>≥90</w:t>
            </w:r>
          </w:p>
        </w:tc>
        <w:tc>
          <w:tcPr>
            <w:tcW w:w="2466"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控制在预算内</w:t>
            </w:r>
          </w:p>
        </w:tc>
        <w:tc>
          <w:tcPr>
            <w:tcW w:w="2466" w:type="dxa"/>
            <w:vAlign w:val="center"/>
          </w:tcPr>
          <w:p>
            <w:pPr>
              <w:pStyle w:val="28"/>
            </w:pPr>
            <w:r>
              <w:t>控制在预算内</w:t>
            </w:r>
          </w:p>
        </w:tc>
        <w:tc>
          <w:tcPr>
            <w:tcW w:w="2466" w:type="dxa"/>
            <w:vAlign w:val="center"/>
          </w:tcPr>
          <w:p>
            <w:pPr>
              <w:pStyle w:val="28"/>
            </w:pPr>
            <w:r>
              <w:t>≥90</w:t>
            </w:r>
          </w:p>
        </w:tc>
        <w:tc>
          <w:tcPr>
            <w:tcW w:w="2466"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不断推进党员队伍建设</w:t>
            </w:r>
          </w:p>
        </w:tc>
        <w:tc>
          <w:tcPr>
            <w:tcW w:w="2466" w:type="dxa"/>
            <w:vAlign w:val="center"/>
          </w:tcPr>
          <w:p>
            <w:pPr>
              <w:pStyle w:val="28"/>
            </w:pPr>
            <w:r>
              <w:t>不断推进党员队伍建设</w:t>
            </w:r>
          </w:p>
        </w:tc>
        <w:tc>
          <w:tcPr>
            <w:tcW w:w="2466" w:type="dxa"/>
            <w:vAlign w:val="center"/>
          </w:tcPr>
          <w:p>
            <w:pPr>
              <w:pStyle w:val="28"/>
            </w:pPr>
            <w:r>
              <w:t>≥90</w:t>
            </w:r>
          </w:p>
        </w:tc>
        <w:tc>
          <w:tcPr>
            <w:tcW w:w="2466" w:type="dxa"/>
            <w:vAlign w:val="center"/>
          </w:tcPr>
          <w:p>
            <w:pPr>
              <w:pStyle w:val="28"/>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群众众满意度</w:t>
            </w:r>
          </w:p>
        </w:tc>
        <w:tc>
          <w:tcPr>
            <w:tcW w:w="2466" w:type="dxa"/>
            <w:vAlign w:val="center"/>
          </w:tcPr>
          <w:p>
            <w:pPr>
              <w:pStyle w:val="28"/>
            </w:pPr>
            <w:r>
              <w:t>群众满意度</w:t>
            </w:r>
          </w:p>
        </w:tc>
        <w:tc>
          <w:tcPr>
            <w:tcW w:w="2466" w:type="dxa"/>
            <w:vAlign w:val="center"/>
          </w:tcPr>
          <w:p>
            <w:pPr>
              <w:pStyle w:val="28"/>
            </w:pPr>
            <w:r>
              <w:t>≥90</w:t>
            </w:r>
          </w:p>
        </w:tc>
        <w:tc>
          <w:tcPr>
            <w:tcW w:w="2466" w:type="dxa"/>
            <w:vAlign w:val="center"/>
          </w:tcPr>
          <w:p>
            <w:pPr>
              <w:pStyle w:val="28"/>
            </w:pPr>
            <w:r>
              <w:t>年初计划</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2" w:name="_Toc_3_3_0000000015"/>
      <w:r>
        <w:rPr>
          <w:rFonts w:ascii="黑体" w:hAnsi="黑体" w:eastAsia="黑体" w:cs="黑体"/>
          <w:color w:val="000000"/>
          <w:sz w:val="32"/>
        </w:rPr>
        <w:t>六、政府采购预算情况</w:t>
      </w:r>
      <w:bookmarkEnd w:id="12"/>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2022年，中共隆尧县委县直属单位工作委员会安排政府采购预算0.00万元。具体内容见下表。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3" w:name="_Toc_3_3_0000000016"/>
      <w:r>
        <w:rPr>
          <w:rFonts w:ascii="黑体" w:hAnsi="黑体" w:eastAsia="黑体" w:cs="黑体"/>
          <w:color w:val="000000"/>
          <w:sz w:val="32"/>
        </w:rPr>
        <w:t>七、国有资产信息</w:t>
      </w:r>
      <w:bookmarkEnd w:id="13"/>
    </w:p>
    <w:p>
      <w:pPr>
        <w:spacing w:before="0" w:after="0" w:line="500" w:lineRule="exact"/>
        <w:ind w:firstLine="560"/>
        <w:jc w:val="left"/>
        <w:outlineLvl w:val="9"/>
      </w:pPr>
      <w:r>
        <w:rPr>
          <w:rFonts w:ascii="Times New Roman" w:hAnsi="Times New Roman" w:eastAsia="方正仿宋_GBK" w:cs="Times New Roman"/>
          <w:b w:val="0"/>
          <w:color w:val="000000"/>
          <w:sz w:val="28"/>
        </w:rPr>
        <w:t>中共隆尧县委县直属单位工作委员会（含所属单位）上年末固定资产金额为3.80万元（详见下表）。本年度拟购置固定资产总额为0.00万元，已按要求列入政府采购预算，详见政府采购预算表。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286中共隆尧县委县直属单位工作委员会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19</w:t>
            </w:r>
          </w:p>
        </w:tc>
        <w:tc>
          <w:tcPr>
            <w:tcW w:w="4933" w:type="dxa"/>
            <w:vAlign w:val="center"/>
          </w:tcPr>
          <w:p>
            <w:pPr>
              <w:pStyle w:val="13"/>
            </w:pPr>
            <w:r>
              <w:t>3.80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4" w:name="_Toc_3_3_0000000017"/>
      <w:r>
        <w:rPr>
          <w:rFonts w:ascii="黑体" w:hAnsi="黑体" w:eastAsia="黑体" w:cs="黑体"/>
          <w:color w:val="000000"/>
          <w:sz w:val="32"/>
        </w:rPr>
        <w:t>八、名词解释</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5" w:name="_Toc_3_3_0000000018"/>
      <w:r>
        <w:rPr>
          <w:rFonts w:ascii="黑体" w:hAnsi="黑体" w:eastAsia="黑体" w:cs="黑体"/>
          <w:color w:val="000000"/>
          <w:sz w:val="32"/>
        </w:rPr>
        <w:t>九、其他需要说明的事项</w:t>
      </w:r>
      <w:bookmarkEnd w:id="15"/>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500" w:lineRule="exact"/>
        <w:jc w:val="left"/>
        <w:outlineLvl w:val="9"/>
      </w:pPr>
      <w:bookmarkStart w:id="16" w:name="_GoBack"/>
      <w:bookmarkEnd w:id="16"/>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CD0065"/>
    <w:multiLevelType w:val="singleLevel"/>
    <w:tmpl w:val="85CD0065"/>
    <w:lvl w:ilvl="0" w:tentative="0">
      <w:start w:val="2"/>
      <w:numFmt w:val="chineseCounting"/>
      <w:suff w:val="space"/>
      <w:lvlText w:val="第%1部分"/>
      <w:lvlJc w:val="left"/>
      <w:rPr>
        <w:rFonts w:hint="eastAsia"/>
      </w:rPr>
    </w:lvl>
  </w:abstractNum>
  <w:abstractNum w:abstractNumId="1">
    <w:nsid w:val="D5C65496"/>
    <w:multiLevelType w:val="singleLevel"/>
    <w:tmpl w:val="D5C65496"/>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2NmZmZjNTE1NjE2YWExZWZhN2UzZDExZTE5YTE5NzcifQ=="/>
  </w:docVars>
  <w:rsids>
    <w:rsidRoot w:val="00000000"/>
    <w:rsid w:val="2DD21641"/>
    <w:rsid w:val="6E752BB2"/>
    <w:rsid w:val="6EC06973"/>
    <w:rsid w:val="71664DCA"/>
    <w:rsid w:val="7C9A481E"/>
    <w:rsid w:val="7F07445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515a8d86-1993-4986-94a2-132bdb3c0af9"/>
    <w:qFormat/>
    <w:uiPriority w:val="0"/>
    <w:rPr>
      <w:rFonts w:ascii="Times New Roman" w:hAnsi="Times New Roman" w:eastAsia="Times New Roman" w:cstheme="minorBidi"/>
      <w:sz w:val="24"/>
      <w:szCs w:val="24"/>
      <w:lang w:val="en-US" w:eastAsia="uk-UA" w:bidi="ar-SA"/>
    </w:rPr>
  </w:style>
  <w:style w:type="paragraph" w:customStyle="1" w:styleId="27">
    <w:name w:val="单元格样式1_ddd868f9-10c4-47ec-b5ec-8f3a56f973cc"/>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b8725d19-e56c-4a85-8dd5-a127f4652ccb"/>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f70e36ee-4f53-4969-9f65-05c51aae989b"/>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2022-02-15T10:09:38Z</dcterms:created>
  <dcterms:modified xsi:type="dcterms:W3CDTF">2022-02-15T02:09:38Z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2022-02-15T10:09:38Z</dcterms:created>
  <dcterms:modified xsi:type="dcterms:W3CDTF">2022-02-15T02:09:38Z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2022-02-15T10:09:36Z</dcterms:created>
  <dcterms:modified xsi:type="dcterms:W3CDTF">2022-02-15T02:09:36Z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2022-02-15T10:09:36Z</dcterms:created>
  <dcterms:modified xsi:type="dcterms:W3CDTF">2022-02-15T02:09:35Z</dcterms:modified>
</cp:coreProperties>
</file>

<file path=customXml/itemProps1.xml><?xml version="1.0" encoding="utf-8"?>
<ds:datastoreItem xmlns:ds="http://schemas.openxmlformats.org/officeDocument/2006/customXml" ds:itemID="{32a1f411-022c-43f8-a013-b34f9065540d}">
  <ds:schemaRefs/>
</ds:datastoreItem>
</file>

<file path=customXml/itemProps2.xml><?xml version="1.0" encoding="utf-8"?>
<ds:datastoreItem xmlns:ds="http://schemas.openxmlformats.org/officeDocument/2006/customXml" ds:itemID="{8a742654-b2dc-4660-9a78-1948d18895b1}">
  <ds:schemaRefs/>
</ds:datastoreItem>
</file>

<file path=customXml/itemProps3.xml><?xml version="1.0" encoding="utf-8"?>
<ds:datastoreItem xmlns:ds="http://schemas.openxmlformats.org/officeDocument/2006/customXml" ds:itemID="{010afe6f-411c-4f0b-985b-627fd86b6e45}">
  <ds:schemaRefs/>
</ds:datastoreItem>
</file>

<file path=customXml/itemProps4.xml><?xml version="1.0" encoding="utf-8"?>
<ds:datastoreItem xmlns:ds="http://schemas.openxmlformats.org/officeDocument/2006/customXml" ds:itemID="{d3b49f7c-5b45-4ce7-8449-326da0115235}">
  <ds:schemaRefs/>
</ds:datastoreItem>
</file>

<file path=customXml/itemProps5.xml><?xml version="1.0" encoding="utf-8"?>
<ds:datastoreItem xmlns:ds="http://schemas.openxmlformats.org/officeDocument/2006/customXml" ds:itemID="{340a3caa-7bcf-4ac1-87f9-c92059c50e66}">
  <ds:schemaRefs/>
</ds:datastoreItem>
</file>

<file path=customXml/itemProps6.xml><?xml version="1.0" encoding="utf-8"?>
<ds:datastoreItem xmlns:ds="http://schemas.openxmlformats.org/officeDocument/2006/customXml" ds:itemID="{e10b6d64-0b7c-4b96-a3a2-f7a2d2bf96e0}">
  <ds:schemaRefs/>
</ds:datastoreItem>
</file>

<file path=customXml/itemProps7.xml><?xml version="1.0" encoding="utf-8"?>
<ds:datastoreItem xmlns:ds="http://schemas.openxmlformats.org/officeDocument/2006/customXml" ds:itemID="{232f4571-c33f-4824-b30b-7d1546bbae88}">
  <ds:schemaRefs/>
</ds:datastoreItem>
</file>

<file path=customXml/itemProps8.xml><?xml version="1.0" encoding="utf-8"?>
<ds:datastoreItem xmlns:ds="http://schemas.openxmlformats.org/officeDocument/2006/customXml" ds:itemID="{32dfd251-9579-4a2e-bfcd-fa34b094ec41}">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2022-02-15T10:09:00Z</dcterms:created>
  <dc:creator>Administrator</dc:creator>
  <cp:lastModifiedBy>武志宏</cp:lastModifiedBy>
  <dcterms:modified xsi:type="dcterms:W3CDTF">2023-09-06T01:27:50Z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D5D9E14E128E4C54A2C363C223BE5BB4_12</vt:lpwstr>
  </property>
</Properties>
</file>