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b/>
          <w:color w:val="000000"/>
          <w:sz w:val="44"/>
          <w:lang w:eastAsia="zh-CN"/>
        </w:rPr>
      </w:pPr>
    </w:p>
    <w:p>
      <w:pPr>
        <w:jc w:val="center"/>
        <w:outlineLvl w:val="0"/>
      </w:pP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2</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4</w:t>
      </w:r>
      <w:r>
        <w:fldChar w:fldCharType="end"/>
      </w:r>
      <w:r>
        <w:fldChar w:fldCharType="end"/>
      </w:r>
    </w:p>
    <w:p>
      <w:r>
        <w:fldChar w:fldCharType="end"/>
      </w:r>
    </w:p>
    <w:p>
      <w:pPr>
        <w:jc w:val="center"/>
      </w:pPr>
    </w:p>
    <w:p>
      <w:pPr>
        <w:jc w:val="center"/>
      </w:pPr>
    </w:p>
    <w:p>
      <w:pPr>
        <w:jc w:val="center"/>
      </w:pPr>
    </w:p>
    <w:p>
      <w:pPr>
        <w:jc w:val="center"/>
      </w:pPr>
    </w:p>
    <w:p>
      <w:pPr>
        <w:jc w:val="cente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131.90</w:t>
            </w:r>
          </w:p>
        </w:tc>
        <w:tc>
          <w:tcPr>
            <w:tcW w:w="4535" w:type="dxa"/>
            <w:vAlign w:val="center"/>
          </w:tcPr>
          <w:p>
            <w:pPr>
              <w:pStyle w:val="12"/>
            </w:pPr>
            <w:r>
              <w:t>一、一般公共服务支出</w:t>
            </w:r>
          </w:p>
        </w:tc>
        <w:tc>
          <w:tcPr>
            <w:tcW w:w="2126" w:type="dxa"/>
            <w:vAlign w:val="center"/>
          </w:tcPr>
          <w:p>
            <w:pPr>
              <w:pStyle w:val="11"/>
            </w:pPr>
            <w:r>
              <w:t>109.84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131.90</w:t>
            </w:r>
          </w:p>
        </w:tc>
        <w:tc>
          <w:tcPr>
            <w:tcW w:w="4535" w:type="dxa"/>
            <w:vAlign w:val="center"/>
          </w:tcPr>
          <w:p>
            <w:pPr>
              <w:pStyle w:val="14"/>
            </w:pPr>
            <w:r>
              <w:t>本年支出合计</w:t>
            </w:r>
          </w:p>
        </w:tc>
        <w:tc>
          <w:tcPr>
            <w:tcW w:w="2126" w:type="dxa"/>
            <w:vAlign w:val="center"/>
          </w:tcPr>
          <w:p>
            <w:pPr>
              <w:pStyle w:val="15"/>
            </w:pPr>
            <w:r>
              <w:t>131.90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131.90</w:t>
            </w:r>
          </w:p>
        </w:tc>
        <w:tc>
          <w:tcPr>
            <w:tcW w:w="4535" w:type="dxa"/>
            <w:vAlign w:val="center"/>
          </w:tcPr>
          <w:p>
            <w:pPr>
              <w:pStyle w:val="14"/>
            </w:pPr>
            <w:r>
              <w:t>支出总计</w:t>
            </w:r>
          </w:p>
        </w:tc>
        <w:tc>
          <w:tcPr>
            <w:tcW w:w="2126" w:type="dxa"/>
            <w:vAlign w:val="center"/>
          </w:tcPr>
          <w:p>
            <w:pPr>
              <w:pStyle w:val="15"/>
            </w:pPr>
            <w:r>
              <w:t>131.90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131.90</w:t>
            </w:r>
          </w:p>
        </w:tc>
        <w:tc>
          <w:tcPr>
            <w:tcW w:w="1134" w:type="dxa"/>
            <w:vAlign w:val="center"/>
          </w:tcPr>
          <w:p>
            <w:pPr>
              <w:pStyle w:val="15"/>
            </w:pPr>
            <w:r>
              <w:t>131.90</w:t>
            </w:r>
          </w:p>
        </w:tc>
        <w:tc>
          <w:tcPr>
            <w:tcW w:w="1134" w:type="dxa"/>
            <w:vAlign w:val="center"/>
          </w:tcPr>
          <w:p>
            <w:pPr>
              <w:pStyle w:val="15"/>
            </w:pPr>
            <w:r>
              <w:t>131.90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2013201</w:t>
            </w:r>
          </w:p>
        </w:tc>
        <w:tc>
          <w:tcPr>
            <w:tcW w:w="1559" w:type="dxa"/>
            <w:vAlign w:val="center"/>
          </w:tcPr>
          <w:p>
            <w:pPr>
              <w:pStyle w:val="12"/>
            </w:pPr>
            <w:r>
              <w:t>行政运行</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r>
              <w:t>109.84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r>
              <w:t>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r>
              <w:t>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131.90</w:t>
            </w:r>
          </w:p>
        </w:tc>
        <w:tc>
          <w:tcPr>
            <w:tcW w:w="1361" w:type="dxa"/>
            <w:vAlign w:val="center"/>
          </w:tcPr>
          <w:p>
            <w:pPr>
              <w:pStyle w:val="15"/>
            </w:pPr>
            <w:r>
              <w:t>110.28</w:t>
            </w:r>
          </w:p>
        </w:tc>
        <w:tc>
          <w:tcPr>
            <w:tcW w:w="1361" w:type="dxa"/>
            <w:vAlign w:val="center"/>
          </w:tcPr>
          <w:p>
            <w:pPr>
              <w:pStyle w:val="15"/>
            </w:pPr>
            <w:r>
              <w:t>21.62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109.84</w:t>
            </w:r>
          </w:p>
        </w:tc>
        <w:tc>
          <w:tcPr>
            <w:tcW w:w="1361" w:type="dxa"/>
            <w:vAlign w:val="center"/>
          </w:tcPr>
          <w:p>
            <w:pPr>
              <w:pStyle w:val="11"/>
            </w:pPr>
            <w:r>
              <w:t>88.22</w:t>
            </w:r>
          </w:p>
        </w:tc>
        <w:tc>
          <w:tcPr>
            <w:tcW w:w="1361" w:type="dxa"/>
            <w:vAlign w:val="center"/>
          </w:tcPr>
          <w:p>
            <w:pPr>
              <w:pStyle w:val="11"/>
            </w:pPr>
            <w:r>
              <w:t>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6" w:type="dxa"/>
            <w:vAlign w:val="center"/>
          </w:tcPr>
          <w:p>
            <w:pPr>
              <w:pStyle w:val="12"/>
            </w:pPr>
            <w:r>
              <w:t>组织事务</w:t>
            </w:r>
          </w:p>
        </w:tc>
        <w:tc>
          <w:tcPr>
            <w:tcW w:w="1361" w:type="dxa"/>
            <w:vAlign w:val="center"/>
          </w:tcPr>
          <w:p>
            <w:pPr>
              <w:pStyle w:val="11"/>
            </w:pPr>
            <w:r>
              <w:t>109.84</w:t>
            </w:r>
          </w:p>
        </w:tc>
        <w:tc>
          <w:tcPr>
            <w:tcW w:w="1361" w:type="dxa"/>
            <w:vAlign w:val="center"/>
          </w:tcPr>
          <w:p>
            <w:pPr>
              <w:pStyle w:val="11"/>
            </w:pPr>
            <w:r>
              <w:t>88.22</w:t>
            </w:r>
          </w:p>
        </w:tc>
        <w:tc>
          <w:tcPr>
            <w:tcW w:w="1361" w:type="dxa"/>
            <w:vAlign w:val="center"/>
          </w:tcPr>
          <w:p>
            <w:pPr>
              <w:pStyle w:val="11"/>
            </w:pPr>
            <w:r>
              <w:t>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6" w:type="dxa"/>
            <w:vAlign w:val="center"/>
          </w:tcPr>
          <w:p>
            <w:pPr>
              <w:pStyle w:val="12"/>
            </w:pPr>
            <w:r>
              <w:t>行政运行</w:t>
            </w:r>
          </w:p>
        </w:tc>
        <w:tc>
          <w:tcPr>
            <w:tcW w:w="1361" w:type="dxa"/>
            <w:vAlign w:val="center"/>
          </w:tcPr>
          <w:p>
            <w:pPr>
              <w:pStyle w:val="11"/>
            </w:pPr>
            <w:r>
              <w:t>109.84</w:t>
            </w:r>
          </w:p>
        </w:tc>
        <w:tc>
          <w:tcPr>
            <w:tcW w:w="1361" w:type="dxa"/>
            <w:vAlign w:val="center"/>
          </w:tcPr>
          <w:p>
            <w:pPr>
              <w:pStyle w:val="11"/>
            </w:pPr>
            <w:r>
              <w:t>88.22</w:t>
            </w:r>
          </w:p>
        </w:tc>
        <w:tc>
          <w:tcPr>
            <w:tcW w:w="1361" w:type="dxa"/>
            <w:vAlign w:val="center"/>
          </w:tcPr>
          <w:p>
            <w:pPr>
              <w:pStyle w:val="11"/>
            </w:pPr>
            <w:r>
              <w:t>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9.42</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9.42</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9.42</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4.66</w:t>
            </w:r>
          </w:p>
        </w:tc>
        <w:tc>
          <w:tcPr>
            <w:tcW w:w="1361" w:type="dxa"/>
            <w:vAlign w:val="center"/>
          </w:tcPr>
          <w:p>
            <w:pPr>
              <w:pStyle w:val="11"/>
            </w:pPr>
            <w:r>
              <w:t>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7.97</w:t>
            </w:r>
          </w:p>
        </w:tc>
        <w:tc>
          <w:tcPr>
            <w:tcW w:w="1361" w:type="dxa"/>
            <w:vAlign w:val="center"/>
          </w:tcPr>
          <w:p>
            <w:pPr>
              <w:pStyle w:val="11"/>
            </w:pPr>
            <w:r>
              <w:t>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131.90</w:t>
            </w:r>
          </w:p>
        </w:tc>
        <w:tc>
          <w:tcPr>
            <w:tcW w:w="3402" w:type="dxa"/>
            <w:vAlign w:val="center"/>
          </w:tcPr>
          <w:p>
            <w:pPr>
              <w:pStyle w:val="12"/>
            </w:pPr>
            <w:r>
              <w:t>一、一般公共服务支出</w:t>
            </w:r>
          </w:p>
        </w:tc>
        <w:tc>
          <w:tcPr>
            <w:tcW w:w="1474" w:type="dxa"/>
            <w:vAlign w:val="center"/>
          </w:tcPr>
          <w:p>
            <w:pPr>
              <w:pStyle w:val="11"/>
            </w:pPr>
            <w:r>
              <w:t>109.84</w:t>
            </w:r>
          </w:p>
        </w:tc>
        <w:tc>
          <w:tcPr>
            <w:tcW w:w="1474" w:type="dxa"/>
            <w:vAlign w:val="center"/>
          </w:tcPr>
          <w:p>
            <w:pPr>
              <w:pStyle w:val="11"/>
            </w:pPr>
            <w:r>
              <w:t>109.84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9.42</w:t>
            </w:r>
          </w:p>
        </w:tc>
        <w:tc>
          <w:tcPr>
            <w:tcW w:w="1474" w:type="dxa"/>
            <w:vAlign w:val="center"/>
          </w:tcPr>
          <w:p>
            <w:pPr>
              <w:pStyle w:val="11"/>
            </w:pPr>
            <w:r>
              <w:t>9.42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4.66</w:t>
            </w:r>
          </w:p>
        </w:tc>
        <w:tc>
          <w:tcPr>
            <w:tcW w:w="1474" w:type="dxa"/>
            <w:vAlign w:val="center"/>
          </w:tcPr>
          <w:p>
            <w:pPr>
              <w:pStyle w:val="11"/>
            </w:pPr>
            <w:r>
              <w:t>4.66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7.97</w:t>
            </w:r>
          </w:p>
        </w:tc>
        <w:tc>
          <w:tcPr>
            <w:tcW w:w="1474" w:type="dxa"/>
            <w:vAlign w:val="center"/>
          </w:tcPr>
          <w:p>
            <w:pPr>
              <w:pStyle w:val="11"/>
            </w:pPr>
            <w:r>
              <w:t>7.97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131.90</w:t>
            </w:r>
          </w:p>
        </w:tc>
        <w:tc>
          <w:tcPr>
            <w:tcW w:w="3402" w:type="dxa"/>
            <w:vAlign w:val="center"/>
          </w:tcPr>
          <w:p>
            <w:pPr>
              <w:pStyle w:val="14"/>
            </w:pPr>
            <w:r>
              <w:t>本年支出合计</w:t>
            </w:r>
          </w:p>
        </w:tc>
        <w:tc>
          <w:tcPr>
            <w:tcW w:w="1474" w:type="dxa"/>
            <w:vAlign w:val="center"/>
          </w:tcPr>
          <w:p>
            <w:pPr>
              <w:pStyle w:val="15"/>
            </w:pPr>
            <w:r>
              <w:t>131.90</w:t>
            </w:r>
          </w:p>
        </w:tc>
        <w:tc>
          <w:tcPr>
            <w:tcW w:w="1474" w:type="dxa"/>
            <w:vAlign w:val="center"/>
          </w:tcPr>
          <w:p>
            <w:pPr>
              <w:pStyle w:val="15"/>
            </w:pPr>
            <w:r>
              <w:t>131.90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131.90</w:t>
            </w:r>
          </w:p>
        </w:tc>
        <w:tc>
          <w:tcPr>
            <w:tcW w:w="3402" w:type="dxa"/>
            <w:vAlign w:val="center"/>
          </w:tcPr>
          <w:p>
            <w:pPr>
              <w:pStyle w:val="14"/>
            </w:pPr>
            <w:r>
              <w:t>支出总计</w:t>
            </w:r>
          </w:p>
        </w:tc>
        <w:tc>
          <w:tcPr>
            <w:tcW w:w="1474" w:type="dxa"/>
            <w:vAlign w:val="center"/>
          </w:tcPr>
          <w:p>
            <w:pPr>
              <w:pStyle w:val="15"/>
            </w:pPr>
            <w:r>
              <w:t>131.90</w:t>
            </w:r>
          </w:p>
        </w:tc>
        <w:tc>
          <w:tcPr>
            <w:tcW w:w="1474" w:type="dxa"/>
            <w:vAlign w:val="center"/>
          </w:tcPr>
          <w:p>
            <w:pPr>
              <w:pStyle w:val="15"/>
            </w:pPr>
            <w:r>
              <w:t>131.90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131.90</w:t>
            </w:r>
          </w:p>
        </w:tc>
        <w:tc>
          <w:tcPr>
            <w:tcW w:w="2551" w:type="dxa"/>
            <w:vAlign w:val="center"/>
          </w:tcPr>
          <w:p>
            <w:pPr>
              <w:pStyle w:val="15"/>
            </w:pPr>
            <w:r>
              <w:t>110.28</w:t>
            </w:r>
          </w:p>
        </w:tc>
        <w:tc>
          <w:tcPr>
            <w:tcW w:w="2551" w:type="dxa"/>
            <w:vAlign w:val="center"/>
          </w:tcPr>
          <w:p>
            <w:pPr>
              <w:pStyle w:val="15"/>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109.84</w:t>
            </w:r>
          </w:p>
        </w:tc>
        <w:tc>
          <w:tcPr>
            <w:tcW w:w="2551" w:type="dxa"/>
            <w:vAlign w:val="center"/>
          </w:tcPr>
          <w:p>
            <w:pPr>
              <w:pStyle w:val="11"/>
            </w:pPr>
            <w:r>
              <w:t>88.22</w:t>
            </w:r>
          </w:p>
        </w:tc>
        <w:tc>
          <w:tcPr>
            <w:tcW w:w="2551" w:type="dxa"/>
            <w:vAlign w:val="center"/>
          </w:tcPr>
          <w:p>
            <w:pPr>
              <w:pStyle w:val="11"/>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109.84</w:t>
            </w:r>
          </w:p>
        </w:tc>
        <w:tc>
          <w:tcPr>
            <w:tcW w:w="2551" w:type="dxa"/>
            <w:vAlign w:val="center"/>
          </w:tcPr>
          <w:p>
            <w:pPr>
              <w:pStyle w:val="11"/>
            </w:pPr>
            <w:r>
              <w:t>88.22</w:t>
            </w:r>
          </w:p>
        </w:tc>
        <w:tc>
          <w:tcPr>
            <w:tcW w:w="2551" w:type="dxa"/>
            <w:vAlign w:val="center"/>
          </w:tcPr>
          <w:p>
            <w:pPr>
              <w:pStyle w:val="11"/>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2013201</w:t>
            </w:r>
          </w:p>
        </w:tc>
        <w:tc>
          <w:tcPr>
            <w:tcW w:w="4535" w:type="dxa"/>
            <w:vAlign w:val="center"/>
          </w:tcPr>
          <w:p>
            <w:pPr>
              <w:pStyle w:val="12"/>
            </w:pPr>
            <w:r>
              <w:t>行政运行</w:t>
            </w:r>
          </w:p>
        </w:tc>
        <w:tc>
          <w:tcPr>
            <w:tcW w:w="2551" w:type="dxa"/>
            <w:vAlign w:val="center"/>
          </w:tcPr>
          <w:p>
            <w:pPr>
              <w:pStyle w:val="11"/>
            </w:pPr>
            <w:r>
              <w:t>109.84</w:t>
            </w:r>
          </w:p>
        </w:tc>
        <w:tc>
          <w:tcPr>
            <w:tcW w:w="2551" w:type="dxa"/>
            <w:vAlign w:val="center"/>
          </w:tcPr>
          <w:p>
            <w:pPr>
              <w:pStyle w:val="11"/>
            </w:pPr>
            <w:r>
              <w:t>88.22</w:t>
            </w:r>
          </w:p>
        </w:tc>
        <w:tc>
          <w:tcPr>
            <w:tcW w:w="2551" w:type="dxa"/>
            <w:vAlign w:val="center"/>
          </w:tcPr>
          <w:p>
            <w:pPr>
              <w:pStyle w:val="11"/>
            </w:pPr>
            <w:r>
              <w:t>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4.66</w:t>
            </w:r>
          </w:p>
        </w:tc>
        <w:tc>
          <w:tcPr>
            <w:tcW w:w="2551" w:type="dxa"/>
            <w:vAlign w:val="center"/>
          </w:tcPr>
          <w:p>
            <w:pPr>
              <w:pStyle w:val="11"/>
            </w:pPr>
            <w:r>
              <w:t>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110.28</w:t>
            </w:r>
          </w:p>
        </w:tc>
        <w:tc>
          <w:tcPr>
            <w:tcW w:w="2551" w:type="dxa"/>
            <w:vAlign w:val="center"/>
          </w:tcPr>
          <w:p>
            <w:pPr>
              <w:pStyle w:val="15"/>
            </w:pPr>
            <w:r>
              <w:t>98.00</w:t>
            </w:r>
          </w:p>
        </w:tc>
        <w:tc>
          <w:tcPr>
            <w:tcW w:w="2552" w:type="dxa"/>
            <w:vAlign w:val="center"/>
          </w:tcPr>
          <w:p>
            <w:pPr>
              <w:pStyle w:val="15"/>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97.75</w:t>
            </w:r>
          </w:p>
        </w:tc>
        <w:tc>
          <w:tcPr>
            <w:tcW w:w="2551" w:type="dxa"/>
            <w:vAlign w:val="center"/>
          </w:tcPr>
          <w:p>
            <w:pPr>
              <w:pStyle w:val="11"/>
            </w:pPr>
            <w:r>
              <w:t>97.75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40.23</w:t>
            </w:r>
          </w:p>
        </w:tc>
        <w:tc>
          <w:tcPr>
            <w:tcW w:w="2551" w:type="dxa"/>
            <w:vAlign w:val="center"/>
          </w:tcPr>
          <w:p>
            <w:pPr>
              <w:pStyle w:val="11"/>
            </w:pPr>
            <w:r>
              <w:t>40.23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27.77</w:t>
            </w:r>
          </w:p>
        </w:tc>
        <w:tc>
          <w:tcPr>
            <w:tcW w:w="2551" w:type="dxa"/>
            <w:vAlign w:val="center"/>
          </w:tcPr>
          <w:p>
            <w:pPr>
              <w:pStyle w:val="11"/>
            </w:pPr>
            <w:r>
              <w:t>27.77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3.35</w:t>
            </w:r>
          </w:p>
        </w:tc>
        <w:tc>
          <w:tcPr>
            <w:tcW w:w="2551" w:type="dxa"/>
            <w:vAlign w:val="center"/>
          </w:tcPr>
          <w:p>
            <w:pPr>
              <w:pStyle w:val="11"/>
            </w:pPr>
            <w:r>
              <w:t>3.35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4.09</w:t>
            </w:r>
          </w:p>
        </w:tc>
        <w:tc>
          <w:tcPr>
            <w:tcW w:w="2551" w:type="dxa"/>
            <w:vAlign w:val="center"/>
          </w:tcPr>
          <w:p>
            <w:pPr>
              <w:pStyle w:val="11"/>
            </w:pPr>
            <w:r>
              <w:t>4.09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9.42</w:t>
            </w:r>
          </w:p>
        </w:tc>
        <w:tc>
          <w:tcPr>
            <w:tcW w:w="2551" w:type="dxa"/>
            <w:vAlign w:val="center"/>
          </w:tcPr>
          <w:p>
            <w:pPr>
              <w:pStyle w:val="11"/>
            </w:pPr>
            <w:r>
              <w:t>9.42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4.66</w:t>
            </w:r>
          </w:p>
        </w:tc>
        <w:tc>
          <w:tcPr>
            <w:tcW w:w="2551" w:type="dxa"/>
            <w:vAlign w:val="center"/>
          </w:tcPr>
          <w:p>
            <w:pPr>
              <w:pStyle w:val="11"/>
            </w:pPr>
            <w:r>
              <w:t>4.66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0.24</w:t>
            </w:r>
          </w:p>
        </w:tc>
        <w:tc>
          <w:tcPr>
            <w:tcW w:w="2551" w:type="dxa"/>
            <w:vAlign w:val="center"/>
          </w:tcPr>
          <w:p>
            <w:pPr>
              <w:pStyle w:val="11"/>
            </w:pPr>
            <w:r>
              <w:t>0.24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7.97</w:t>
            </w:r>
          </w:p>
        </w:tc>
        <w:tc>
          <w:tcPr>
            <w:tcW w:w="2551" w:type="dxa"/>
            <w:vAlign w:val="center"/>
          </w:tcPr>
          <w:p>
            <w:pPr>
              <w:pStyle w:val="11"/>
            </w:pPr>
            <w:r>
              <w:t>7.97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12.28</w:t>
            </w:r>
          </w:p>
        </w:tc>
        <w:tc>
          <w:tcPr>
            <w:tcW w:w="2551" w:type="dxa"/>
            <w:vAlign w:val="center"/>
          </w:tcPr>
          <w:p>
            <w:pPr>
              <w:pStyle w:val="11"/>
            </w:pPr>
          </w:p>
        </w:tc>
        <w:tc>
          <w:tcPr>
            <w:tcW w:w="2552" w:type="dxa"/>
            <w:vAlign w:val="center"/>
          </w:tcPr>
          <w:p>
            <w:pPr>
              <w:pStyle w:val="11"/>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2.75</w:t>
            </w:r>
          </w:p>
        </w:tc>
        <w:tc>
          <w:tcPr>
            <w:tcW w:w="2551" w:type="dxa"/>
            <w:vAlign w:val="center"/>
          </w:tcPr>
          <w:p>
            <w:pPr>
              <w:pStyle w:val="11"/>
            </w:pPr>
          </w:p>
        </w:tc>
        <w:tc>
          <w:tcPr>
            <w:tcW w:w="2552" w:type="dxa"/>
            <w:vAlign w:val="center"/>
          </w:tcPr>
          <w:p>
            <w:pPr>
              <w:pStyle w:val="11"/>
            </w:pPr>
            <w:r>
              <w:t>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1.74</w:t>
            </w:r>
          </w:p>
        </w:tc>
        <w:tc>
          <w:tcPr>
            <w:tcW w:w="2551" w:type="dxa"/>
            <w:vAlign w:val="center"/>
          </w:tcPr>
          <w:p>
            <w:pPr>
              <w:pStyle w:val="11"/>
            </w:pPr>
          </w:p>
        </w:tc>
        <w:tc>
          <w:tcPr>
            <w:tcW w:w="2552" w:type="dxa"/>
            <w:vAlign w:val="center"/>
          </w:tcPr>
          <w:p>
            <w:pPr>
              <w:pStyle w:val="11"/>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0.35</w:t>
            </w:r>
          </w:p>
        </w:tc>
        <w:tc>
          <w:tcPr>
            <w:tcW w:w="2551" w:type="dxa"/>
            <w:vAlign w:val="center"/>
          </w:tcPr>
          <w:p>
            <w:pPr>
              <w:pStyle w:val="11"/>
            </w:pPr>
          </w:p>
        </w:tc>
        <w:tc>
          <w:tcPr>
            <w:tcW w:w="2552"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0.22</w:t>
            </w:r>
          </w:p>
        </w:tc>
        <w:tc>
          <w:tcPr>
            <w:tcW w:w="2551" w:type="dxa"/>
            <w:vAlign w:val="center"/>
          </w:tcPr>
          <w:p>
            <w:pPr>
              <w:pStyle w:val="11"/>
            </w:pPr>
          </w:p>
        </w:tc>
        <w:tc>
          <w:tcPr>
            <w:tcW w:w="2552"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0.22</w:t>
            </w:r>
          </w:p>
        </w:tc>
        <w:tc>
          <w:tcPr>
            <w:tcW w:w="2551" w:type="dxa"/>
            <w:vAlign w:val="center"/>
          </w:tcPr>
          <w:p>
            <w:pPr>
              <w:pStyle w:val="11"/>
            </w:pPr>
          </w:p>
        </w:tc>
        <w:tc>
          <w:tcPr>
            <w:tcW w:w="2552"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6.78</w:t>
            </w:r>
          </w:p>
        </w:tc>
        <w:tc>
          <w:tcPr>
            <w:tcW w:w="2551" w:type="dxa"/>
            <w:vAlign w:val="center"/>
          </w:tcPr>
          <w:p>
            <w:pPr>
              <w:pStyle w:val="11"/>
            </w:pPr>
          </w:p>
        </w:tc>
        <w:tc>
          <w:tcPr>
            <w:tcW w:w="2552"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0.22</w:t>
            </w:r>
          </w:p>
        </w:tc>
        <w:tc>
          <w:tcPr>
            <w:tcW w:w="2551" w:type="dxa"/>
            <w:vAlign w:val="center"/>
          </w:tcPr>
          <w:p>
            <w:pPr>
              <w:pStyle w:val="11"/>
            </w:pPr>
          </w:p>
        </w:tc>
        <w:tc>
          <w:tcPr>
            <w:tcW w:w="2552"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0.25</w:t>
            </w:r>
          </w:p>
        </w:tc>
        <w:tc>
          <w:tcPr>
            <w:tcW w:w="2551" w:type="dxa"/>
            <w:vAlign w:val="center"/>
          </w:tcPr>
          <w:p>
            <w:pPr>
              <w:pStyle w:val="11"/>
            </w:pPr>
            <w:r>
              <w:t>0.25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0.25</w:t>
            </w:r>
          </w:p>
        </w:tc>
        <w:tc>
          <w:tcPr>
            <w:tcW w:w="2551" w:type="dxa"/>
            <w:vAlign w:val="center"/>
          </w:tcPr>
          <w:p>
            <w:pPr>
              <w:pStyle w:val="11"/>
            </w:pPr>
            <w:r>
              <w:t>0.25</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default" w:eastAsia="方正书宋_GBK"/>
                <w:lang w:val="en-US" w:eastAsia="zh-CN"/>
              </w:rPr>
            </w:pPr>
            <w:r>
              <w:rPr>
                <w:rFonts w:hint="eastAsia"/>
                <w:lang w:val="en-US" w:eastAsia="zh-CN"/>
              </w:rPr>
              <w:t>0.76</w:t>
            </w:r>
          </w:p>
        </w:tc>
        <w:tc>
          <w:tcPr>
            <w:tcW w:w="2381" w:type="dxa"/>
            <w:vAlign w:val="center"/>
          </w:tcPr>
          <w:p>
            <w:pPr>
              <w:pStyle w:val="15"/>
              <w:rPr>
                <w:rFonts w:hint="default" w:eastAsia="方正书宋_GBK"/>
                <w:lang w:val="en-US" w:eastAsia="zh-CN"/>
              </w:rPr>
            </w:pPr>
            <w:r>
              <w:rPr>
                <w:rFonts w:hint="eastAsia"/>
                <w:lang w:val="en-US" w:eastAsia="zh-CN"/>
              </w:rPr>
              <w:t>0.76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rPr>
                <w:rFonts w:hint="default" w:eastAsia="方正书宋_GBK"/>
                <w:lang w:val="en-US" w:eastAsia="zh-CN"/>
              </w:rPr>
            </w:pPr>
            <w:r>
              <w:rPr>
                <w:rFonts w:hint="eastAsia"/>
                <w:lang w:val="en-US" w:eastAsia="zh-CN"/>
              </w:rPr>
              <w:t>0.76</w:t>
            </w:r>
          </w:p>
        </w:tc>
        <w:tc>
          <w:tcPr>
            <w:tcW w:w="2381" w:type="dxa"/>
            <w:vAlign w:val="center"/>
          </w:tcPr>
          <w:p>
            <w:pPr>
              <w:pStyle w:val="11"/>
              <w:rPr>
                <w:rFonts w:hint="default" w:eastAsia="方正书宋_GBK"/>
                <w:lang w:val="en-US" w:eastAsia="zh-CN"/>
              </w:rPr>
            </w:pPr>
            <w:r>
              <w:rPr>
                <w:rFonts w:hint="eastAsia"/>
                <w:lang w:val="en-US" w:eastAsia="zh-CN"/>
              </w:rPr>
              <w:t>0.76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0.76</w:t>
            </w:r>
          </w:p>
        </w:tc>
        <w:tc>
          <w:tcPr>
            <w:tcW w:w="2381" w:type="dxa"/>
            <w:vAlign w:val="center"/>
          </w:tcPr>
          <w:p>
            <w:pPr>
              <w:pStyle w:val="11"/>
            </w:pPr>
            <w:r>
              <w:t>0.76</w:t>
            </w:r>
          </w:p>
        </w:tc>
        <w:tc>
          <w:tcPr>
            <w:tcW w:w="2381" w:type="dxa"/>
            <w:vAlign w:val="center"/>
          </w:tcPr>
          <w:p>
            <w:pPr>
              <w:pStyle w:val="11"/>
            </w:pPr>
          </w:p>
        </w:tc>
        <w:tc>
          <w:tcPr>
            <w:tcW w:w="2381" w:type="dxa"/>
            <w:vAlign w:val="center"/>
          </w:tcPr>
          <w:p>
            <w:pPr>
              <w:pStyle w:val="11"/>
            </w:pPr>
          </w:p>
        </w:tc>
      </w:tr>
    </w:tbl>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中共隆尧县委机构编制委员会办公室2022年部门预算信息公开情况说明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按照《预算法》、《地方预决算公开操作规程》和《关于进一步推进预算公开工作的实施意见》规定，现将中共隆尧县委机构编制委员会办公室2022年部门预算公开如下：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pStyle w:val="17"/>
      </w:pPr>
      <w:r>
        <w:t>（二）组织拟订全县行政管理体制改革和县委、县政府机构改革方案并组织实施。指导、协调乡镇行政管理体制和机构改革以及机构编制管理工作；负责行政执法体制改革工作。</w:t>
      </w:r>
    </w:p>
    <w:p>
      <w:pPr>
        <w:pStyle w:val="17"/>
      </w:pPr>
      <w:r>
        <w:t>（三）协调县委、县政府各部门的职能配置及其调整。协调县委、县政府各部门之间以及县直部门与各乡镇之间的职责分工。</w:t>
      </w:r>
    </w:p>
    <w:p>
      <w:pPr>
        <w:pStyle w:val="17"/>
      </w:pPr>
      <w: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pStyle w:val="17"/>
      </w:pPr>
      <w: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pStyle w:val="17"/>
      </w:pPr>
      <w:r>
        <w:t>（六）负责全县开发区（园区）行政管理体制改革工作，组织拟订开发区（园区）机构编制管理办法并组织实施，审核开发区（园区）职能配置、机构设置、人员编制和领导职数。</w:t>
      </w:r>
    </w:p>
    <w:p>
      <w:pPr>
        <w:pStyle w:val="17"/>
      </w:pPr>
      <w:r>
        <w:t>（七）负责对全县机构编制的总量控制和动态管理。会同有关部门负责机构编制实名制工作；负责全县机关事业单位编制使用核准；建立健全机构编制部门与有关部门间的协调配合约束机制。</w:t>
      </w:r>
    </w:p>
    <w:p>
      <w:pPr>
        <w:pStyle w:val="17"/>
      </w:pPr>
      <w:r>
        <w:t>（八）负责对全县行政、事业单位管理体制和机构改革及机构编制执行情况的跟踪评估和监督检查。负责受理违反机构编制法规、纪律的检举、控告和投诉，对违反机构编制法规、纪律问题进行调查处理。</w:t>
      </w:r>
    </w:p>
    <w:p>
      <w:pPr>
        <w:pStyle w:val="17"/>
      </w:pPr>
      <w: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pStyle w:val="17"/>
      </w:pPr>
      <w:r>
        <w:t>（十）组织开展行政体制改革及机构编制管理创新基础性和前瞻性研究。</w:t>
      </w:r>
    </w:p>
    <w:p>
      <w:pPr>
        <w:pStyle w:val="17"/>
      </w:pPr>
      <w:r>
        <w:t>（十一）完成县委和县委机构编制委员会交办的其他任务。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中共隆尧县委机构编制委员会办公室本级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部门预算的编制实行综合预算管理，即全部收入和支出都反映在预算中。中共隆尧县委机构编制委员会办公室机关及所属事业单位的收支包含在部门预算中。</w:t>
      </w:r>
    </w:p>
    <w:p>
      <w:pPr>
        <w:pStyle w:val="18"/>
      </w:pPr>
      <w:r>
        <w:t>1、收入说明</w:t>
      </w:r>
    </w:p>
    <w:p>
      <w:pPr>
        <w:pStyle w:val="18"/>
      </w:pPr>
      <w:r>
        <w:t>反映本部门当年全部收入。2022年预算收入131.9万元，其中：一般公共预算收入131.9万元，基金预算收入0万元，财政专户核拨收入0万元，其他来源收入0万元。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中共隆尧县委机构编制委员会办公室年度部门预算中支出预算的总体情况。2022年部门支出预算为131.9万元，其中基本支出110.28万元，包括人员经费98万元和日常公用经费12.28万元；项目支出21.62万元，主要为机构编制管理经费15.88万元，中文域名维护费5.74万元。</w:t>
      </w:r>
    </w:p>
    <w:p>
      <w:pPr>
        <w:pStyle w:val="18"/>
      </w:pPr>
      <w:r>
        <w:t>3、比上年增减情况</w:t>
      </w:r>
    </w:p>
    <w:p>
      <w:pPr>
        <w:pStyle w:val="18"/>
      </w:pPr>
      <w:r>
        <w:t>2022年部门预算收支安排131.9万元，较2021年增加21.49万元，其中：基本支出增加21.48万元，主要是人员工资和日常公用经费增加；项目支出减少0万元，和上年持平。</w:t>
      </w:r>
    </w:p>
    <w:p>
      <w:pPr>
        <w:spacing w:before="10" w:after="10" w:line="360" w:lineRule="auto"/>
        <w:ind w:firstLine="640"/>
        <w:outlineLvl w:val="2"/>
        <w:rPr>
          <w:rFonts w:hint="eastAsia"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ascii="黑体" w:hAnsi="黑体" w:eastAsia="黑体" w:cs="黑体"/>
          <w:color w:val="000000"/>
          <w:sz w:val="32"/>
          <w:lang w:eastAsia="zh-CN"/>
        </w:rPr>
      </w:pPr>
      <w:r>
        <w:rPr>
          <w:sz w:val="28"/>
          <w:szCs w:val="28"/>
        </w:rPr>
        <w:t>2022</w:t>
      </w:r>
      <w:r>
        <w:rPr>
          <w:rFonts w:hint="eastAsia" w:ascii="宋体" w:hAnsi="宋体" w:eastAsia="宋体" w:cs="宋体"/>
          <w:sz w:val="28"/>
          <w:szCs w:val="28"/>
        </w:rPr>
        <w:t>年，我部门机关运行经费共计安排</w:t>
      </w:r>
      <w:r>
        <w:rPr>
          <w:sz w:val="28"/>
          <w:szCs w:val="28"/>
        </w:rPr>
        <w:t>12.28</w:t>
      </w:r>
      <w:r>
        <w:rPr>
          <w:rFonts w:hint="eastAsia" w:ascii="宋体" w:hAnsi="宋体" w:eastAsia="宋体" w:cs="宋体"/>
          <w:sz w:val="28"/>
          <w:szCs w:val="28"/>
        </w:rPr>
        <w:t>万元，主要用于保证机关正常运转的办公及印刷费、工会经费、福利费、党组织活动经费等支出。</w:t>
      </w:r>
    </w:p>
    <w:p>
      <w:pPr>
        <w:spacing w:before="10" w:after="10" w:line="360" w:lineRule="auto"/>
        <w:ind w:firstLine="640"/>
        <w:outlineLvl w:val="2"/>
        <w:rPr>
          <w:rFonts w:hint="eastAsia" w:ascii="黑体" w:hAnsi="黑体" w:eastAsia="黑体" w:cs="黑体"/>
          <w:color w:val="000000"/>
          <w:sz w:val="32"/>
          <w:lang w:eastAsia="zh-CN"/>
        </w:rPr>
      </w:pPr>
      <w:bookmarkStart w:id="12" w:name="_Toc_3_3_0000000013"/>
      <w:r>
        <w:rPr>
          <w:rFonts w:ascii="黑体" w:hAnsi="黑体" w:eastAsia="黑体" w:cs="黑体"/>
          <w:color w:val="000000"/>
          <w:sz w:val="32"/>
        </w:rPr>
        <w:t>四、财政拨款“三公”经费预算情况及增减变化原因</w:t>
      </w:r>
      <w:bookmarkEnd w:id="12"/>
    </w:p>
    <w:p>
      <w:pPr>
        <w:spacing w:before="10" w:after="10" w:line="360" w:lineRule="auto"/>
        <w:ind w:firstLine="640"/>
        <w:outlineLvl w:val="2"/>
        <w:rPr>
          <w:rFonts w:hint="eastAsia" w:ascii="宋体" w:hAnsi="宋体" w:eastAsia="宋体" w:cs="宋体"/>
          <w:sz w:val="28"/>
          <w:szCs w:val="28"/>
          <w:lang w:eastAsia="zh-CN"/>
        </w:rPr>
      </w:pPr>
      <w:r>
        <w:rPr>
          <w:rFonts w:hint="eastAsia" w:ascii="宋体" w:hAnsi="宋体" w:eastAsia="宋体" w:cs="宋体"/>
          <w:sz w:val="28"/>
          <w:szCs w:val="28"/>
          <w:lang w:eastAsia="zh-CN"/>
        </w:rPr>
        <w:t>2022年，我</w:t>
      </w:r>
      <w:r>
        <w:rPr>
          <w:rFonts w:hint="eastAsia" w:ascii="宋体" w:hAnsi="宋体" w:eastAsia="宋体" w:cs="宋体"/>
          <w:sz w:val="28"/>
          <w:szCs w:val="28"/>
          <w:lang w:val="en-US" w:eastAsia="zh-CN"/>
        </w:rPr>
        <w:t>部门</w:t>
      </w:r>
      <w:r>
        <w:rPr>
          <w:rFonts w:hint="eastAsia" w:ascii="宋体" w:hAnsi="宋体" w:eastAsia="宋体" w:cs="宋体"/>
          <w:sz w:val="28"/>
          <w:szCs w:val="28"/>
          <w:lang w:eastAsia="zh-CN"/>
        </w:rPr>
        <w:t>财政拨款“三公”经费预算安排0.76万元，其中：因公出国（境）费0万元；公务用车购置及运维费0万元（</w:t>
      </w:r>
      <w:r>
        <w:rPr>
          <w:rFonts w:hint="eastAsia" w:ascii="宋体" w:hAnsi="宋体" w:eastAsia="宋体" w:cs="宋体"/>
          <w:sz w:val="28"/>
          <w:szCs w:val="28"/>
          <w:lang w:val="en-US" w:eastAsia="zh-CN"/>
        </w:rPr>
        <w:t>其中</w:t>
      </w:r>
      <w:r>
        <w:rPr>
          <w:rFonts w:hint="eastAsia" w:ascii="宋体" w:hAnsi="宋体" w:eastAsia="宋体" w:cs="宋体"/>
          <w:sz w:val="28"/>
          <w:szCs w:val="28"/>
          <w:lang w:eastAsia="zh-CN"/>
        </w:rPr>
        <w:t>公务用车购置0万元，</w:t>
      </w:r>
      <w:r>
        <w:rPr>
          <w:rFonts w:hint="eastAsia" w:ascii="宋体" w:hAnsi="宋体" w:eastAsia="宋体" w:cs="宋体"/>
          <w:sz w:val="28"/>
          <w:szCs w:val="28"/>
          <w:lang w:val="en-US" w:eastAsia="zh-CN"/>
        </w:rPr>
        <w:t>公务用车</w:t>
      </w:r>
      <w:r>
        <w:rPr>
          <w:rFonts w:hint="eastAsia" w:ascii="宋体" w:hAnsi="宋体" w:eastAsia="宋体" w:cs="宋体"/>
          <w:sz w:val="28"/>
          <w:szCs w:val="28"/>
          <w:lang w:eastAsia="zh-CN"/>
        </w:rPr>
        <w:t>运维费0万元）；公务接待费0.76万元。</w:t>
      </w:r>
      <w:r>
        <w:rPr>
          <w:rFonts w:hint="eastAsia" w:ascii="宋体" w:hAnsi="宋体" w:eastAsia="宋体" w:cs="宋体"/>
          <w:sz w:val="28"/>
          <w:szCs w:val="28"/>
          <w:lang w:val="en-US" w:eastAsia="zh-CN"/>
        </w:rPr>
        <w:t>与2021年相比无变化。</w:t>
      </w:r>
    </w:p>
    <w:p>
      <w:pPr>
        <w:spacing w:before="10" w:after="10" w:line="360" w:lineRule="auto"/>
        <w:ind w:firstLine="640" w:firstLineChars="20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贯彻落实党中央和省委、市委,关于行政管理体制和机构改革以及机构编制管理的政策法规。管理和指导党委、人大、政府、政协、监察机关、各乡镇，民主党派、人民团体机关以及全县事业单位的机构编制工作。负责全县行政管理体制和机构改革以及机构编制管理工作；负责行政执法体制改革工作。审核或审批县委、县政府各部门及各部门派出机构的职能配置、机构设置、人员编制和领导职数；组织拟订全县事业单位管理体制和机构改革方案。指导全县党政群机关统一社会信用代码管理工作，负责全县事业单位法人登记管理和监督检查工作。负责全县机构编制的总量控制和动态管理。负责机构编制实名制工作；负责县直机关事业单位编制使用核准；负责对各级行政、事业单位管理体制和机构改革及机构编制执行情况的跟踪评估和监督检查。负责全县机构编制电子政务和信息化工作。</w:t>
      </w:r>
    </w:p>
    <w:p>
      <w:pPr>
        <w:spacing w:line="500" w:lineRule="exact"/>
        <w:ind w:firstLine="560"/>
      </w:pPr>
      <w:r>
        <w:rPr>
          <w:rFonts w:eastAsia="方正仿宋_GBK"/>
          <w:color w:val="000000"/>
          <w:sz w:val="28"/>
        </w:rPr>
        <w:t>（二）分项绩效目标</w:t>
      </w:r>
    </w:p>
    <w:p>
      <w:pPr>
        <w:pStyle w:val="22"/>
      </w:pPr>
      <w:r>
        <w:rPr>
          <w:rFonts w:hint="eastAsia"/>
          <w:lang w:eastAsia="zh-CN"/>
        </w:rPr>
        <w:t>1、</w:t>
      </w:r>
      <w:r>
        <w:t>机构编制管理</w:t>
      </w:r>
    </w:p>
    <w:p>
      <w:pPr>
        <w:pStyle w:val="22"/>
      </w:pPr>
      <w:r>
        <w:t>绩效目标：加强机构编制资源动态调整，扎实推进控编减编工作。依据中央、省市决策部署，按照“严控总量、盘活存量、优化结构、增减平衡”要求，严禁超编制进人、超职数配备领导干部。制定全县机关事业编制总量标准、机关事业单位具体机构编制标准；开展机构编制实名制及人员编制使用情况核准，机构编制执行情况跟踪评估和监督检查工作；负责全区机关赋码、事业单位法人登记管理和监督检查工作。</w:t>
      </w:r>
    </w:p>
    <w:p>
      <w:pPr>
        <w:pStyle w:val="22"/>
      </w:pPr>
      <w:r>
        <w:rPr>
          <w:rFonts w:hint="eastAsia"/>
          <w:lang w:eastAsia="zh-CN"/>
        </w:rPr>
        <w:t>2、</w:t>
      </w:r>
      <w:r>
        <w:t>中文域名维护</w:t>
      </w:r>
    </w:p>
    <w:p>
      <w:pPr>
        <w:pStyle w:val="22"/>
      </w:pPr>
      <w:r>
        <w:t>绩效目标：通过开展中文域名工作,进一步加强党政机关网上名称管理,规范网站域名和网站名称,提高网站的权威性、严肃性、规范性，提高社会管理和公共服务水平，保障公众知情权、参与权和监督权，确保党政机关网站的安全运行和健康发展。</w:t>
      </w:r>
    </w:p>
    <w:p>
      <w:pPr>
        <w:spacing w:line="500" w:lineRule="exact"/>
        <w:ind w:firstLine="560"/>
      </w:pPr>
      <w:r>
        <w:rPr>
          <w:rFonts w:eastAsia="方正仿宋_GBK"/>
          <w:color w:val="000000"/>
          <w:sz w:val="28"/>
        </w:rPr>
        <w:t>（三）工作保障措施</w:t>
      </w:r>
    </w:p>
    <w:p>
      <w:pPr>
        <w:pStyle w:val="23"/>
      </w:pPr>
      <w:r>
        <w:rPr>
          <w:rFonts w:hint="eastAsia"/>
          <w:lang w:eastAsia="zh-CN"/>
        </w:rPr>
        <w:t>1、</w:t>
      </w:r>
      <w:r>
        <w:t>完善制度建设。根据财政局预算绩效管理要求，县委编办制定完善预算绩效管理制度、资金管理办法、工作保障制度等，为全年预算绩效目标的实现奠定制度基础。</w:t>
      </w:r>
    </w:p>
    <w:p>
      <w:pPr>
        <w:pStyle w:val="23"/>
      </w:pPr>
      <w:r>
        <w:rPr>
          <w:rFonts w:hint="eastAsia"/>
          <w:lang w:eastAsia="zh-CN"/>
        </w:rPr>
        <w:t>2、</w:t>
      </w:r>
      <w:r>
        <w:t>加强支出管理。优化支出结构、编细编实预算、及时支付资金、按规定及时下达资金等多种措施，确保支出进度达标。</w:t>
      </w:r>
    </w:p>
    <w:p>
      <w:pPr>
        <w:pStyle w:val="23"/>
      </w:pPr>
      <w:r>
        <w:rPr>
          <w:rFonts w:hint="eastAsia"/>
          <w:lang w:eastAsia="zh-CN"/>
        </w:rPr>
        <w:t>3、</w:t>
      </w:r>
      <w:r>
        <w:t>加强绩效运行监控。按要求开展绩效运行监控，发现问题及时采取措施，确保绩效目标如期保质实现。</w:t>
      </w:r>
    </w:p>
    <w:p>
      <w:pPr>
        <w:pStyle w:val="23"/>
      </w:pPr>
      <w:r>
        <w:rPr>
          <w:rFonts w:hint="eastAsia"/>
          <w:lang w:eastAsia="zh-CN"/>
        </w:rPr>
        <w:t>4、</w:t>
      </w:r>
      <w:r>
        <w:t>做好绩效自评。按要求开展上年度部门预算绩效自评和重点评价工作，对评价中发现的问题及时整改，调整优化支出结构，提高财政资金使用效益。</w:t>
      </w:r>
    </w:p>
    <w:p>
      <w:pPr>
        <w:pStyle w:val="23"/>
      </w:pPr>
      <w:r>
        <w:rPr>
          <w:rFonts w:hint="eastAsia"/>
          <w:lang w:eastAsia="zh-CN"/>
        </w:rPr>
        <w:t>5、</w:t>
      </w:r>
      <w:r>
        <w:t>规范财务资产管理。完善财务管理制度，严格审批程序，加强固定资产登记、使用和报废处置管理，做到支出合理，物尽其用。</w:t>
      </w:r>
    </w:p>
    <w:p>
      <w:pPr>
        <w:pStyle w:val="23"/>
      </w:pPr>
      <w:r>
        <w:rPr>
          <w:rFonts w:hint="eastAsia"/>
          <w:lang w:eastAsia="zh-CN"/>
        </w:rPr>
        <w:t>6、</w:t>
      </w:r>
      <w:r>
        <w:t>加强内部监督。加强内部监督制度建设，对绩效运行情况、重大支出决策、资产处置及其他重要业务事项的决策和执行进行督导，确保财政资金安全有效。</w:t>
      </w:r>
    </w:p>
    <w:p>
      <w:pPr>
        <w:pStyle w:val="23"/>
      </w:pPr>
      <w:r>
        <w:rPr>
          <w:rFonts w:hint="eastAsia"/>
          <w:lang w:eastAsia="zh-CN"/>
        </w:rPr>
        <w:t>7、</w:t>
      </w:r>
      <w:r>
        <w:t>加强宣传培训调研。加强人员培训，积极参加财政部门举办的专业知识培训，提高会计从业人员业务素质；加大宣传力度，强化预算绩效管理意识，促进预算绩效管理水平进一步提升。</w:t>
      </w:r>
    </w:p>
    <w:p>
      <w:pPr>
        <w:pStyle w:val="23"/>
      </w:pPr>
      <w:r>
        <w:rPr>
          <w:rFonts w:hint="eastAsia"/>
          <w:lang w:eastAsia="zh-CN"/>
        </w:rPr>
        <w:t>8、</w:t>
      </w:r>
      <w:r>
        <w:t>做好事业单位登记管理和监督检查工作。2021年1月份开始到3月31日，继续对已登记的事业单位进行年度报告公示工作；加强完善机关、群团和事业单位的变更申请工作。开展机构编制执行情况跟踪评估和监督检查，开展全县机关赋码、事业单位法人登记管理和监督检查工作。</w:t>
      </w:r>
    </w:p>
    <w:p>
      <w:pPr>
        <w:pStyle w:val="23"/>
      </w:pPr>
      <w:r>
        <w:rPr>
          <w:rFonts w:hint="eastAsia"/>
          <w:lang w:eastAsia="zh-CN"/>
        </w:rPr>
        <w:t>9、</w:t>
      </w:r>
      <w:r>
        <w:t>推进机构编制电子政务中心建设。一是抓好基础数据管理。以机构编制实名制管理系统为载体，通过各机关事业单位报送变动信息、编办实时更新等措施，提升实名制基础数据的完整度和准确度。二是抓网站建设与应用。完成电子政务内网接入工作，外网以机构编制信息网为基础，充实丰富模块内容，完善优化编办权威信息发布和政务信息公开。</w:t>
      </w:r>
    </w:p>
    <w:p>
      <w:pPr>
        <w:pStyle w:val="23"/>
      </w:pPr>
      <w:r>
        <w:rPr>
          <w:rFonts w:hint="eastAsia"/>
          <w:lang w:eastAsia="zh-CN"/>
        </w:rPr>
        <w:t>10、</w:t>
      </w:r>
      <w:r>
        <w:t>全面加强机关自身建设。县委编办是党的机关、政治机关，必须旗帜鲜明讲政治，在推进机关党的政治建设上狠下功夫。进一步加强编办机关的制度化、规范化建设，加强改进作风，提升工作标准，严格日常管理，构建与管理体制调整变化相适应的制度和管理体系。加强干部学习培训，全面提升全体干部的政治能力和业务素质。</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bookmarkStart w:id="18" w:name="_GoBack"/>
      <w:bookmarkEnd w:id="18"/>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1、机构编制管理经费绩效目标表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1.目标内容1审核管理全县各类人员编制总额，开展机构编制实名制管理和编制使用核准。</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覆盖率</w:t>
            </w:r>
          </w:p>
        </w:tc>
        <w:tc>
          <w:tcPr>
            <w:tcW w:w="2835" w:type="dxa"/>
            <w:vAlign w:val="center"/>
          </w:tcPr>
          <w:p>
            <w:pPr>
              <w:pStyle w:val="26"/>
            </w:pPr>
            <w:r>
              <w:t>审批目标，实名制</w:t>
            </w:r>
          </w:p>
        </w:tc>
        <w:tc>
          <w:tcPr>
            <w:tcW w:w="2551" w:type="dxa"/>
            <w:vAlign w:val="center"/>
          </w:tcPr>
          <w:p>
            <w:pPr>
              <w:pStyle w:val="26"/>
            </w:pPr>
            <w:r>
              <w:t>≥295</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在省市机构编制网信息采用率</w:t>
            </w:r>
          </w:p>
        </w:tc>
        <w:tc>
          <w:tcPr>
            <w:tcW w:w="2551" w:type="dxa"/>
            <w:vAlign w:val="center"/>
          </w:tcPr>
          <w:p>
            <w:pPr>
              <w:pStyle w:val="26"/>
            </w:pPr>
            <w:r>
              <w:t>≥50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预算执行率</w:t>
            </w:r>
          </w:p>
        </w:tc>
        <w:tc>
          <w:tcPr>
            <w:tcW w:w="2551" w:type="dxa"/>
            <w:vAlign w:val="center"/>
          </w:tcPr>
          <w:p>
            <w:pPr>
              <w:pStyle w:val="26"/>
            </w:pPr>
            <w:r>
              <w:t>100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财政投入水平</w:t>
            </w:r>
          </w:p>
        </w:tc>
        <w:tc>
          <w:tcPr>
            <w:tcW w:w="2835" w:type="dxa"/>
            <w:vAlign w:val="center"/>
          </w:tcPr>
          <w:p>
            <w:pPr>
              <w:pStyle w:val="26"/>
            </w:pPr>
            <w:r>
              <w:t>财政投入水平</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全县机构编制实名制的使用量得到充分认可</w:t>
            </w:r>
          </w:p>
        </w:tc>
        <w:tc>
          <w:tcPr>
            <w:tcW w:w="2835" w:type="dxa"/>
            <w:vAlign w:val="center"/>
          </w:tcPr>
          <w:p>
            <w:pPr>
              <w:pStyle w:val="26"/>
            </w:pPr>
            <w:r>
              <w:t>全县机构编制实名制的使用量得到充分认可</w:t>
            </w:r>
          </w:p>
        </w:tc>
        <w:tc>
          <w:tcPr>
            <w:tcW w:w="2551" w:type="dxa"/>
            <w:vAlign w:val="center"/>
          </w:tcPr>
          <w:p>
            <w:pPr>
              <w:pStyle w:val="26"/>
            </w:pPr>
            <w:r>
              <w:t>≥95</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机构编制管理群众满意度</w:t>
            </w:r>
          </w:p>
        </w:tc>
        <w:tc>
          <w:tcPr>
            <w:tcW w:w="2551" w:type="dxa"/>
            <w:vAlign w:val="center"/>
          </w:tcPr>
          <w:p>
            <w:pPr>
              <w:pStyle w:val="26"/>
            </w:pPr>
            <w:r>
              <w:t>≥95</w:t>
            </w:r>
          </w:p>
        </w:tc>
        <w:tc>
          <w:tcPr>
            <w:tcW w:w="2268" w:type="dxa"/>
            <w:vAlign w:val="center"/>
          </w:tcPr>
          <w:p>
            <w:pPr>
              <w:pStyle w:val="26"/>
            </w:pPr>
            <w:r>
              <w:t>工作计划</w:t>
            </w:r>
          </w:p>
        </w:tc>
      </w:tr>
    </w:tbl>
    <w:p>
      <w:pPr>
        <w:pStyle w:val="24"/>
      </w:pPr>
    </w:p>
    <w:p>
      <w:pPr>
        <w:pStyle w:val="24"/>
        <w:ind w:firstLine="560"/>
      </w:pPr>
      <w:r>
        <w:rPr>
          <w:rFonts w:ascii="方正仿宋_GBK" w:hAnsi="方正仿宋_GBK" w:eastAsia="方正仿宋_GBK" w:cs="方正仿宋_GBK"/>
          <w:b/>
          <w:color w:val="000000"/>
          <w:sz w:val="28"/>
        </w:rPr>
        <w:t>2、中文域名维护费绩效目标表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1.目标内容1完成年度中文域名续费工作</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单位中文域名维护费</w:t>
            </w:r>
          </w:p>
        </w:tc>
        <w:tc>
          <w:tcPr>
            <w:tcW w:w="2835" w:type="dxa"/>
            <w:vAlign w:val="center"/>
          </w:tcPr>
          <w:p>
            <w:pPr>
              <w:pStyle w:val="26"/>
            </w:pPr>
            <w:r>
              <w:t>为党政机关和事业单位共计300个进行中文域名管理续费</w:t>
            </w:r>
          </w:p>
        </w:tc>
        <w:tc>
          <w:tcPr>
            <w:tcW w:w="2551" w:type="dxa"/>
            <w:vAlign w:val="center"/>
          </w:tcPr>
          <w:p>
            <w:pPr>
              <w:pStyle w:val="26"/>
            </w:pPr>
            <w:r>
              <w:t>300个</w:t>
            </w:r>
          </w:p>
        </w:tc>
        <w:tc>
          <w:tcPr>
            <w:tcW w:w="2268" w:type="dxa"/>
            <w:vAlign w:val="center"/>
          </w:tcPr>
          <w:p>
            <w:pPr>
              <w:pStyle w:val="26"/>
            </w:pPr>
            <w:r>
              <w:t>邢机编办【2016】30号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是否放置统一的网站标识</w:t>
            </w:r>
          </w:p>
        </w:tc>
        <w:tc>
          <w:tcPr>
            <w:tcW w:w="2835" w:type="dxa"/>
            <w:vAlign w:val="center"/>
          </w:tcPr>
          <w:p>
            <w:pPr>
              <w:pStyle w:val="26"/>
            </w:pPr>
            <w:r>
              <w:t>方便公众辨别网站真假</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域名注册指标完成的时间节点</w:t>
            </w:r>
          </w:p>
        </w:tc>
        <w:tc>
          <w:tcPr>
            <w:tcW w:w="2835" w:type="dxa"/>
            <w:vAlign w:val="center"/>
          </w:tcPr>
          <w:p>
            <w:pPr>
              <w:pStyle w:val="26"/>
            </w:pPr>
            <w:r>
              <w:t xml:space="preserve">预计2022年12月底前完成年度中文域名注册管理工作 </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财政投入</w:t>
            </w:r>
          </w:p>
        </w:tc>
        <w:tc>
          <w:tcPr>
            <w:tcW w:w="2835" w:type="dxa"/>
            <w:vAlign w:val="center"/>
          </w:tcPr>
          <w:p>
            <w:pPr>
              <w:pStyle w:val="26"/>
            </w:pPr>
            <w:r>
              <w:t>财政投入</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规范网站域名和网站名称</w:t>
            </w:r>
          </w:p>
        </w:tc>
        <w:tc>
          <w:tcPr>
            <w:tcW w:w="2835" w:type="dxa"/>
            <w:vAlign w:val="center"/>
          </w:tcPr>
          <w:p>
            <w:pPr>
              <w:pStyle w:val="26"/>
            </w:pPr>
            <w:r>
              <w:t>保障公众对网站的知情权、参与权和监督权</w:t>
            </w:r>
          </w:p>
        </w:tc>
        <w:tc>
          <w:tcPr>
            <w:tcW w:w="2551" w:type="dxa"/>
            <w:vAlign w:val="center"/>
          </w:tcPr>
          <w:p>
            <w:pPr>
              <w:pStyle w:val="26"/>
            </w:pPr>
            <w:r>
              <w:t>≥90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接受域名注册的机关事业单位所需提供服务的满意程度</w:t>
            </w:r>
          </w:p>
        </w:tc>
        <w:tc>
          <w:tcPr>
            <w:tcW w:w="2551" w:type="dxa"/>
            <w:vAlign w:val="center"/>
          </w:tcPr>
          <w:p>
            <w:pPr>
              <w:pStyle w:val="26"/>
            </w:pPr>
            <w:r>
              <w:t>≥95</w:t>
            </w:r>
          </w:p>
        </w:tc>
        <w:tc>
          <w:tcPr>
            <w:tcW w:w="2268" w:type="dxa"/>
            <w:vAlign w:val="center"/>
          </w:tcPr>
          <w:p>
            <w:pPr>
              <w:pStyle w:val="26"/>
            </w:pPr>
            <w:r>
              <w:t>文件要求</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2022年，中共隆尧县委机构编制委员会办公室安排政府采购预算1.52万元。具体内容见下表。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1.52</w:t>
            </w:r>
          </w:p>
        </w:tc>
        <w:tc>
          <w:tcPr>
            <w:tcW w:w="964" w:type="dxa"/>
            <w:vAlign w:val="center"/>
          </w:tcPr>
          <w:p>
            <w:pPr>
              <w:pStyle w:val="15"/>
            </w:pPr>
            <w:r>
              <w:t>1.52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中共隆尧县委机构编制委员会办公室本级小计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1.52</w:t>
            </w:r>
          </w:p>
        </w:tc>
        <w:tc>
          <w:tcPr>
            <w:tcW w:w="964" w:type="dxa"/>
            <w:vAlign w:val="center"/>
          </w:tcPr>
          <w:p>
            <w:pPr>
              <w:pStyle w:val="15"/>
            </w:pPr>
            <w:r>
              <w:t>1.52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0.28</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2</w:t>
            </w:r>
          </w:p>
        </w:tc>
        <w:tc>
          <w:tcPr>
            <w:tcW w:w="850" w:type="dxa"/>
            <w:vAlign w:val="center"/>
          </w:tcPr>
          <w:p>
            <w:pPr>
              <w:pStyle w:val="11"/>
            </w:pPr>
            <w:r>
              <w:t>0.09</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中共隆尧县委机构编制委员会办公室（含所属单位）上年末固定资产金额为15.13万元（详见下表）。本年度拟购置固定资产总额为</w:t>
      </w:r>
      <w:r>
        <w:rPr>
          <w:rFonts w:hint="eastAsia" w:eastAsia="方正仿宋_GBK"/>
          <w:color w:val="000000"/>
          <w:sz w:val="28"/>
          <w:lang w:val="en-US" w:eastAsia="zh-CN"/>
        </w:rPr>
        <w:t>1.52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225中共隆尧县委机构编制委员会办公室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92</w:t>
            </w:r>
          </w:p>
        </w:tc>
        <w:tc>
          <w:tcPr>
            <w:tcW w:w="2835" w:type="dxa"/>
            <w:vAlign w:val="center"/>
          </w:tcPr>
          <w:p>
            <w:pPr>
              <w:pStyle w:val="11"/>
            </w:pPr>
            <w:r>
              <w:t>15.13</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县级</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4"/>
      </w:pPr>
      <w:r>
        <w:rPr>
          <w:rFonts w:ascii="方正小标宋_GBK" w:hAnsi="方正小标宋_GBK" w:eastAsia="方正小标宋_GBK" w:cs="方正小标宋_GBK"/>
          <w:color w:val="000000"/>
          <w:sz w:val="44"/>
        </w:rPr>
        <w:t>中共隆尧县委机构编制委员会办公室本级2022年单位预算信息公开情况说明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按照《预算法》、《地方预决算公开操作规程》和《关于进一步推进预算公开工作的实施意见》规定，现将中共隆尧县委机构编制委员会办公室本级2022年单位预算公开如下：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部门职责</w:t>
      </w:r>
    </w:p>
    <w:p>
      <w:pPr>
        <w:pStyle w:val="29"/>
      </w:pPr>
      <w: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pStyle w:val="29"/>
      </w:pPr>
      <w:r>
        <w:t>（二）组织拟订全县行政管理体制改革和县委、县政府机构改革方案并组织实施。指导、协调乡镇行政管理体制和机构改革以及机构编制管理工作；负责行政执法体制改革工作。</w:t>
      </w:r>
    </w:p>
    <w:p>
      <w:pPr>
        <w:pStyle w:val="29"/>
      </w:pPr>
      <w:r>
        <w:t>（三）协调县委、县政府各部门的职能配置及其调整。协调县委、县政府各部门之间以及县直部门与各乡镇之间的职责分工。</w:t>
      </w:r>
    </w:p>
    <w:p>
      <w:pPr>
        <w:pStyle w:val="29"/>
      </w:pPr>
      <w: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pStyle w:val="29"/>
      </w:pPr>
      <w: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pStyle w:val="29"/>
      </w:pPr>
      <w:r>
        <w:t>（六）负责全县开发区（园区）行政管理体制改革工作，组织拟订开发区（园区）机构编制管理办法并组织实施，审核开发区（园区）职能配置、机构设置、人员编制和领导职数。</w:t>
      </w:r>
    </w:p>
    <w:p>
      <w:pPr>
        <w:pStyle w:val="29"/>
      </w:pPr>
      <w:r>
        <w:t>（七）负责对全县机构编制的总量控制和动态管理。会同有关部门负责机构编制实名制工作；负责全县机关事业单位编制使用核准；建立健全机构编制部门与有关部门间的协调配合约束机制。</w:t>
      </w:r>
    </w:p>
    <w:p>
      <w:pPr>
        <w:pStyle w:val="29"/>
      </w:pPr>
      <w:r>
        <w:t>（八）负责对全县行政、事业单位管理体制和机构改革及机构编制执行情况的跟踪评估和监督检查。负责受理违反机构编制法规、纪律的检举、控告和投诉，对违反机构编制法规、纪律问题进行调查处理。</w:t>
      </w:r>
    </w:p>
    <w:p>
      <w:pPr>
        <w:pStyle w:val="29"/>
      </w:pPr>
      <w: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pStyle w:val="29"/>
      </w:pPr>
      <w:r>
        <w:t>（十）组织开展行政体制改革及机构编制管理创新基础性和前瞻性研究。</w:t>
      </w:r>
    </w:p>
    <w:p>
      <w:pPr>
        <w:pStyle w:val="29"/>
      </w:pPr>
      <w:r>
        <w:t>（十一）完成县委和县委机构编制委员会交办的其他任务。</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中共隆尧县委机构编制委员会办公室本级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p>
    <w:p>
      <w:pPr>
        <w:pStyle w:val="30"/>
      </w:pPr>
      <w:r>
        <w:t>单位预算安排的总体情况</w:t>
      </w:r>
    </w:p>
    <w:p>
      <w:pPr>
        <w:pStyle w:val="30"/>
      </w:pPr>
      <w:r>
        <w:t>1、收入说明</w:t>
      </w:r>
    </w:p>
    <w:p>
      <w:pPr>
        <w:pStyle w:val="30"/>
      </w:pPr>
      <w:r>
        <w:t>反映本部门当年全部收入。2022年预算收入131.9万元，其中：一般公共预算收入131.9万元，基金预算收入0万元，财政专户核拨收入0万元，其他来源收入0万元。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中共隆尧县委机构编制委员会办公室年度部门预算中支出预算的总体情况。2022年部门支出预算为131.9万元，其中基本支出110.28万元，包括人员经费98万元和日常公用经费12.28万元；项目支出21.62万元，主要为机构编制管理经费15.88万元，中文域名维护费5.74万元。</w:t>
      </w:r>
    </w:p>
    <w:p>
      <w:pPr>
        <w:spacing w:before="10" w:after="10"/>
        <w:ind w:firstLine="640"/>
        <w:outlineLvl w:val="5"/>
      </w:pPr>
      <w:r>
        <w:rPr>
          <w:rFonts w:ascii="黑体" w:hAnsi="黑体" w:eastAsia="黑体" w:cs="黑体"/>
          <w:color w:val="000000"/>
          <w:sz w:val="32"/>
        </w:rPr>
        <w:t>三、机关运行经费安排情况</w:t>
      </w:r>
    </w:p>
    <w:p>
      <w:pPr>
        <w:pStyle w:val="31"/>
      </w:pPr>
      <w:r>
        <w:t>机关运行经费安排情况</w:t>
      </w:r>
    </w:p>
    <w:p>
      <w:pPr>
        <w:pStyle w:val="31"/>
      </w:pPr>
      <w:r>
        <w:t>2022年，我部门机关运行经费共计安排12.28万元，主要用于保证机关正常运转的办公及印刷费、工会经费、福利费、党组织活动经费等支出。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财政拨款“三公”经费预算情况及增减变化原因</w:t>
      </w:r>
    </w:p>
    <w:p>
      <w:pPr>
        <w:pStyle w:val="32"/>
      </w:pPr>
      <w:r>
        <w:t>2022年，我</w:t>
      </w:r>
      <w:r>
        <w:rPr>
          <w:rFonts w:hint="eastAsia"/>
          <w:lang w:val="en-US" w:eastAsia="zh-CN"/>
        </w:rPr>
        <w:t>部门</w:t>
      </w:r>
      <w:r>
        <w:t>财政拨款“三公”经费预算安排0.76万元，其中：因公出国（境）费0万元；公务用车购置及运维费0万元</w:t>
      </w:r>
      <w:r>
        <w:rPr>
          <w:rFonts w:hint="eastAsia"/>
          <w:lang w:eastAsia="zh-CN"/>
        </w:rPr>
        <w:t>（</w:t>
      </w:r>
      <w:r>
        <w:rPr>
          <w:rFonts w:hint="eastAsia"/>
          <w:lang w:val="en-US" w:eastAsia="zh-CN"/>
        </w:rPr>
        <w:t>其中</w:t>
      </w:r>
      <w:r>
        <w:t>因公出国（境）费0万元；公务用车购置0万元</w:t>
      </w:r>
      <w:r>
        <w:rPr>
          <w:rFonts w:hint="eastAsia"/>
          <w:lang w:eastAsia="zh-CN"/>
        </w:rPr>
        <w:t>，</w:t>
      </w:r>
      <w:r>
        <w:rPr>
          <w:rFonts w:hint="eastAsia"/>
          <w:lang w:val="en-US" w:eastAsia="zh-CN"/>
        </w:rPr>
        <w:t>公务用车</w:t>
      </w:r>
      <w:r>
        <w:t>运维费0万元</w:t>
      </w:r>
      <w:r>
        <w:rPr>
          <w:rFonts w:hint="eastAsia"/>
          <w:lang w:eastAsia="zh-CN"/>
        </w:rPr>
        <w:t>）</w:t>
      </w:r>
      <w:r>
        <w:t>；公务接待费0.76万元。</w:t>
      </w:r>
      <w:r>
        <w:rPr>
          <w:rFonts w:hint="eastAsia"/>
          <w:lang w:val="en-US" w:eastAsia="zh-CN"/>
        </w:rPr>
        <w:t>与2021年相比无变化。</w:t>
      </w: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1、机构编制管理经费绩效目标表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1.目标内容1审核管理全县各类人员编制总额，开展机构编制实名制管理和编制使用核准。</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覆盖率</w:t>
            </w:r>
          </w:p>
        </w:tc>
        <w:tc>
          <w:tcPr>
            <w:tcW w:w="2835" w:type="dxa"/>
            <w:vAlign w:val="center"/>
          </w:tcPr>
          <w:p>
            <w:pPr>
              <w:pStyle w:val="26"/>
            </w:pPr>
            <w:r>
              <w:t>审批目标，实名制</w:t>
            </w:r>
          </w:p>
        </w:tc>
        <w:tc>
          <w:tcPr>
            <w:tcW w:w="2551" w:type="dxa"/>
            <w:vAlign w:val="center"/>
          </w:tcPr>
          <w:p>
            <w:pPr>
              <w:pStyle w:val="26"/>
            </w:pPr>
            <w:r>
              <w:t>≥295</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其他各项综合实务工作完成率</w:t>
            </w:r>
          </w:p>
        </w:tc>
        <w:tc>
          <w:tcPr>
            <w:tcW w:w="2835" w:type="dxa"/>
            <w:vAlign w:val="center"/>
          </w:tcPr>
          <w:p>
            <w:pPr>
              <w:pStyle w:val="26"/>
            </w:pPr>
            <w:r>
              <w:t>在省市机构编制网信息采用率</w:t>
            </w:r>
          </w:p>
        </w:tc>
        <w:tc>
          <w:tcPr>
            <w:tcW w:w="2551" w:type="dxa"/>
            <w:vAlign w:val="center"/>
          </w:tcPr>
          <w:p>
            <w:pPr>
              <w:pStyle w:val="26"/>
            </w:pPr>
            <w:r>
              <w:t>≥50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工作任务完成及时率</w:t>
            </w:r>
          </w:p>
        </w:tc>
        <w:tc>
          <w:tcPr>
            <w:tcW w:w="2835" w:type="dxa"/>
            <w:vAlign w:val="center"/>
          </w:tcPr>
          <w:p>
            <w:pPr>
              <w:pStyle w:val="26"/>
            </w:pPr>
            <w:r>
              <w:t>预算执行率</w:t>
            </w:r>
          </w:p>
        </w:tc>
        <w:tc>
          <w:tcPr>
            <w:tcW w:w="2551" w:type="dxa"/>
            <w:vAlign w:val="center"/>
          </w:tcPr>
          <w:p>
            <w:pPr>
              <w:pStyle w:val="26"/>
            </w:pPr>
            <w:r>
              <w:t>100</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财政投入水平</w:t>
            </w:r>
          </w:p>
        </w:tc>
        <w:tc>
          <w:tcPr>
            <w:tcW w:w="2835" w:type="dxa"/>
            <w:vAlign w:val="center"/>
          </w:tcPr>
          <w:p>
            <w:pPr>
              <w:pStyle w:val="26"/>
            </w:pPr>
            <w:r>
              <w:t>财政投入水平</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全县机构编制实名制的使用量得到充分认可</w:t>
            </w:r>
          </w:p>
        </w:tc>
        <w:tc>
          <w:tcPr>
            <w:tcW w:w="2835" w:type="dxa"/>
            <w:vAlign w:val="center"/>
          </w:tcPr>
          <w:p>
            <w:pPr>
              <w:pStyle w:val="26"/>
            </w:pPr>
            <w:r>
              <w:t>全县机构编制实名制的使用量得到充分认可</w:t>
            </w:r>
          </w:p>
        </w:tc>
        <w:tc>
          <w:tcPr>
            <w:tcW w:w="2551" w:type="dxa"/>
            <w:vAlign w:val="center"/>
          </w:tcPr>
          <w:p>
            <w:pPr>
              <w:pStyle w:val="26"/>
            </w:pPr>
            <w:r>
              <w:t>≥95</w:t>
            </w:r>
          </w:p>
        </w:tc>
        <w:tc>
          <w:tcPr>
            <w:tcW w:w="2268" w:type="dxa"/>
            <w:vAlign w:val="center"/>
          </w:tcPr>
          <w:p>
            <w:pPr>
              <w:pStyle w:val="2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机构编制管理群众满意度</w:t>
            </w:r>
          </w:p>
        </w:tc>
        <w:tc>
          <w:tcPr>
            <w:tcW w:w="2551" w:type="dxa"/>
            <w:vAlign w:val="center"/>
          </w:tcPr>
          <w:p>
            <w:pPr>
              <w:pStyle w:val="26"/>
            </w:pPr>
            <w:r>
              <w:t>≥95</w:t>
            </w:r>
          </w:p>
        </w:tc>
        <w:tc>
          <w:tcPr>
            <w:tcW w:w="2268" w:type="dxa"/>
            <w:vAlign w:val="center"/>
          </w:tcPr>
          <w:p>
            <w:pPr>
              <w:pStyle w:val="26"/>
            </w:pPr>
            <w:r>
              <w:t>工作计划</w:t>
            </w:r>
          </w:p>
        </w:tc>
      </w:tr>
    </w:tbl>
    <w:p>
      <w:pPr>
        <w:pStyle w:val="24"/>
      </w:pPr>
    </w:p>
    <w:p>
      <w:pPr>
        <w:pStyle w:val="24"/>
        <w:ind w:firstLine="560"/>
      </w:pPr>
      <w:r>
        <w:rPr>
          <w:rFonts w:ascii="方正仿宋_GBK" w:hAnsi="方正仿宋_GBK" w:eastAsia="方正仿宋_GBK" w:cs="方正仿宋_GBK"/>
          <w:b/>
          <w:color w:val="000000"/>
          <w:sz w:val="28"/>
        </w:rPr>
        <w:t>2、中文域名维护费绩效目标表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1.目标内容1完成年度中文域名续费工作</w:t>
            </w:r>
          </w:p>
        </w:tc>
      </w:tr>
    </w:tbl>
    <w:p>
      <w:pPr>
        <w:pStyle w:val="24"/>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单位中文域名维护费</w:t>
            </w:r>
          </w:p>
        </w:tc>
        <w:tc>
          <w:tcPr>
            <w:tcW w:w="2835" w:type="dxa"/>
            <w:vAlign w:val="center"/>
          </w:tcPr>
          <w:p>
            <w:pPr>
              <w:pStyle w:val="26"/>
            </w:pPr>
            <w:r>
              <w:t>为党政机关和事业单位共计300个进行中文域名管理续费</w:t>
            </w:r>
          </w:p>
        </w:tc>
        <w:tc>
          <w:tcPr>
            <w:tcW w:w="2551" w:type="dxa"/>
            <w:vAlign w:val="center"/>
          </w:tcPr>
          <w:p>
            <w:pPr>
              <w:pStyle w:val="26"/>
            </w:pPr>
            <w:r>
              <w:t>300个</w:t>
            </w:r>
          </w:p>
        </w:tc>
        <w:tc>
          <w:tcPr>
            <w:tcW w:w="2268" w:type="dxa"/>
            <w:vAlign w:val="center"/>
          </w:tcPr>
          <w:p>
            <w:pPr>
              <w:pStyle w:val="26"/>
            </w:pPr>
            <w:r>
              <w:t>邢机编办【2016】30号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是否放置统一的网站标识</w:t>
            </w:r>
          </w:p>
        </w:tc>
        <w:tc>
          <w:tcPr>
            <w:tcW w:w="2835" w:type="dxa"/>
            <w:vAlign w:val="center"/>
          </w:tcPr>
          <w:p>
            <w:pPr>
              <w:pStyle w:val="26"/>
            </w:pPr>
            <w:r>
              <w:t>方便公众辨别网站真假</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域名注册指标完成的时间节点</w:t>
            </w:r>
          </w:p>
        </w:tc>
        <w:tc>
          <w:tcPr>
            <w:tcW w:w="2835" w:type="dxa"/>
            <w:vAlign w:val="center"/>
          </w:tcPr>
          <w:p>
            <w:pPr>
              <w:pStyle w:val="26"/>
            </w:pPr>
            <w:r>
              <w:t xml:space="preserve">预计2022年12月底前完成年度中文域名注册管理工作 </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财政投入</w:t>
            </w:r>
          </w:p>
        </w:tc>
        <w:tc>
          <w:tcPr>
            <w:tcW w:w="2835" w:type="dxa"/>
            <w:vAlign w:val="center"/>
          </w:tcPr>
          <w:p>
            <w:pPr>
              <w:pStyle w:val="26"/>
            </w:pPr>
            <w:r>
              <w:t>财政投入</w:t>
            </w:r>
          </w:p>
        </w:tc>
        <w:tc>
          <w:tcPr>
            <w:tcW w:w="2551" w:type="dxa"/>
            <w:vAlign w:val="center"/>
          </w:tcPr>
          <w:p>
            <w:pPr>
              <w:pStyle w:val="26"/>
            </w:pPr>
            <w:r>
              <w:t>100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规范网站域名和网站名称</w:t>
            </w:r>
          </w:p>
        </w:tc>
        <w:tc>
          <w:tcPr>
            <w:tcW w:w="2835" w:type="dxa"/>
            <w:vAlign w:val="center"/>
          </w:tcPr>
          <w:p>
            <w:pPr>
              <w:pStyle w:val="26"/>
            </w:pPr>
            <w:r>
              <w:t>保障公众对网站的知情权、参与权和监督权</w:t>
            </w:r>
          </w:p>
        </w:tc>
        <w:tc>
          <w:tcPr>
            <w:tcW w:w="2551" w:type="dxa"/>
            <w:vAlign w:val="center"/>
          </w:tcPr>
          <w:p>
            <w:pPr>
              <w:pStyle w:val="26"/>
            </w:pPr>
            <w:r>
              <w:t>≥90</w:t>
            </w:r>
          </w:p>
        </w:tc>
        <w:tc>
          <w:tcPr>
            <w:tcW w:w="2268" w:type="dxa"/>
            <w:vAlign w:val="center"/>
          </w:tcPr>
          <w:p>
            <w:pPr>
              <w:pStyle w:val="2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接受域名注册的机关事业单位所需提供服务的满意程度</w:t>
            </w:r>
          </w:p>
        </w:tc>
        <w:tc>
          <w:tcPr>
            <w:tcW w:w="2551" w:type="dxa"/>
            <w:vAlign w:val="center"/>
          </w:tcPr>
          <w:p>
            <w:pPr>
              <w:pStyle w:val="26"/>
            </w:pPr>
            <w:r>
              <w:t>≥95</w:t>
            </w:r>
          </w:p>
        </w:tc>
        <w:tc>
          <w:tcPr>
            <w:tcW w:w="2268" w:type="dxa"/>
            <w:vAlign w:val="center"/>
          </w:tcPr>
          <w:p>
            <w:pPr>
              <w:pStyle w:val="26"/>
            </w:pPr>
            <w:r>
              <w:t>文件要求</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2022年，中共隆尧县委机构编制委员会办公室本级安排政府采购预算1.52万元。具体内容见下表。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225001中共隆尧县委机构编制委员会办公室本级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1.52</w:t>
            </w:r>
          </w:p>
        </w:tc>
        <w:tc>
          <w:tcPr>
            <w:tcW w:w="964" w:type="dxa"/>
            <w:vAlign w:val="center"/>
          </w:tcPr>
          <w:p>
            <w:pPr>
              <w:pStyle w:val="15"/>
            </w:pPr>
            <w:r>
              <w:t>1.52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中共隆尧县委机构编制委员会办公室本级小计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1.52</w:t>
            </w:r>
          </w:p>
        </w:tc>
        <w:tc>
          <w:tcPr>
            <w:tcW w:w="964" w:type="dxa"/>
            <w:vAlign w:val="center"/>
          </w:tcPr>
          <w:p>
            <w:pPr>
              <w:pStyle w:val="15"/>
            </w:pPr>
            <w:r>
              <w:t>1.52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台式计算机</w:t>
            </w:r>
          </w:p>
        </w:tc>
        <w:tc>
          <w:tcPr>
            <w:tcW w:w="1134" w:type="dxa"/>
            <w:vAlign w:val="center"/>
          </w:tcPr>
          <w:p>
            <w:pPr>
              <w:pStyle w:val="12"/>
            </w:pPr>
            <w:r>
              <w:t>A02010104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空调机</w:t>
            </w:r>
          </w:p>
        </w:tc>
        <w:tc>
          <w:tcPr>
            <w:tcW w:w="1134" w:type="dxa"/>
            <w:vAlign w:val="center"/>
          </w:tcPr>
          <w:p>
            <w:pPr>
              <w:pStyle w:val="12"/>
            </w:pPr>
            <w:r>
              <w:t>A0206180203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0.28</w:t>
            </w:r>
          </w:p>
        </w:tc>
        <w:tc>
          <w:tcPr>
            <w:tcW w:w="964" w:type="dxa"/>
            <w:vAlign w:val="center"/>
          </w:tcPr>
          <w:p>
            <w:pPr>
              <w:pStyle w:val="11"/>
            </w:pPr>
            <w:r>
              <w:t>0.55</w:t>
            </w:r>
          </w:p>
        </w:tc>
        <w:tc>
          <w:tcPr>
            <w:tcW w:w="964" w:type="dxa"/>
            <w:vAlign w:val="center"/>
          </w:tcPr>
          <w:p>
            <w:pPr>
              <w:pStyle w:val="11"/>
            </w:pPr>
            <w:r>
              <w:t>0.55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机构编制管理经费</w:t>
            </w:r>
          </w:p>
        </w:tc>
        <w:tc>
          <w:tcPr>
            <w:tcW w:w="964" w:type="dxa"/>
            <w:vAlign w:val="center"/>
          </w:tcPr>
          <w:p>
            <w:pPr>
              <w:pStyle w:val="11"/>
            </w:pPr>
            <w:r>
              <w:t>15.88</w:t>
            </w:r>
          </w:p>
        </w:tc>
        <w:tc>
          <w:tcPr>
            <w:tcW w:w="1134" w:type="dxa"/>
            <w:vAlign w:val="center"/>
          </w:tcPr>
          <w:p>
            <w:pPr>
              <w:pStyle w:val="12"/>
            </w:pPr>
            <w:r>
              <w:t>金属质柜类</w:t>
            </w:r>
          </w:p>
        </w:tc>
        <w:tc>
          <w:tcPr>
            <w:tcW w:w="1134" w:type="dxa"/>
            <w:vAlign w:val="center"/>
          </w:tcPr>
          <w:p>
            <w:pPr>
              <w:pStyle w:val="12"/>
            </w:pPr>
            <w:r>
              <w:t>A060503</w:t>
            </w:r>
          </w:p>
        </w:tc>
        <w:tc>
          <w:tcPr>
            <w:tcW w:w="709" w:type="dxa"/>
            <w:vAlign w:val="center"/>
          </w:tcPr>
          <w:p>
            <w:pPr>
              <w:pStyle w:val="13"/>
            </w:pPr>
            <w:r>
              <w:t>组</w:t>
            </w:r>
          </w:p>
        </w:tc>
        <w:tc>
          <w:tcPr>
            <w:tcW w:w="850" w:type="dxa"/>
            <w:vAlign w:val="center"/>
          </w:tcPr>
          <w:p>
            <w:pPr>
              <w:pStyle w:val="11"/>
            </w:pPr>
            <w:r>
              <w:t>2</w:t>
            </w:r>
          </w:p>
        </w:tc>
        <w:tc>
          <w:tcPr>
            <w:tcW w:w="850" w:type="dxa"/>
            <w:vAlign w:val="center"/>
          </w:tcPr>
          <w:p>
            <w:pPr>
              <w:pStyle w:val="11"/>
            </w:pPr>
            <w:r>
              <w:t>0.09</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中共隆尧县委机构编制委员会办公室本级上年末固定资产金额为15.13万元（详见下表）。本年度拟购置固定资产总额为</w:t>
      </w:r>
      <w:r>
        <w:rPr>
          <w:rFonts w:hint="eastAsia" w:eastAsia="方正仿宋_GBK"/>
          <w:color w:val="000000"/>
          <w:sz w:val="28"/>
          <w:lang w:val="en-US" w:eastAsia="zh-CN"/>
        </w:rPr>
        <w:t>1.52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225001中共隆尧县委机构编制委员会办公室本级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92</w:t>
            </w:r>
          </w:p>
        </w:tc>
        <w:tc>
          <w:tcPr>
            <w:tcW w:w="2835" w:type="dxa"/>
            <w:vAlign w:val="center"/>
          </w:tcPr>
          <w:p>
            <w:pPr>
              <w:pStyle w:val="11"/>
            </w:pPr>
            <w:r>
              <w:t>15.13</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437D7"/>
    <w:rsid w:val="00034560"/>
    <w:rsid w:val="00096BFF"/>
    <w:rsid w:val="001620DD"/>
    <w:rsid w:val="00340475"/>
    <w:rsid w:val="003437D7"/>
    <w:rsid w:val="003E70BE"/>
    <w:rsid w:val="0043623F"/>
    <w:rsid w:val="008B057A"/>
    <w:rsid w:val="00985829"/>
    <w:rsid w:val="00F60E2A"/>
    <w:rsid w:val="02AB4D69"/>
    <w:rsid w:val="04170ACB"/>
    <w:rsid w:val="06B96059"/>
    <w:rsid w:val="06DF52FC"/>
    <w:rsid w:val="097E1930"/>
    <w:rsid w:val="0F7D245E"/>
    <w:rsid w:val="10B768A8"/>
    <w:rsid w:val="12D77CF6"/>
    <w:rsid w:val="13D24B67"/>
    <w:rsid w:val="168C2570"/>
    <w:rsid w:val="22295AD0"/>
    <w:rsid w:val="259F37FE"/>
    <w:rsid w:val="267A75C2"/>
    <w:rsid w:val="286C4EDF"/>
    <w:rsid w:val="28971857"/>
    <w:rsid w:val="29470726"/>
    <w:rsid w:val="29967B8F"/>
    <w:rsid w:val="2B371E4E"/>
    <w:rsid w:val="306D0DF1"/>
    <w:rsid w:val="35283A85"/>
    <w:rsid w:val="3965282E"/>
    <w:rsid w:val="39915555"/>
    <w:rsid w:val="3D9108A1"/>
    <w:rsid w:val="484E1E06"/>
    <w:rsid w:val="48937053"/>
    <w:rsid w:val="49F42668"/>
    <w:rsid w:val="50DB1268"/>
    <w:rsid w:val="541D75C7"/>
    <w:rsid w:val="54986F43"/>
    <w:rsid w:val="5701238D"/>
    <w:rsid w:val="57C86333"/>
    <w:rsid w:val="58602C77"/>
    <w:rsid w:val="58D26512"/>
    <w:rsid w:val="5A493805"/>
    <w:rsid w:val="5E092585"/>
    <w:rsid w:val="5EE43F98"/>
    <w:rsid w:val="5F915BFB"/>
    <w:rsid w:val="611334CC"/>
    <w:rsid w:val="6CB26900"/>
    <w:rsid w:val="6D364C41"/>
    <w:rsid w:val="6DE6435A"/>
    <w:rsid w:val="6E087D91"/>
    <w:rsid w:val="7155405D"/>
    <w:rsid w:val="72576D95"/>
    <w:rsid w:val="75986957"/>
    <w:rsid w:val="7AE4149D"/>
    <w:rsid w:val="7BE8068C"/>
    <w:rsid w:val="7EB4296F"/>
    <w:rsid w:val="7F52248E"/>
    <w:rsid w:val="7F6241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b2a07aad-b17d-42d6-b22f-915b6cca1919"/>
    <w:qFormat/>
    <w:uiPriority w:val="0"/>
    <w:rPr>
      <w:rFonts w:ascii="Times New Roman" w:hAnsi="Times New Roman" w:eastAsia="Times New Roman" w:cs="Times New Roman"/>
      <w:sz w:val="24"/>
      <w:szCs w:val="24"/>
      <w:lang w:val="en-US" w:eastAsia="uk-UA" w:bidi="ar-SA"/>
    </w:rPr>
  </w:style>
  <w:style w:type="paragraph" w:customStyle="1" w:styleId="25">
    <w:name w:val="单元格样式1_ea9782de-6e84-4731-aa1e-8105f6698680"/>
    <w:basedOn w:val="1"/>
    <w:qFormat/>
    <w:uiPriority w:val="0"/>
    <w:pPr>
      <w:jc w:val="center"/>
    </w:pPr>
    <w:rPr>
      <w:rFonts w:ascii="方正书宋_GBK" w:hAnsi="方正书宋_GBK" w:eastAsia="方正书宋_GBK" w:cs="方正书宋_GBK"/>
      <w:b/>
      <w:sz w:val="21"/>
    </w:rPr>
  </w:style>
  <w:style w:type="paragraph" w:customStyle="1" w:styleId="26">
    <w:name w:val="单元格样式2_5df6195b-f1aa-4e90-821e-beb044eeaee5"/>
    <w:basedOn w:val="1"/>
    <w:qFormat/>
    <w:uiPriority w:val="0"/>
    <w:rPr>
      <w:rFonts w:ascii="方正书宋_GBK" w:hAnsi="方正书宋_GBK" w:eastAsia="方正书宋_GBK" w:cs="方正书宋_GBK"/>
      <w:sz w:val="21"/>
    </w:rPr>
  </w:style>
  <w:style w:type="paragraph" w:customStyle="1" w:styleId="27">
    <w:name w:val="单元格样式3_15b64192-9621-46f5-912b-c54c547ff0c7"/>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2022-02-15T14:22:51Z</dcterms:created>
  <dcterms:modified xsi:type="dcterms:W3CDTF">2022-02-15T06:22:51Z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2022-02-15T14:22:49Z</dcterms:created>
  <dcterms:modified xsi:type="dcterms:W3CDTF">2022-02-15T06:22:48Z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2022-02-15T14:22:52Z</dcterms:created>
  <dcterms:modified xsi:type="dcterms:W3CDTF">2022-02-15T06:22:52Z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2022-02-15T14:22:49Z</dcterms:created>
  <dcterms:modified xsi:type="dcterms:W3CDTF">2022-02-15T06:22:49Z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5C54F42-FF21-41AD-B525-C42DB143FC40}">
  <ds:schemaRefs/>
</ds:datastoreItem>
</file>

<file path=customXml/itemProps2.xml><?xml version="1.0" encoding="utf-8"?>
<ds:datastoreItem xmlns:ds="http://schemas.openxmlformats.org/officeDocument/2006/customXml" ds:itemID="{064A324A-A91E-4D3B-A437-731514246237}">
  <ds:schemaRefs/>
</ds:datastoreItem>
</file>

<file path=customXml/itemProps3.xml><?xml version="1.0" encoding="utf-8"?>
<ds:datastoreItem xmlns:ds="http://schemas.openxmlformats.org/officeDocument/2006/customXml" ds:itemID="{DD0326C3-BA22-471C-88C3-AA46944B01F1}">
  <ds:schemaRefs/>
</ds:datastoreItem>
</file>

<file path=customXml/itemProps4.xml><?xml version="1.0" encoding="utf-8"?>
<ds:datastoreItem xmlns:ds="http://schemas.openxmlformats.org/officeDocument/2006/customXml" ds:itemID="{31EC0E47-03FF-43FD-9506-8EE872E74CAC}">
  <ds:schemaRefs/>
</ds:datastoreItem>
</file>

<file path=customXml/itemProps5.xml><?xml version="1.0" encoding="utf-8"?>
<ds:datastoreItem xmlns:ds="http://schemas.openxmlformats.org/officeDocument/2006/customXml" ds:itemID="{5EAA5314-FB78-4480-BDA4-9F75F2B0F4EB}">
  <ds:schemaRefs/>
</ds:datastoreItem>
</file>

<file path=customXml/itemProps6.xml><?xml version="1.0" encoding="utf-8"?>
<ds:datastoreItem xmlns:ds="http://schemas.openxmlformats.org/officeDocument/2006/customXml" ds:itemID="{1A43B8ED-6508-4461-8486-9CFC798C70B1}">
  <ds:schemaRefs/>
</ds:datastoreItem>
</file>

<file path=customXml/itemProps7.xml><?xml version="1.0" encoding="utf-8"?>
<ds:datastoreItem xmlns:ds="http://schemas.openxmlformats.org/officeDocument/2006/customXml" ds:itemID="{74E1BB3E-C61E-4AF8-AE06-E7D9D5554368}">
  <ds:schemaRefs/>
</ds:datastoreItem>
</file>

<file path=customXml/itemProps8.xml><?xml version="1.0" encoding="utf-8"?>
<ds:datastoreItem xmlns:ds="http://schemas.openxmlformats.org/officeDocument/2006/customXml" ds:itemID="{7DE42A09-C23B-46B7-A162-7F294CBD238C}">
  <ds:schemaRefs/>
</ds:datastoreItem>
</file>

<file path=docProps/app.xml><?xml version="1.0" encoding="utf-8"?>
<Properties xmlns="http://schemas.openxmlformats.org/officeDocument/2006/extended-properties" xmlns:vt="http://schemas.openxmlformats.org/officeDocument/2006/docPropsVTypes">
  <Template>Normal</Template>
  <Company>microsoft user</Company>
  <Pages>46</Pages>
  <Words>3255</Words>
  <Characters>18557</Characters>
  <Lines>154</Lines>
  <Paragraphs>43</Paragraphs>
  <TotalTime>14</TotalTime>
  <ScaleCrop>false</ScaleCrop>
  <LinksUpToDate>false</LinksUpToDate>
  <CharactersWithSpaces>21769</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2022-02-15T14:22:00Z</dcterms:created>
  <dc:creator>lenovo</dc:creator>
  <cp:lastModifiedBy>Administrator</cp:lastModifiedBy>
  <dcterms:modified xsi:type="dcterms:W3CDTF">2023-09-05T02:19:22Z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EFEBAD78D2A6435C93DDD94C143825DF</vt:lpwstr>
  </property>
</Properties>
</file>