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方正小标宋_GBK" w:hAnsi="方正小标宋_GBK" w:eastAsia="方正小标宋_GBK" w:cs="方正小标宋_GBK"/>
          <w:color w:val="000000"/>
          <w:sz w:val="52"/>
          <w:szCs w:val="52"/>
          <w:lang w:eastAsia="zh-CN"/>
        </w:rPr>
      </w:pPr>
      <w:r>
        <w:rPr>
          <w:rFonts w:hint="eastAsia" w:ascii="黑体" w:hAnsi="黑体" w:eastAsia="黑体" w:cs="黑体"/>
          <w:b/>
          <w:color w:val="000000"/>
          <w:sz w:val="52"/>
          <w:szCs w:val="52"/>
          <w:lang w:eastAsia="zh-CN"/>
        </w:rPr>
        <w:t>隆尧县人民政府办公室</w:t>
      </w:r>
      <w:r>
        <w:rPr>
          <w:rFonts w:ascii="黑体" w:hAnsi="黑体" w:eastAsia="黑体" w:cs="黑体"/>
          <w:b/>
          <w:color w:val="000000"/>
          <w:sz w:val="52"/>
          <w:szCs w:val="52"/>
        </w:rPr>
        <w:t>202</w:t>
      </w:r>
      <w:r>
        <w:rPr>
          <w:rFonts w:hint="eastAsia" w:ascii="黑体" w:hAnsi="黑体" w:eastAsia="黑体" w:cs="黑体"/>
          <w:b/>
          <w:color w:val="000000"/>
          <w:sz w:val="52"/>
          <w:szCs w:val="52"/>
          <w:lang w:val="en-US" w:eastAsia="zh-CN"/>
        </w:rPr>
        <w:t>3</w:t>
      </w:r>
      <w:r>
        <w:rPr>
          <w:rFonts w:ascii="黑体" w:hAnsi="黑体" w:eastAsia="黑体" w:cs="黑体"/>
          <w:b/>
          <w:color w:val="000000"/>
          <w:sz w:val="52"/>
          <w:szCs w:val="52"/>
        </w:rPr>
        <w:t>年</w:t>
      </w:r>
      <w:r>
        <w:rPr>
          <w:rFonts w:hint="eastAsia" w:ascii="黑体" w:hAnsi="黑体" w:eastAsia="黑体" w:cs="黑体"/>
          <w:b/>
          <w:color w:val="000000"/>
          <w:sz w:val="52"/>
          <w:szCs w:val="52"/>
          <w:lang w:eastAsia="zh-CN"/>
        </w:rPr>
        <w:t>单位</w:t>
      </w:r>
      <w:r>
        <w:rPr>
          <w:rFonts w:ascii="黑体" w:hAnsi="黑体" w:eastAsia="黑体" w:cs="黑体"/>
          <w:b/>
          <w:color w:val="000000"/>
          <w:sz w:val="52"/>
          <w:szCs w:val="52"/>
        </w:rPr>
        <w:t>预算信息公开</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1"/>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rPr>
          <w:rFonts w:hint="eastAsia"/>
          <w:lang w:eastAsia="zh-CN"/>
        </w:rPr>
        <w:t>单位</w:t>
      </w:r>
      <w:r>
        <w:t>预算收支总表</w:t>
      </w:r>
      <w:r>
        <w:tab/>
      </w:r>
      <w:r>
        <w:rPr>
          <w:rFonts w:hint="eastAsia"/>
          <w:lang w:val="en-US" w:eastAsia="zh-CN"/>
        </w:rPr>
        <w:t>4</w:t>
      </w:r>
      <w:r>
        <w:fldChar w:fldCharType="end"/>
      </w:r>
    </w:p>
    <w:p>
      <w:pPr>
        <w:pStyle w:val="31"/>
        <w:tabs>
          <w:tab w:val="right" w:leader="dot" w:pos="14562"/>
        </w:tabs>
      </w:pPr>
      <w:r>
        <w:fldChar w:fldCharType="begin"/>
      </w:r>
      <w:r>
        <w:instrText xml:space="preserve">HYPERLINK  \l "_Toc_2_2_0000000002" </w:instrText>
      </w:r>
      <w:r>
        <w:fldChar w:fldCharType="separate"/>
      </w:r>
      <w:r>
        <w:rPr>
          <w:rFonts w:hint="eastAsia"/>
          <w:lang w:eastAsia="zh-CN"/>
        </w:rPr>
        <w:t>单位</w:t>
      </w:r>
      <w:r>
        <w:t>预算收入总表</w:t>
      </w:r>
      <w:r>
        <w:tab/>
      </w:r>
      <w:r>
        <w:rPr>
          <w:rFonts w:hint="eastAsia"/>
          <w:lang w:val="en-US" w:eastAsia="zh-CN"/>
        </w:rPr>
        <w:t>7</w:t>
      </w:r>
      <w:r>
        <w:fldChar w:fldCharType="end"/>
      </w:r>
    </w:p>
    <w:p>
      <w:pPr>
        <w:pStyle w:val="31"/>
        <w:tabs>
          <w:tab w:val="right" w:leader="dot" w:pos="14562"/>
        </w:tabs>
        <w:rPr>
          <w:rFonts w:hint="eastAsia" w:eastAsia="方正仿宋_GBK"/>
          <w:lang w:val="en-US" w:eastAsia="zh-CN"/>
        </w:rPr>
      </w:pPr>
      <w:r>
        <w:fldChar w:fldCharType="begin"/>
      </w:r>
      <w:r>
        <w:instrText xml:space="preserve">HYPERLINK  \l "_Toc_2_2_0000000003" </w:instrText>
      </w:r>
      <w:r>
        <w:fldChar w:fldCharType="separate"/>
      </w:r>
      <w:r>
        <w:rPr>
          <w:rFonts w:hint="eastAsia"/>
          <w:lang w:eastAsia="zh-CN"/>
        </w:rPr>
        <w:t>单位</w:t>
      </w:r>
      <w:r>
        <w:t>预算支出总表</w:t>
      </w:r>
      <w:r>
        <w:tab/>
      </w:r>
      <w:r>
        <w:rPr>
          <w:rFonts w:hint="eastAsia"/>
          <w:lang w:val="en-US" w:eastAsia="zh-CN"/>
        </w:rPr>
        <w:t>1</w:t>
      </w:r>
      <w:r>
        <w:fldChar w:fldCharType="end"/>
      </w:r>
      <w:r>
        <w:rPr>
          <w:rFonts w:hint="eastAsia"/>
          <w:lang w:val="en-US" w:eastAsia="zh-CN"/>
        </w:rPr>
        <w:t>1</w:t>
      </w:r>
    </w:p>
    <w:p>
      <w:pPr>
        <w:pStyle w:val="31"/>
        <w:tabs>
          <w:tab w:val="right" w:leader="dot" w:pos="14562"/>
        </w:tabs>
        <w:rPr>
          <w:rFonts w:hint="eastAsia" w:eastAsia="方正仿宋_GBK"/>
          <w:lang w:val="en-US" w:eastAsia="zh-CN"/>
        </w:rPr>
      </w:pPr>
      <w:r>
        <w:fldChar w:fldCharType="begin"/>
      </w:r>
      <w:r>
        <w:instrText xml:space="preserve">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3</w:t>
      </w:r>
    </w:p>
    <w:p>
      <w:pPr>
        <w:pStyle w:val="31"/>
        <w:tabs>
          <w:tab w:val="right" w:leader="dot" w:pos="14562"/>
        </w:tabs>
        <w:rPr>
          <w:rFonts w:hint="eastAsia" w:eastAsia="方正仿宋_GBK"/>
          <w:lang w:val="en-US" w:eastAsia="zh-CN"/>
        </w:rPr>
      </w:pPr>
      <w:r>
        <w:fldChar w:fldCharType="begin"/>
      </w:r>
      <w:r>
        <w:instrText xml:space="preserve">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2</w:t>
      </w:r>
      <w:r>
        <w:fldChar w:fldCharType="end"/>
      </w:r>
      <w:r>
        <w:rPr>
          <w:rFonts w:hint="eastAsia"/>
          <w:lang w:val="en-US" w:eastAsia="zh-CN"/>
        </w:rPr>
        <w:t>0</w:t>
      </w:r>
    </w:p>
    <w:p>
      <w:pPr>
        <w:pStyle w:val="31"/>
        <w:tabs>
          <w:tab w:val="right" w:leader="dot" w:pos="14562"/>
        </w:tabs>
        <w:rPr>
          <w:rFonts w:hint="eastAsia" w:eastAsia="方正仿宋_GBK"/>
          <w:lang w:val="en-US" w:eastAsia="zh-CN"/>
        </w:rPr>
      </w:pPr>
      <w:r>
        <w:fldChar w:fldCharType="begin"/>
      </w:r>
      <w:r>
        <w:instrText xml:space="preserve">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2</w:t>
      </w:r>
      <w:r>
        <w:fldChar w:fldCharType="end"/>
      </w:r>
      <w:r>
        <w:rPr>
          <w:rFonts w:hint="eastAsia"/>
          <w:lang w:val="en-US" w:eastAsia="zh-CN"/>
        </w:rPr>
        <w:t>2</w:t>
      </w:r>
    </w:p>
    <w:p>
      <w:pPr>
        <w:pStyle w:val="31"/>
        <w:tabs>
          <w:tab w:val="right" w:leader="dot" w:pos="14562"/>
        </w:tabs>
        <w:rPr>
          <w:rFonts w:hint="eastAsia" w:eastAsia="方正仿宋_GBK"/>
          <w:lang w:val="en-US" w:eastAsia="zh-CN"/>
        </w:rPr>
      </w:pPr>
      <w:r>
        <w:fldChar w:fldCharType="begin"/>
      </w:r>
      <w:r>
        <w:instrText xml:space="preserve">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2</w:t>
      </w:r>
      <w:r>
        <w:fldChar w:fldCharType="end"/>
      </w:r>
      <w:r>
        <w:rPr>
          <w:rFonts w:hint="eastAsia"/>
          <w:lang w:val="en-US" w:eastAsia="zh-CN"/>
        </w:rPr>
        <w:t>4</w:t>
      </w:r>
    </w:p>
    <w:p>
      <w:pPr>
        <w:pStyle w:val="31"/>
        <w:tabs>
          <w:tab w:val="right" w:leader="dot" w:pos="14562"/>
        </w:tabs>
        <w:rPr>
          <w:rFonts w:hint="eastAsia" w:eastAsia="方正仿宋_GBK"/>
          <w:lang w:val="en-US" w:eastAsia="zh-CN"/>
        </w:rPr>
      </w:pPr>
      <w:r>
        <w:fldChar w:fldCharType="begin"/>
      </w:r>
      <w:r>
        <w:instrText xml:space="preserve">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2</w:t>
      </w:r>
      <w:r>
        <w:fldChar w:fldCharType="end"/>
      </w:r>
      <w:r>
        <w:fldChar w:fldCharType="end"/>
      </w:r>
      <w:r>
        <w:rPr>
          <w:rFonts w:hint="eastAsia"/>
          <w:lang w:val="en-US" w:eastAsia="zh-CN"/>
        </w:rPr>
        <w:t>5</w:t>
      </w:r>
    </w:p>
    <w:p>
      <w:pPr>
        <w:pStyle w:val="31"/>
        <w:tabs>
          <w:tab w:val="right" w:leader="dot" w:pos="14562"/>
        </w:tabs>
        <w:rPr>
          <w:rFonts w:hint="default" w:eastAsia="方正仿宋_GBK"/>
          <w:lang w:val="en-US" w:eastAsia="zh-CN"/>
        </w:rPr>
      </w:pPr>
      <w:r>
        <w:fldChar w:fldCharType="begin"/>
      </w:r>
      <w:r>
        <w:instrText xml:space="preserve">HYPERLINK  \l "_Toc_2_2_0000000009" </w:instrText>
      </w:r>
      <w:r>
        <w:fldChar w:fldCharType="separate"/>
      </w:r>
      <w:r>
        <w:rPr>
          <w:rFonts w:hint="eastAsia"/>
          <w:lang w:eastAsia="zh-CN"/>
        </w:rPr>
        <w:t>单位</w:t>
      </w:r>
      <w:r>
        <w:t>预算财政拨款“三公”经费支出表</w:t>
      </w:r>
      <w:r>
        <w:tab/>
      </w:r>
      <w:r>
        <w:fldChar w:fldCharType="end"/>
      </w:r>
      <w:r>
        <w:rPr>
          <w:rFonts w:hint="eastAsia"/>
          <w:lang w:val="en-US" w:eastAsia="zh-CN"/>
        </w:rPr>
        <w:t>26</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1"/>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9</w:t>
      </w:r>
    </w:p>
    <w:p>
      <w:pPr>
        <w:pStyle w:val="31"/>
        <w:tabs>
          <w:tab w:val="right" w:leader="dot" w:pos="14562"/>
        </w:tabs>
        <w:rPr>
          <w:rFonts w:hint="eastAsia" w:eastAsia="方正仿宋_GBK"/>
          <w:lang w:val="en-US" w:eastAsia="zh-CN"/>
        </w:rPr>
      </w:pPr>
      <w:r>
        <w:fldChar w:fldCharType="begin"/>
      </w:r>
      <w:r>
        <w:instrText xml:space="preserve">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3</w:t>
      </w:r>
      <w:r>
        <w:fldChar w:fldCharType="end"/>
      </w:r>
      <w:r>
        <w:rPr>
          <w:rFonts w:hint="eastAsia"/>
          <w:lang w:val="en-US" w:eastAsia="zh-CN"/>
        </w:rPr>
        <w:t>0</w:t>
      </w:r>
    </w:p>
    <w:p>
      <w:pPr>
        <w:pStyle w:val="31"/>
        <w:tabs>
          <w:tab w:val="right" w:leader="dot" w:pos="14562"/>
        </w:tabs>
        <w:rPr>
          <w:rFonts w:hint="eastAsia" w:eastAsia="方正仿宋_GBK"/>
          <w:lang w:val="en-US" w:eastAsia="zh-CN"/>
        </w:rPr>
      </w:pPr>
      <w:r>
        <w:fldChar w:fldCharType="begin"/>
      </w:r>
      <w:r>
        <w:instrText xml:space="preserve">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1</w:t>
      </w:r>
    </w:p>
    <w:p>
      <w:pPr>
        <w:pStyle w:val="31"/>
        <w:tabs>
          <w:tab w:val="right" w:leader="dot" w:pos="14562"/>
        </w:tabs>
        <w:rPr>
          <w:rFonts w:hint="eastAsia" w:eastAsia="方正仿宋_GBK"/>
          <w:lang w:val="en-US" w:eastAsia="zh-CN"/>
        </w:rPr>
      </w:pPr>
      <w:r>
        <w:fldChar w:fldCharType="begin"/>
      </w:r>
      <w:r>
        <w:instrText xml:space="preserve">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1</w:t>
      </w:r>
    </w:p>
    <w:p>
      <w:pPr>
        <w:pStyle w:val="31"/>
        <w:tabs>
          <w:tab w:val="right" w:leader="dot" w:pos="14562"/>
        </w:tabs>
        <w:rPr>
          <w:rFonts w:hint="eastAsia" w:eastAsia="方正仿宋_GBK"/>
          <w:lang w:val="en-US" w:eastAsia="zh-CN"/>
        </w:rPr>
      </w:pPr>
      <w:r>
        <w:fldChar w:fldCharType="begin"/>
      </w:r>
      <w:r>
        <w:instrText xml:space="preserve">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1</w:t>
      </w:r>
    </w:p>
    <w:p>
      <w:pPr>
        <w:pStyle w:val="31"/>
        <w:tabs>
          <w:tab w:val="right" w:leader="dot" w:pos="14562"/>
        </w:tabs>
        <w:rPr>
          <w:rFonts w:hint="eastAsia" w:eastAsia="方正仿宋_GBK"/>
          <w:lang w:val="en-US" w:eastAsia="zh-CN"/>
        </w:rPr>
      </w:pPr>
      <w:r>
        <w:fldChar w:fldCharType="begin"/>
      </w:r>
      <w:r>
        <w:instrText xml:space="preserve">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7</w:t>
      </w:r>
    </w:p>
    <w:p>
      <w:pPr>
        <w:pStyle w:val="31"/>
        <w:tabs>
          <w:tab w:val="right" w:leader="dot" w:pos="14562"/>
        </w:tabs>
        <w:rPr>
          <w:rFonts w:hint="eastAsia" w:eastAsia="方正仿宋_GBK"/>
          <w:lang w:val="en-US" w:eastAsia="zh-CN"/>
        </w:rPr>
      </w:pPr>
      <w:r>
        <w:fldChar w:fldCharType="begin"/>
      </w:r>
      <w:r>
        <w:instrText xml:space="preserve">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9</w:t>
      </w:r>
    </w:p>
    <w:p>
      <w:pPr>
        <w:pStyle w:val="31"/>
        <w:tabs>
          <w:tab w:val="right" w:leader="dot" w:pos="14562"/>
        </w:tabs>
        <w:rPr>
          <w:rFonts w:hint="eastAsia" w:eastAsia="方正仿宋_GBK"/>
          <w:lang w:val="en-US" w:eastAsia="zh-CN"/>
        </w:rPr>
      </w:pPr>
      <w:r>
        <w:fldChar w:fldCharType="begin"/>
      </w:r>
      <w:r>
        <w:instrText xml:space="preserve">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0</w:t>
      </w:r>
    </w:p>
    <w:p>
      <w:pPr>
        <w:pStyle w:val="31"/>
        <w:tabs>
          <w:tab w:val="right" w:leader="dot" w:pos="14562"/>
        </w:tabs>
        <w:rPr>
          <w:rFonts w:hint="eastAsia" w:eastAsia="方正仿宋_GBK"/>
          <w:lang w:val="en-US" w:eastAsia="zh-CN"/>
        </w:rPr>
      </w:pPr>
      <w:r>
        <w:fldChar w:fldCharType="begin"/>
      </w:r>
      <w:r>
        <w:instrText xml:space="preserve">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1</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一、隆尧县人民政府办公室本级收支预算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434001隆尧县人民政府办公室本级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1059.23</w:t>
            </w:r>
          </w:p>
        </w:tc>
        <w:tc>
          <w:tcPr>
            <w:tcW w:w="4535" w:type="dxa"/>
            <w:vAlign w:val="center"/>
          </w:tcPr>
          <w:p>
            <w:pPr>
              <w:pStyle w:val="14"/>
            </w:pPr>
            <w:r>
              <w:t>一、一般公共服务支出</w:t>
            </w:r>
          </w:p>
        </w:tc>
        <w:tc>
          <w:tcPr>
            <w:tcW w:w="2126" w:type="dxa"/>
            <w:vAlign w:val="center"/>
          </w:tcPr>
          <w:p>
            <w:pPr>
              <w:pStyle w:val="13"/>
            </w:pPr>
            <w:r>
              <w:t>923.35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1059.23</w:t>
            </w:r>
          </w:p>
        </w:tc>
        <w:tc>
          <w:tcPr>
            <w:tcW w:w="4535" w:type="dxa"/>
            <w:vAlign w:val="center"/>
          </w:tcPr>
          <w:p>
            <w:pPr>
              <w:pStyle w:val="16"/>
            </w:pPr>
            <w:r>
              <w:t>本年支出合计</w:t>
            </w:r>
          </w:p>
        </w:tc>
        <w:tc>
          <w:tcPr>
            <w:tcW w:w="2126" w:type="dxa"/>
            <w:vAlign w:val="center"/>
          </w:tcPr>
          <w:p>
            <w:pPr>
              <w:pStyle w:val="17"/>
            </w:pPr>
            <w:r>
              <w:t>1059.23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1059.23</w:t>
            </w:r>
          </w:p>
        </w:tc>
        <w:tc>
          <w:tcPr>
            <w:tcW w:w="4535" w:type="dxa"/>
            <w:vAlign w:val="center"/>
          </w:tcPr>
          <w:p>
            <w:pPr>
              <w:pStyle w:val="16"/>
            </w:pPr>
            <w:r>
              <w:t>支出总计</w:t>
            </w:r>
          </w:p>
        </w:tc>
        <w:tc>
          <w:tcPr>
            <w:tcW w:w="2126" w:type="dxa"/>
            <w:vAlign w:val="center"/>
          </w:tcPr>
          <w:p>
            <w:pPr>
              <w:pStyle w:val="17"/>
            </w:pPr>
            <w:r>
              <w:t>1059.23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434001隆尧县人民政府办公室本级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1059.23</w:t>
            </w:r>
          </w:p>
        </w:tc>
        <w:tc>
          <w:tcPr>
            <w:tcW w:w="1134" w:type="dxa"/>
            <w:vAlign w:val="center"/>
          </w:tcPr>
          <w:p>
            <w:pPr>
              <w:pStyle w:val="17"/>
            </w:pPr>
            <w:r>
              <w:t>1059.23</w:t>
            </w:r>
          </w:p>
        </w:tc>
        <w:tc>
          <w:tcPr>
            <w:tcW w:w="1134" w:type="dxa"/>
            <w:vAlign w:val="center"/>
          </w:tcPr>
          <w:p>
            <w:pPr>
              <w:pStyle w:val="17"/>
            </w:pPr>
            <w:r>
              <w:t>1059.23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923.35</w:t>
            </w:r>
          </w:p>
        </w:tc>
        <w:tc>
          <w:tcPr>
            <w:tcW w:w="1134" w:type="dxa"/>
            <w:vAlign w:val="center"/>
          </w:tcPr>
          <w:p>
            <w:pPr>
              <w:pStyle w:val="13"/>
            </w:pPr>
            <w:r>
              <w:t>923.35</w:t>
            </w:r>
          </w:p>
        </w:tc>
        <w:tc>
          <w:tcPr>
            <w:tcW w:w="1134" w:type="dxa"/>
            <w:vAlign w:val="center"/>
          </w:tcPr>
          <w:p>
            <w:pPr>
              <w:pStyle w:val="13"/>
            </w:pPr>
            <w:r>
              <w:t>923.35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923.35</w:t>
            </w:r>
          </w:p>
        </w:tc>
        <w:tc>
          <w:tcPr>
            <w:tcW w:w="1134" w:type="dxa"/>
            <w:vAlign w:val="center"/>
          </w:tcPr>
          <w:p>
            <w:pPr>
              <w:pStyle w:val="13"/>
            </w:pPr>
            <w:r>
              <w:t>923.35</w:t>
            </w:r>
          </w:p>
        </w:tc>
        <w:tc>
          <w:tcPr>
            <w:tcW w:w="1134" w:type="dxa"/>
            <w:vAlign w:val="center"/>
          </w:tcPr>
          <w:p>
            <w:pPr>
              <w:pStyle w:val="13"/>
            </w:pPr>
            <w:r>
              <w:t>923.35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546.93</w:t>
            </w:r>
          </w:p>
        </w:tc>
        <w:tc>
          <w:tcPr>
            <w:tcW w:w="1134" w:type="dxa"/>
            <w:vAlign w:val="center"/>
          </w:tcPr>
          <w:p>
            <w:pPr>
              <w:pStyle w:val="13"/>
            </w:pPr>
            <w:r>
              <w:t>546.93</w:t>
            </w:r>
          </w:p>
        </w:tc>
        <w:tc>
          <w:tcPr>
            <w:tcW w:w="1134" w:type="dxa"/>
            <w:vAlign w:val="center"/>
          </w:tcPr>
          <w:p>
            <w:pPr>
              <w:pStyle w:val="13"/>
            </w:pPr>
            <w:r>
              <w:t>546.93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376.42</w:t>
            </w:r>
          </w:p>
        </w:tc>
        <w:tc>
          <w:tcPr>
            <w:tcW w:w="1134" w:type="dxa"/>
            <w:vAlign w:val="center"/>
          </w:tcPr>
          <w:p>
            <w:pPr>
              <w:pStyle w:val="13"/>
            </w:pPr>
            <w:r>
              <w:t>376.42</w:t>
            </w:r>
          </w:p>
        </w:tc>
        <w:tc>
          <w:tcPr>
            <w:tcW w:w="1134" w:type="dxa"/>
            <w:vAlign w:val="center"/>
          </w:tcPr>
          <w:p>
            <w:pPr>
              <w:pStyle w:val="13"/>
            </w:pPr>
            <w:r>
              <w:t>376.42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434001隆尧县人民政府办公室本级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1059.23</w:t>
            </w:r>
          </w:p>
        </w:tc>
        <w:tc>
          <w:tcPr>
            <w:tcW w:w="1361" w:type="dxa"/>
            <w:vAlign w:val="center"/>
          </w:tcPr>
          <w:p>
            <w:pPr>
              <w:pStyle w:val="17"/>
            </w:pPr>
            <w:r>
              <w:t>680.41</w:t>
            </w:r>
          </w:p>
        </w:tc>
        <w:tc>
          <w:tcPr>
            <w:tcW w:w="1361" w:type="dxa"/>
            <w:vAlign w:val="center"/>
          </w:tcPr>
          <w:p>
            <w:pPr>
              <w:pStyle w:val="17"/>
            </w:pPr>
            <w:r>
              <w:t>378.82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923.35</w:t>
            </w:r>
          </w:p>
        </w:tc>
        <w:tc>
          <w:tcPr>
            <w:tcW w:w="1361" w:type="dxa"/>
            <w:vAlign w:val="center"/>
          </w:tcPr>
          <w:p>
            <w:pPr>
              <w:pStyle w:val="13"/>
            </w:pPr>
            <w:r>
              <w:t>544.53</w:t>
            </w:r>
          </w:p>
        </w:tc>
        <w:tc>
          <w:tcPr>
            <w:tcW w:w="1361" w:type="dxa"/>
            <w:vAlign w:val="center"/>
          </w:tcPr>
          <w:p>
            <w:pPr>
              <w:pStyle w:val="13"/>
            </w:pPr>
            <w:r>
              <w:t>378.82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923.35</w:t>
            </w:r>
          </w:p>
        </w:tc>
        <w:tc>
          <w:tcPr>
            <w:tcW w:w="1361" w:type="dxa"/>
            <w:vAlign w:val="center"/>
          </w:tcPr>
          <w:p>
            <w:pPr>
              <w:pStyle w:val="13"/>
            </w:pPr>
            <w:r>
              <w:t>544.53</w:t>
            </w:r>
          </w:p>
        </w:tc>
        <w:tc>
          <w:tcPr>
            <w:tcW w:w="1361" w:type="dxa"/>
            <w:vAlign w:val="center"/>
          </w:tcPr>
          <w:p>
            <w:pPr>
              <w:pStyle w:val="13"/>
            </w:pPr>
            <w:r>
              <w:t>378.82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546.93</w:t>
            </w:r>
          </w:p>
        </w:tc>
        <w:tc>
          <w:tcPr>
            <w:tcW w:w="1361" w:type="dxa"/>
            <w:vAlign w:val="center"/>
          </w:tcPr>
          <w:p>
            <w:pPr>
              <w:pStyle w:val="13"/>
            </w:pPr>
            <w:r>
              <w:t>544.53</w:t>
            </w:r>
          </w:p>
        </w:tc>
        <w:tc>
          <w:tcPr>
            <w:tcW w:w="1361" w:type="dxa"/>
            <w:vAlign w:val="center"/>
          </w:tcPr>
          <w:p>
            <w:pPr>
              <w:pStyle w:val="13"/>
            </w:pPr>
            <w:r>
              <w:t>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376.42</w:t>
            </w:r>
          </w:p>
        </w:tc>
        <w:tc>
          <w:tcPr>
            <w:tcW w:w="1361" w:type="dxa"/>
            <w:vAlign w:val="center"/>
          </w:tcPr>
          <w:p>
            <w:pPr>
              <w:pStyle w:val="13"/>
            </w:pPr>
          </w:p>
        </w:tc>
        <w:tc>
          <w:tcPr>
            <w:tcW w:w="1361" w:type="dxa"/>
            <w:vAlign w:val="center"/>
          </w:tcPr>
          <w:p>
            <w:pPr>
              <w:pStyle w:val="13"/>
            </w:pPr>
            <w:r>
              <w:t>376.42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58.10</w:t>
            </w:r>
          </w:p>
        </w:tc>
        <w:tc>
          <w:tcPr>
            <w:tcW w:w="1361" w:type="dxa"/>
            <w:vAlign w:val="center"/>
          </w:tcPr>
          <w:p>
            <w:pPr>
              <w:pStyle w:val="13"/>
            </w:pPr>
            <w:r>
              <w:t>58.10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58.10</w:t>
            </w:r>
          </w:p>
        </w:tc>
        <w:tc>
          <w:tcPr>
            <w:tcW w:w="1361" w:type="dxa"/>
            <w:vAlign w:val="center"/>
          </w:tcPr>
          <w:p>
            <w:pPr>
              <w:pStyle w:val="13"/>
            </w:pPr>
            <w:r>
              <w:t>58.10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58.10</w:t>
            </w:r>
          </w:p>
        </w:tc>
        <w:tc>
          <w:tcPr>
            <w:tcW w:w="1361" w:type="dxa"/>
            <w:vAlign w:val="center"/>
          </w:tcPr>
          <w:p>
            <w:pPr>
              <w:pStyle w:val="13"/>
            </w:pPr>
            <w:r>
              <w:t>58.10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28.56</w:t>
            </w:r>
          </w:p>
        </w:tc>
        <w:tc>
          <w:tcPr>
            <w:tcW w:w="1361" w:type="dxa"/>
            <w:vAlign w:val="center"/>
          </w:tcPr>
          <w:p>
            <w:pPr>
              <w:pStyle w:val="13"/>
            </w:pPr>
            <w:r>
              <w:t>28.56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28.56</w:t>
            </w:r>
          </w:p>
        </w:tc>
        <w:tc>
          <w:tcPr>
            <w:tcW w:w="1361" w:type="dxa"/>
            <w:vAlign w:val="center"/>
          </w:tcPr>
          <w:p>
            <w:pPr>
              <w:pStyle w:val="13"/>
            </w:pPr>
            <w:r>
              <w:t>28.56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28.56</w:t>
            </w:r>
          </w:p>
        </w:tc>
        <w:tc>
          <w:tcPr>
            <w:tcW w:w="1361" w:type="dxa"/>
            <w:vAlign w:val="center"/>
          </w:tcPr>
          <w:p>
            <w:pPr>
              <w:pStyle w:val="13"/>
            </w:pPr>
            <w:r>
              <w:t>28.56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49.22</w:t>
            </w:r>
          </w:p>
        </w:tc>
        <w:tc>
          <w:tcPr>
            <w:tcW w:w="1361" w:type="dxa"/>
            <w:vAlign w:val="center"/>
          </w:tcPr>
          <w:p>
            <w:pPr>
              <w:pStyle w:val="13"/>
            </w:pPr>
            <w:r>
              <w:t>49.22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49.22</w:t>
            </w:r>
          </w:p>
        </w:tc>
        <w:tc>
          <w:tcPr>
            <w:tcW w:w="1361" w:type="dxa"/>
            <w:vAlign w:val="center"/>
          </w:tcPr>
          <w:p>
            <w:pPr>
              <w:pStyle w:val="13"/>
            </w:pPr>
            <w:r>
              <w:t>49.22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49.22</w:t>
            </w:r>
          </w:p>
        </w:tc>
        <w:tc>
          <w:tcPr>
            <w:tcW w:w="1361" w:type="dxa"/>
            <w:vAlign w:val="center"/>
          </w:tcPr>
          <w:p>
            <w:pPr>
              <w:pStyle w:val="13"/>
            </w:pPr>
            <w:r>
              <w:t>49.22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434001隆尧县人民政府办公室本级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1059.23</w:t>
            </w:r>
          </w:p>
        </w:tc>
        <w:tc>
          <w:tcPr>
            <w:tcW w:w="3402" w:type="dxa"/>
            <w:vAlign w:val="center"/>
          </w:tcPr>
          <w:p>
            <w:pPr>
              <w:pStyle w:val="14"/>
            </w:pPr>
            <w:r>
              <w:t>一、一般公共服务支出</w:t>
            </w:r>
          </w:p>
        </w:tc>
        <w:tc>
          <w:tcPr>
            <w:tcW w:w="1474" w:type="dxa"/>
            <w:vAlign w:val="center"/>
          </w:tcPr>
          <w:p>
            <w:pPr>
              <w:pStyle w:val="13"/>
            </w:pPr>
            <w:r>
              <w:t>923.35</w:t>
            </w:r>
          </w:p>
        </w:tc>
        <w:tc>
          <w:tcPr>
            <w:tcW w:w="1474" w:type="dxa"/>
            <w:vAlign w:val="center"/>
          </w:tcPr>
          <w:p>
            <w:pPr>
              <w:pStyle w:val="13"/>
            </w:pPr>
            <w:r>
              <w:t>923.35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58.10</w:t>
            </w:r>
          </w:p>
        </w:tc>
        <w:tc>
          <w:tcPr>
            <w:tcW w:w="1474" w:type="dxa"/>
            <w:vAlign w:val="center"/>
          </w:tcPr>
          <w:p>
            <w:pPr>
              <w:pStyle w:val="13"/>
            </w:pPr>
            <w:r>
              <w:t>58.10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28.56</w:t>
            </w:r>
          </w:p>
        </w:tc>
        <w:tc>
          <w:tcPr>
            <w:tcW w:w="1474" w:type="dxa"/>
            <w:vAlign w:val="center"/>
          </w:tcPr>
          <w:p>
            <w:pPr>
              <w:pStyle w:val="13"/>
            </w:pPr>
            <w:r>
              <w:t>28.56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49.22</w:t>
            </w:r>
          </w:p>
        </w:tc>
        <w:tc>
          <w:tcPr>
            <w:tcW w:w="1474" w:type="dxa"/>
            <w:vAlign w:val="center"/>
          </w:tcPr>
          <w:p>
            <w:pPr>
              <w:pStyle w:val="13"/>
            </w:pPr>
            <w:r>
              <w:t>49.22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1059.23</w:t>
            </w:r>
          </w:p>
        </w:tc>
        <w:tc>
          <w:tcPr>
            <w:tcW w:w="3402" w:type="dxa"/>
            <w:vAlign w:val="center"/>
          </w:tcPr>
          <w:p>
            <w:pPr>
              <w:pStyle w:val="16"/>
            </w:pPr>
            <w:r>
              <w:t>本年支出合计</w:t>
            </w:r>
          </w:p>
        </w:tc>
        <w:tc>
          <w:tcPr>
            <w:tcW w:w="1474" w:type="dxa"/>
            <w:vAlign w:val="center"/>
          </w:tcPr>
          <w:p>
            <w:pPr>
              <w:pStyle w:val="17"/>
            </w:pPr>
            <w:r>
              <w:t>1059.23</w:t>
            </w:r>
          </w:p>
        </w:tc>
        <w:tc>
          <w:tcPr>
            <w:tcW w:w="1474" w:type="dxa"/>
            <w:vAlign w:val="center"/>
          </w:tcPr>
          <w:p>
            <w:pPr>
              <w:pStyle w:val="17"/>
            </w:pPr>
            <w:r>
              <w:t>1059.23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1059.23</w:t>
            </w:r>
          </w:p>
        </w:tc>
        <w:tc>
          <w:tcPr>
            <w:tcW w:w="3402" w:type="dxa"/>
            <w:vAlign w:val="center"/>
          </w:tcPr>
          <w:p>
            <w:pPr>
              <w:pStyle w:val="16"/>
            </w:pPr>
            <w:r>
              <w:t>支出总计</w:t>
            </w:r>
          </w:p>
        </w:tc>
        <w:tc>
          <w:tcPr>
            <w:tcW w:w="1474" w:type="dxa"/>
            <w:vAlign w:val="center"/>
          </w:tcPr>
          <w:p>
            <w:pPr>
              <w:pStyle w:val="17"/>
            </w:pPr>
            <w:r>
              <w:t>1059.23</w:t>
            </w:r>
          </w:p>
        </w:tc>
        <w:tc>
          <w:tcPr>
            <w:tcW w:w="1474" w:type="dxa"/>
            <w:vAlign w:val="center"/>
          </w:tcPr>
          <w:p>
            <w:pPr>
              <w:pStyle w:val="17"/>
            </w:pPr>
            <w:r>
              <w:t>1059.23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434001隆尧县人民政府办公室本级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1059.23</w:t>
            </w:r>
          </w:p>
        </w:tc>
        <w:tc>
          <w:tcPr>
            <w:tcW w:w="2551" w:type="dxa"/>
            <w:vAlign w:val="center"/>
          </w:tcPr>
          <w:p>
            <w:pPr>
              <w:pStyle w:val="17"/>
            </w:pPr>
            <w:r>
              <w:t>680.41</w:t>
            </w:r>
          </w:p>
        </w:tc>
        <w:tc>
          <w:tcPr>
            <w:tcW w:w="2551" w:type="dxa"/>
            <w:vAlign w:val="center"/>
          </w:tcPr>
          <w:p>
            <w:pPr>
              <w:pStyle w:val="17"/>
            </w:pPr>
            <w:r>
              <w:t>378.82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923.35</w:t>
            </w:r>
          </w:p>
        </w:tc>
        <w:tc>
          <w:tcPr>
            <w:tcW w:w="2551" w:type="dxa"/>
            <w:vAlign w:val="center"/>
          </w:tcPr>
          <w:p>
            <w:pPr>
              <w:pStyle w:val="13"/>
            </w:pPr>
            <w:r>
              <w:t>544.53</w:t>
            </w:r>
          </w:p>
        </w:tc>
        <w:tc>
          <w:tcPr>
            <w:tcW w:w="2551" w:type="dxa"/>
            <w:vAlign w:val="center"/>
          </w:tcPr>
          <w:p>
            <w:pPr>
              <w:pStyle w:val="13"/>
            </w:pPr>
            <w:r>
              <w:t>378.82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923.35</w:t>
            </w:r>
          </w:p>
        </w:tc>
        <w:tc>
          <w:tcPr>
            <w:tcW w:w="2551" w:type="dxa"/>
            <w:vAlign w:val="center"/>
          </w:tcPr>
          <w:p>
            <w:pPr>
              <w:pStyle w:val="13"/>
            </w:pPr>
            <w:r>
              <w:t>544.53</w:t>
            </w:r>
          </w:p>
        </w:tc>
        <w:tc>
          <w:tcPr>
            <w:tcW w:w="2551" w:type="dxa"/>
            <w:vAlign w:val="center"/>
          </w:tcPr>
          <w:p>
            <w:pPr>
              <w:pStyle w:val="13"/>
            </w:pPr>
            <w:r>
              <w:t>378.82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546.93</w:t>
            </w:r>
          </w:p>
        </w:tc>
        <w:tc>
          <w:tcPr>
            <w:tcW w:w="2551" w:type="dxa"/>
            <w:vAlign w:val="center"/>
          </w:tcPr>
          <w:p>
            <w:pPr>
              <w:pStyle w:val="13"/>
            </w:pPr>
            <w:r>
              <w:t>544.53</w:t>
            </w:r>
          </w:p>
        </w:tc>
        <w:tc>
          <w:tcPr>
            <w:tcW w:w="2551"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376.42</w:t>
            </w:r>
          </w:p>
        </w:tc>
        <w:tc>
          <w:tcPr>
            <w:tcW w:w="2551" w:type="dxa"/>
            <w:vAlign w:val="center"/>
          </w:tcPr>
          <w:p>
            <w:pPr>
              <w:pStyle w:val="13"/>
            </w:pPr>
          </w:p>
        </w:tc>
        <w:tc>
          <w:tcPr>
            <w:tcW w:w="2551" w:type="dxa"/>
            <w:vAlign w:val="center"/>
          </w:tcPr>
          <w:p>
            <w:pPr>
              <w:pStyle w:val="13"/>
            </w:pPr>
            <w:r>
              <w:t>376.42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58.10</w:t>
            </w:r>
          </w:p>
        </w:tc>
        <w:tc>
          <w:tcPr>
            <w:tcW w:w="2551" w:type="dxa"/>
            <w:vAlign w:val="center"/>
          </w:tcPr>
          <w:p>
            <w:pPr>
              <w:pStyle w:val="13"/>
            </w:pPr>
            <w:r>
              <w:t>58.10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58.10</w:t>
            </w:r>
          </w:p>
        </w:tc>
        <w:tc>
          <w:tcPr>
            <w:tcW w:w="2551" w:type="dxa"/>
            <w:vAlign w:val="center"/>
          </w:tcPr>
          <w:p>
            <w:pPr>
              <w:pStyle w:val="13"/>
            </w:pPr>
            <w:r>
              <w:t>58.10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58.10</w:t>
            </w:r>
          </w:p>
        </w:tc>
        <w:tc>
          <w:tcPr>
            <w:tcW w:w="2551" w:type="dxa"/>
            <w:vAlign w:val="center"/>
          </w:tcPr>
          <w:p>
            <w:pPr>
              <w:pStyle w:val="13"/>
            </w:pPr>
            <w:r>
              <w:t>58.10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28.56</w:t>
            </w:r>
          </w:p>
        </w:tc>
        <w:tc>
          <w:tcPr>
            <w:tcW w:w="2551" w:type="dxa"/>
            <w:vAlign w:val="center"/>
          </w:tcPr>
          <w:p>
            <w:pPr>
              <w:pStyle w:val="13"/>
            </w:pPr>
            <w:r>
              <w:t>28.56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28.56</w:t>
            </w:r>
          </w:p>
        </w:tc>
        <w:tc>
          <w:tcPr>
            <w:tcW w:w="2551" w:type="dxa"/>
            <w:vAlign w:val="center"/>
          </w:tcPr>
          <w:p>
            <w:pPr>
              <w:pStyle w:val="13"/>
            </w:pPr>
            <w:r>
              <w:t>28.56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28.56</w:t>
            </w:r>
          </w:p>
        </w:tc>
        <w:tc>
          <w:tcPr>
            <w:tcW w:w="2551" w:type="dxa"/>
            <w:vAlign w:val="center"/>
          </w:tcPr>
          <w:p>
            <w:pPr>
              <w:pStyle w:val="13"/>
            </w:pPr>
            <w:r>
              <w:t>28.56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49.22</w:t>
            </w:r>
          </w:p>
        </w:tc>
        <w:tc>
          <w:tcPr>
            <w:tcW w:w="2551" w:type="dxa"/>
            <w:vAlign w:val="center"/>
          </w:tcPr>
          <w:p>
            <w:pPr>
              <w:pStyle w:val="13"/>
            </w:pPr>
            <w:r>
              <w:t>49.22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49.22</w:t>
            </w:r>
          </w:p>
        </w:tc>
        <w:tc>
          <w:tcPr>
            <w:tcW w:w="2551" w:type="dxa"/>
            <w:vAlign w:val="center"/>
          </w:tcPr>
          <w:p>
            <w:pPr>
              <w:pStyle w:val="13"/>
            </w:pPr>
            <w:r>
              <w:t>49.22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49.22</w:t>
            </w:r>
          </w:p>
        </w:tc>
        <w:tc>
          <w:tcPr>
            <w:tcW w:w="2551" w:type="dxa"/>
            <w:vAlign w:val="center"/>
          </w:tcPr>
          <w:p>
            <w:pPr>
              <w:pStyle w:val="13"/>
            </w:pPr>
            <w:r>
              <w:t>49.22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434001隆尧县人民政府办公室本级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680.41</w:t>
            </w:r>
          </w:p>
        </w:tc>
        <w:tc>
          <w:tcPr>
            <w:tcW w:w="2551" w:type="dxa"/>
            <w:vAlign w:val="center"/>
          </w:tcPr>
          <w:p>
            <w:pPr>
              <w:pStyle w:val="17"/>
            </w:pPr>
            <w:r>
              <w:t>621.21</w:t>
            </w:r>
          </w:p>
        </w:tc>
        <w:tc>
          <w:tcPr>
            <w:tcW w:w="2551" w:type="dxa"/>
            <w:vAlign w:val="center"/>
          </w:tcPr>
          <w:p>
            <w:pPr>
              <w:pStyle w:val="17"/>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590.70</w:t>
            </w:r>
          </w:p>
        </w:tc>
        <w:tc>
          <w:tcPr>
            <w:tcW w:w="2551" w:type="dxa"/>
            <w:vAlign w:val="center"/>
          </w:tcPr>
          <w:p>
            <w:pPr>
              <w:pStyle w:val="13"/>
            </w:pPr>
            <w:r>
              <w:t>590.70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240.71</w:t>
            </w:r>
          </w:p>
        </w:tc>
        <w:tc>
          <w:tcPr>
            <w:tcW w:w="2551" w:type="dxa"/>
            <w:vAlign w:val="center"/>
          </w:tcPr>
          <w:p>
            <w:pPr>
              <w:pStyle w:val="13"/>
            </w:pPr>
            <w:r>
              <w:t>240.71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63.75</w:t>
            </w:r>
          </w:p>
        </w:tc>
        <w:tc>
          <w:tcPr>
            <w:tcW w:w="2551" w:type="dxa"/>
            <w:vAlign w:val="center"/>
          </w:tcPr>
          <w:p>
            <w:pPr>
              <w:pStyle w:val="13"/>
            </w:pPr>
            <w:r>
              <w:t>63.75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106.59</w:t>
            </w:r>
          </w:p>
        </w:tc>
        <w:tc>
          <w:tcPr>
            <w:tcW w:w="2551" w:type="dxa"/>
            <w:vAlign w:val="center"/>
          </w:tcPr>
          <w:p>
            <w:pPr>
              <w:pStyle w:val="13"/>
            </w:pPr>
            <w:r>
              <w:t>106.59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29.57</w:t>
            </w:r>
          </w:p>
        </w:tc>
        <w:tc>
          <w:tcPr>
            <w:tcW w:w="2551" w:type="dxa"/>
            <w:vAlign w:val="center"/>
          </w:tcPr>
          <w:p>
            <w:pPr>
              <w:pStyle w:val="13"/>
            </w:pPr>
            <w:r>
              <w:t>29.57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58.10</w:t>
            </w:r>
          </w:p>
        </w:tc>
        <w:tc>
          <w:tcPr>
            <w:tcW w:w="2551" w:type="dxa"/>
            <w:vAlign w:val="center"/>
          </w:tcPr>
          <w:p>
            <w:pPr>
              <w:pStyle w:val="13"/>
            </w:pPr>
            <w:r>
              <w:t>58.10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28.56</w:t>
            </w:r>
          </w:p>
        </w:tc>
        <w:tc>
          <w:tcPr>
            <w:tcW w:w="2551" w:type="dxa"/>
            <w:vAlign w:val="center"/>
          </w:tcPr>
          <w:p>
            <w:pPr>
              <w:pStyle w:val="13"/>
            </w:pPr>
            <w:r>
              <w:t>28.56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14.20</w:t>
            </w:r>
          </w:p>
        </w:tc>
        <w:tc>
          <w:tcPr>
            <w:tcW w:w="2551" w:type="dxa"/>
            <w:vAlign w:val="center"/>
          </w:tcPr>
          <w:p>
            <w:pPr>
              <w:pStyle w:val="13"/>
            </w:pPr>
            <w:r>
              <w:t>14.20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49.22</w:t>
            </w:r>
          </w:p>
        </w:tc>
        <w:tc>
          <w:tcPr>
            <w:tcW w:w="2551" w:type="dxa"/>
            <w:vAlign w:val="center"/>
          </w:tcPr>
          <w:p>
            <w:pPr>
              <w:pStyle w:val="13"/>
            </w:pPr>
            <w:r>
              <w:t>49.22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59.20</w:t>
            </w:r>
          </w:p>
        </w:tc>
        <w:tc>
          <w:tcPr>
            <w:tcW w:w="2551" w:type="dxa"/>
            <w:vAlign w:val="center"/>
          </w:tcPr>
          <w:p>
            <w:pPr>
              <w:pStyle w:val="13"/>
            </w:pPr>
          </w:p>
        </w:tc>
        <w:tc>
          <w:tcPr>
            <w:tcW w:w="2551" w:type="dxa"/>
            <w:vAlign w:val="center"/>
          </w:tcPr>
          <w:p>
            <w:pPr>
              <w:pStyle w:val="13"/>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5.80</w:t>
            </w:r>
          </w:p>
        </w:tc>
        <w:tc>
          <w:tcPr>
            <w:tcW w:w="2551" w:type="dxa"/>
            <w:vAlign w:val="center"/>
          </w:tcPr>
          <w:p>
            <w:pPr>
              <w:pStyle w:val="13"/>
            </w:pPr>
          </w:p>
        </w:tc>
        <w:tc>
          <w:tcPr>
            <w:tcW w:w="2551" w:type="dxa"/>
            <w:vAlign w:val="center"/>
          </w:tcPr>
          <w:p>
            <w:pPr>
              <w:pStyle w:val="13"/>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9.53</w:t>
            </w:r>
          </w:p>
        </w:tc>
        <w:tc>
          <w:tcPr>
            <w:tcW w:w="2551" w:type="dxa"/>
            <w:vAlign w:val="center"/>
          </w:tcPr>
          <w:p>
            <w:pPr>
              <w:pStyle w:val="13"/>
            </w:pPr>
          </w:p>
        </w:tc>
        <w:tc>
          <w:tcPr>
            <w:tcW w:w="2551" w:type="dxa"/>
            <w:vAlign w:val="center"/>
          </w:tcPr>
          <w:p>
            <w:pPr>
              <w:pStyle w:val="13"/>
            </w:pPr>
            <w:r>
              <w:t>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3.19</w:t>
            </w:r>
          </w:p>
        </w:tc>
        <w:tc>
          <w:tcPr>
            <w:tcW w:w="2551" w:type="dxa"/>
            <w:vAlign w:val="center"/>
          </w:tcPr>
          <w:p>
            <w:pPr>
              <w:pStyle w:val="13"/>
            </w:pPr>
          </w:p>
        </w:tc>
        <w:tc>
          <w:tcPr>
            <w:tcW w:w="2551" w:type="dxa"/>
            <w:vAlign w:val="center"/>
          </w:tcPr>
          <w:p>
            <w:pPr>
              <w:pStyle w:val="13"/>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1.16</w:t>
            </w:r>
          </w:p>
        </w:tc>
        <w:tc>
          <w:tcPr>
            <w:tcW w:w="2551" w:type="dxa"/>
            <w:vAlign w:val="center"/>
          </w:tcPr>
          <w:p>
            <w:pPr>
              <w:pStyle w:val="13"/>
            </w:pPr>
          </w:p>
        </w:tc>
        <w:tc>
          <w:tcPr>
            <w:tcW w:w="2551" w:type="dxa"/>
            <w:vAlign w:val="center"/>
          </w:tcPr>
          <w:p>
            <w:pPr>
              <w:pStyle w:val="13"/>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1.16</w:t>
            </w:r>
          </w:p>
        </w:tc>
        <w:tc>
          <w:tcPr>
            <w:tcW w:w="2551" w:type="dxa"/>
            <w:vAlign w:val="center"/>
          </w:tcPr>
          <w:p>
            <w:pPr>
              <w:pStyle w:val="13"/>
            </w:pPr>
          </w:p>
        </w:tc>
        <w:tc>
          <w:tcPr>
            <w:tcW w:w="2551" w:type="dxa"/>
            <w:vAlign w:val="center"/>
          </w:tcPr>
          <w:p>
            <w:pPr>
              <w:pStyle w:val="13"/>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37.20</w:t>
            </w:r>
          </w:p>
        </w:tc>
        <w:tc>
          <w:tcPr>
            <w:tcW w:w="2551" w:type="dxa"/>
            <w:vAlign w:val="center"/>
          </w:tcPr>
          <w:p>
            <w:pPr>
              <w:pStyle w:val="13"/>
            </w:pPr>
          </w:p>
        </w:tc>
        <w:tc>
          <w:tcPr>
            <w:tcW w:w="2551" w:type="dxa"/>
            <w:vAlign w:val="center"/>
          </w:tcPr>
          <w:p>
            <w:pPr>
              <w:pStyle w:val="13"/>
            </w:pPr>
            <w:r>
              <w:t>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1.16</w:t>
            </w:r>
          </w:p>
        </w:tc>
        <w:tc>
          <w:tcPr>
            <w:tcW w:w="2551" w:type="dxa"/>
            <w:vAlign w:val="center"/>
          </w:tcPr>
          <w:p>
            <w:pPr>
              <w:pStyle w:val="13"/>
            </w:pPr>
          </w:p>
        </w:tc>
        <w:tc>
          <w:tcPr>
            <w:tcW w:w="2551" w:type="dxa"/>
            <w:vAlign w:val="center"/>
          </w:tcPr>
          <w:p>
            <w:pPr>
              <w:pStyle w:val="13"/>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30.51</w:t>
            </w:r>
          </w:p>
        </w:tc>
        <w:tc>
          <w:tcPr>
            <w:tcW w:w="2551" w:type="dxa"/>
            <w:vAlign w:val="center"/>
          </w:tcPr>
          <w:p>
            <w:pPr>
              <w:pStyle w:val="13"/>
            </w:pPr>
            <w:r>
              <w:t>30.51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27.63</w:t>
            </w:r>
          </w:p>
        </w:tc>
        <w:tc>
          <w:tcPr>
            <w:tcW w:w="2551" w:type="dxa"/>
            <w:vAlign w:val="center"/>
          </w:tcPr>
          <w:p>
            <w:pPr>
              <w:pStyle w:val="13"/>
            </w:pPr>
            <w:r>
              <w:t>27.63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2.88</w:t>
            </w:r>
          </w:p>
        </w:tc>
        <w:tc>
          <w:tcPr>
            <w:tcW w:w="2551" w:type="dxa"/>
            <w:vAlign w:val="center"/>
          </w:tcPr>
          <w:p>
            <w:pPr>
              <w:pStyle w:val="13"/>
            </w:pPr>
            <w:r>
              <w:t>2.88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434001隆尧县人民政府办公室本级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434001隆尧县人民政府办公室本级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434001隆尧县人民政府办公室本级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5.00</w:t>
            </w:r>
          </w:p>
        </w:tc>
        <w:tc>
          <w:tcPr>
            <w:tcW w:w="1643" w:type="dxa"/>
            <w:vAlign w:val="center"/>
          </w:tcPr>
          <w:p>
            <w:pPr>
              <w:pStyle w:val="17"/>
              <w:rPr>
                <w:rFonts w:hint="default" w:eastAsia="方正书宋_GBK"/>
                <w:lang w:val="en-US" w:eastAsia="zh-CN"/>
              </w:rPr>
            </w:pPr>
            <w:r>
              <w:rPr>
                <w:rFonts w:hint="eastAsia"/>
                <w:lang w:val="en-US" w:eastAsia="zh-CN"/>
              </w:rPr>
              <w:t>5.00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隆尧县人民政府办公室本级2023年单位预算信息公开情况说明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按照《预算法》、《地方预决算公开操作规程》和《关于进一步推进预算公开工作的实施意见》规定，现将隆尧县人民政府办公室本级2023年单位预算公开如下：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协助县政府领导组织起草或审核上报市政府、市政府办公室和致函市政府各部门的公文，以及以县政府、县政府办公室名义发布的公文；负责县政府、县政府办公室日常公文办理，包括省政府、省政府办公厅、市政府、市政府办公室和市政府各部门、各县来文办理，县政府各部门、各乡镇政府、开发区、食品城来文办理。</w:t>
      </w:r>
    </w:p>
    <w:p>
      <w:pPr>
        <w:pStyle w:val="27"/>
      </w:pPr>
      <w:r>
        <w:t>（二）负责县政府领导活动的组织和协调工作；负责县政府会议的筹备和服务工作，协助县政府领导组织落实会议决定事项。</w:t>
      </w:r>
    </w:p>
    <w:p>
      <w:pPr>
        <w:pStyle w:val="27"/>
      </w:pPr>
      <w:r>
        <w:t>（三）研究县政府各部门、各乡镇政府、开发区、食品城请示县政府的事项，提出审核意见，报县政府领导审批。</w:t>
      </w:r>
    </w:p>
    <w:p>
      <w:pPr>
        <w:pStyle w:val="27"/>
      </w:pPr>
      <w:r>
        <w:t>（四）根据县政府领导的指示，对县政府部门间出现的争议问题提出处理意见，报县政府领导决定。</w:t>
      </w:r>
    </w:p>
    <w:p>
      <w:pPr>
        <w:pStyle w:val="27"/>
      </w:pPr>
      <w:r>
        <w:t>（五）组织起草县政府领导重要讲话及其他重要文稿。</w:t>
      </w:r>
    </w:p>
    <w:p>
      <w:pPr>
        <w:pStyle w:val="27"/>
      </w:pPr>
      <w:r>
        <w:t>（六）督促检查县政府各部门、各乡镇政府、开发区、食品城对市政府和县政府决定事项及市政府、县政府领导重要批示的执行落实情况并跟踪调研，及时向县政府领导报告。</w:t>
      </w:r>
    </w:p>
    <w:p>
      <w:pPr>
        <w:pStyle w:val="27"/>
      </w:pPr>
      <w:r>
        <w:t>（七）负责县政府值班工作，及时报告重要情况，传达和督促落实县政府领导工作要求，协助处理各部门、各乡镇向县政府反映的重要问题。</w:t>
      </w:r>
    </w:p>
    <w:p>
      <w:pPr>
        <w:pStyle w:val="27"/>
      </w:pPr>
      <w:r>
        <w:t>（八）根据县政府工作部署和县政府领导的指示，组织专题调研，及时反映情况，提出建议。</w:t>
      </w:r>
    </w:p>
    <w:p>
      <w:pPr>
        <w:pStyle w:val="27"/>
      </w:pPr>
      <w:r>
        <w:t>（九）组织承办人大代表建议和政协提案工作。</w:t>
      </w:r>
    </w:p>
    <w:p>
      <w:pPr>
        <w:pStyle w:val="27"/>
      </w:pPr>
      <w:r>
        <w:t>（十）负责推进、指导、协调、监督全县政府信息公开工作。</w:t>
      </w:r>
    </w:p>
    <w:p>
      <w:pPr>
        <w:pStyle w:val="27"/>
      </w:pPr>
      <w:r>
        <w:t>（十一）负责政务信息（包括舆情信息）服务工作和全县政府系统机关电子政务工作，协同有关部门统筹协调县政府新闻宣传、舆情回应等工作。</w:t>
      </w:r>
    </w:p>
    <w:p>
      <w:pPr>
        <w:pStyle w:val="27"/>
      </w:pPr>
      <w:r>
        <w:t>（十二）负责对人民群众通过电话反映的政府及政府各部门存在的问题、直接影响群众生活的应由县政府及有关职能部门协调解决的问题和其他带有普遍性、倾向性、苗头性的重要问题进行受理、登记、呈交、督促、反馈。</w:t>
      </w:r>
    </w:p>
    <w:p>
      <w:pPr>
        <w:pStyle w:val="27"/>
      </w:pPr>
      <w:r>
        <w:t>（十三）负责县政府公务接待工作；做好县政府办公室有关行政事务工作。</w:t>
      </w:r>
    </w:p>
    <w:p>
      <w:pPr>
        <w:pStyle w:val="27"/>
      </w:pPr>
      <w:r>
        <w:t>（十四）负责综合性政策研究并向县政府提供决策咨询。</w:t>
      </w:r>
    </w:p>
    <w:p>
      <w:pPr>
        <w:pStyle w:val="27"/>
      </w:pPr>
      <w:r>
        <w:t>（十五）负责关于党中央重要文件涉及县政府系统需落实事项、县委主要领导批示件和县委常委会会议决定、县委专题会议议定的涉及县政府系统落实事项的督办、汇总、反馈工作。</w:t>
      </w:r>
    </w:p>
    <w:p>
      <w:pPr>
        <w:pStyle w:val="27"/>
      </w:pPr>
      <w:r>
        <w:t>（十六）负责承办县政府提请县人大常委会任免议案和县政府任免人员的行政任免手续等有关事宜，承办县政府任命工作人员宪法宣誓工作。</w:t>
      </w:r>
    </w:p>
    <w:p>
      <w:pPr>
        <w:pStyle w:val="27"/>
      </w:pPr>
      <w: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pPr>
        <w:pStyle w:val="27"/>
      </w:pPr>
      <w:r>
        <w:t>（十八）贯彻执行国家、省、市有关人民防空的法律、法规和规章，结合我县实际，拟订人民防空工作管理办法、人民防空事业发展规划和年度计划，经县政府批准后组织实施和监督检查。</w:t>
      </w:r>
    </w:p>
    <w:p>
      <w:pPr>
        <w:pStyle w:val="27"/>
      </w:pPr>
      <w:r>
        <w:t>（十九）管理人民防空工程建设；负责人民防空组织指挥工作；负责人民防空信息化建设；组织开展防空防灾宣传教育；战时组织指挥城乡群众开展防空袭斗争；承担县政府赋予的防灾救灾等应急保障任务。</w:t>
      </w:r>
    </w:p>
    <w:p>
      <w:pPr>
        <w:pStyle w:val="27"/>
      </w:pPr>
      <w:r>
        <w:t>（二十）负责指导地方志编研工作。</w:t>
      </w:r>
    </w:p>
    <w:p>
      <w:pPr>
        <w:pStyle w:val="27"/>
      </w:pPr>
      <w:r>
        <w:t>（二十一）完成县委、县政府交办的其他任务。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隆尧县人民政府办公室本级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按照预算管理有关规定，目前我县</w:t>
      </w:r>
      <w:r>
        <w:rPr>
          <w:rFonts w:hint="eastAsia"/>
          <w:lang w:eastAsia="zh-CN"/>
        </w:rPr>
        <w:t>单位</w:t>
      </w:r>
      <w:r>
        <w:t>预算的编制实行综合预算管理，即全部收入和支出都反映的预算中。隆尧县人民政府办公室的收支包含在单位预算中。</w:t>
      </w:r>
    </w:p>
    <w:p>
      <w:pPr>
        <w:pStyle w:val="28"/>
      </w:pPr>
      <w:r>
        <w:t>1、收入说明</w:t>
      </w:r>
    </w:p>
    <w:p>
      <w:pPr>
        <w:pStyle w:val="28"/>
      </w:pPr>
      <w:r>
        <w:t>反映本单位当年全部收入。2023年预算收入1059.2285万元，其中：一般公共预算收入1059.2285万元。</w:t>
      </w:r>
    </w:p>
    <w:p>
      <w:pPr>
        <w:pStyle w:val="28"/>
      </w:pPr>
      <w:r>
        <w:t>2、支出说明</w:t>
      </w:r>
    </w:p>
    <w:p>
      <w:pPr>
        <w:pStyle w:val="28"/>
      </w:pPr>
      <w:r>
        <w:t>收支预算总表支出栏、基本支出表、项目支出表按经济分类和支出功能分类科目编制，反映隆尧县人民政府办公室年度部门预算中支出预算的总体情况。2023年部门支出预算为</w:t>
      </w:r>
      <w:r>
        <w:rPr>
          <w:rFonts w:hint="eastAsia"/>
          <w:lang w:val="en-US" w:eastAsia="zh-CN"/>
        </w:rPr>
        <w:t>1059.23</w:t>
      </w:r>
      <w:r>
        <w:t>万元，其中基本支出</w:t>
      </w:r>
      <w:r>
        <w:rPr>
          <w:rFonts w:hint="eastAsia"/>
          <w:lang w:val="en-US" w:eastAsia="zh-CN"/>
        </w:rPr>
        <w:t>680.41</w:t>
      </w:r>
      <w:r>
        <w:t>万元，包括人员经费</w:t>
      </w:r>
      <w:r>
        <w:rPr>
          <w:rFonts w:hint="eastAsia"/>
          <w:lang w:val="en-US" w:eastAsia="zh-CN"/>
        </w:rPr>
        <w:t>621.21</w:t>
      </w:r>
      <w:r>
        <w:t>万元和日常公用经费</w:t>
      </w:r>
      <w:r>
        <w:rPr>
          <w:rFonts w:hint="eastAsia"/>
          <w:lang w:val="en-US" w:eastAsia="zh-CN"/>
        </w:rPr>
        <w:t>59.2</w:t>
      </w:r>
      <w:r>
        <w:t>万元；项目支出378.82万元，主要为政府办专项公用经费、人防办编制人民防空方案经费、人防办创建“人防社区”经费、人防办创建“学校人防宣教室”经费、政务公开办经费、智慧中心经费、劳务派遣人员经费等。</w:t>
      </w:r>
    </w:p>
    <w:p>
      <w:pPr>
        <w:pStyle w:val="28"/>
      </w:pPr>
      <w:r>
        <w:t>3、比上年增减情况</w:t>
      </w:r>
    </w:p>
    <w:p>
      <w:pPr>
        <w:pStyle w:val="28"/>
      </w:pPr>
      <w:r>
        <w:t>2023年单位预算收支安排1059.2285万元，较2022年预算增加89.9819万元，其中：基本支出增加161.6605万元，主要是增加人员经费支出；项目支出减少71.6786万元，主要是减少政务公开办经费等。</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w:t>
      </w:r>
      <w:r>
        <w:rPr>
          <w:rFonts w:hint="eastAsia"/>
          <w:lang w:val="en-US" w:eastAsia="zh-CN"/>
        </w:rPr>
        <w:t>59.2</w:t>
      </w:r>
      <w:r>
        <w:t>万元，主要用于保证机关正常运转的办公及印刷费等支出，比上年增加</w:t>
      </w:r>
      <w:r>
        <w:rPr>
          <w:rFonts w:hint="eastAsia"/>
          <w:lang w:val="en-US" w:eastAsia="zh-CN"/>
        </w:rPr>
        <w:t>10.28</w:t>
      </w:r>
      <w:r>
        <w:t>万元，原因为活动增多、工作量大。</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2023年，我单位财政拨款“三公”经费预算安排5万元，其中：因公出国（境）费0万元,与上年持平，主要原因为本年度未发生出国费用。公务用车购置及</w:t>
      </w:r>
      <w:r>
        <w:rPr>
          <w:rFonts w:hint="eastAsia"/>
          <w:lang w:eastAsia="zh-CN"/>
        </w:rPr>
        <w:t>运行维护</w:t>
      </w:r>
      <w:r>
        <w:t>费0万元（其中：公务用车购置费0万元，公务用车运行维护费0万元)，与上年持平，主要原因为本年度无公务用车购置及</w:t>
      </w:r>
      <w:r>
        <w:rPr>
          <w:rFonts w:hint="eastAsia"/>
          <w:lang w:eastAsia="zh-CN"/>
        </w:rPr>
        <w:t>运行维护</w:t>
      </w:r>
      <w:r>
        <w:t>费。公务接待费5万元，较上年减少10.2万元，主要原因为今年公务接待任务比较少。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1、“名校英才入冀”人员房租补助绩效目标表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1.本单位2023年度“名校英才入冀”人员共2人，通过引进人才，改善工作作风，提高工作效率。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≥10人次</w:t>
            </w:r>
          </w:p>
        </w:tc>
        <w:tc>
          <w:tcPr>
            <w:tcW w:w="2268" w:type="dxa"/>
            <w:vAlign w:val="center"/>
          </w:tcPr>
          <w:p>
            <w:pPr>
              <w:pStyle w:val="14"/>
            </w:pPr>
            <w:r>
              <w:t>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毕业生就业率（%）</w:t>
            </w:r>
          </w:p>
        </w:tc>
        <w:tc>
          <w:tcPr>
            <w:tcW w:w="2835" w:type="dxa"/>
            <w:vAlign w:val="center"/>
          </w:tcPr>
          <w:p>
            <w:pPr>
              <w:pStyle w:val="14"/>
            </w:pPr>
            <w:r>
              <w:t>毕业生就业率（%）</w:t>
            </w:r>
          </w:p>
        </w:tc>
        <w:tc>
          <w:tcPr>
            <w:tcW w:w="2551" w:type="dxa"/>
            <w:vAlign w:val="center"/>
          </w:tcPr>
          <w:p>
            <w:pPr>
              <w:pStyle w:val="14"/>
            </w:pPr>
            <w:r>
              <w:t>≥0.95百分比</w:t>
            </w:r>
          </w:p>
        </w:tc>
        <w:tc>
          <w:tcPr>
            <w:tcW w:w="2268" w:type="dxa"/>
            <w:vAlign w:val="center"/>
          </w:tcPr>
          <w:p>
            <w:pPr>
              <w:pStyle w:val="14"/>
            </w:pPr>
            <w:r>
              <w:t>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按期完成率</w:t>
            </w:r>
          </w:p>
        </w:tc>
        <w:tc>
          <w:tcPr>
            <w:tcW w:w="2551" w:type="dxa"/>
            <w:vAlign w:val="center"/>
          </w:tcPr>
          <w:p>
            <w:pPr>
              <w:pStyle w:val="14"/>
            </w:pPr>
            <w:r>
              <w:t>≥0.95百分比</w:t>
            </w:r>
          </w:p>
        </w:tc>
        <w:tc>
          <w:tcPr>
            <w:tcW w:w="2268" w:type="dxa"/>
            <w:vAlign w:val="center"/>
          </w:tcPr>
          <w:p>
            <w:pPr>
              <w:pStyle w:val="14"/>
            </w:pPr>
            <w:r>
              <w:t>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t>≥0.95百分比</w:t>
            </w:r>
          </w:p>
        </w:tc>
        <w:tc>
          <w:tcPr>
            <w:tcW w:w="2268" w:type="dxa"/>
            <w:vAlign w:val="center"/>
          </w:tcPr>
          <w:p>
            <w:pPr>
              <w:pStyle w:val="14"/>
            </w:pPr>
            <w:r>
              <w:t>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≥0.95百分比</w:t>
            </w:r>
          </w:p>
        </w:tc>
        <w:tc>
          <w:tcPr>
            <w:tcW w:w="2268" w:type="dxa"/>
            <w:vAlign w:val="center"/>
          </w:tcPr>
          <w:p>
            <w:pPr>
              <w:pStyle w:val="14"/>
            </w:pPr>
            <w:r>
              <w:t>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≥0.95百分比</w:t>
            </w:r>
          </w:p>
        </w:tc>
        <w:tc>
          <w:tcPr>
            <w:tcW w:w="2268" w:type="dxa"/>
            <w:vAlign w:val="center"/>
          </w:tcPr>
          <w:p>
            <w:pPr>
              <w:pStyle w:val="14"/>
            </w:pPr>
            <w:r>
              <w:t>房租补助发放认定表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2、办案补助/人防办编制人民防空方案经费绩效目标表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1.按照《邢台市人民防空发展“十四五”规划》要求，按时完成人民防空方案编制工作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2835" w:type="dxa"/>
            <w:vAlign w:val="center"/>
          </w:tcPr>
          <w:p>
            <w:pPr>
              <w:pStyle w:val="14"/>
            </w:pPr>
            <w:r>
              <w:t>及时率</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成本开支</w:t>
            </w:r>
          </w:p>
        </w:tc>
        <w:tc>
          <w:tcPr>
            <w:tcW w:w="2835" w:type="dxa"/>
            <w:vAlign w:val="center"/>
          </w:tcPr>
          <w:p>
            <w:pPr>
              <w:pStyle w:val="14"/>
            </w:pPr>
            <w:r>
              <w:t>成本开支</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项目实现功能</w:t>
            </w:r>
          </w:p>
        </w:tc>
        <w:tc>
          <w:tcPr>
            <w:tcW w:w="2835" w:type="dxa"/>
            <w:vAlign w:val="center"/>
          </w:tcPr>
          <w:p>
            <w:pPr>
              <w:pStyle w:val="14"/>
            </w:pPr>
            <w:r>
              <w:t>项目实现功能</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2835" w:type="dxa"/>
            <w:vAlign w:val="center"/>
          </w:tcPr>
          <w:p>
            <w:pPr>
              <w:pStyle w:val="14"/>
            </w:pPr>
            <w:r>
              <w:t>工作人员对办公场所的满意程度</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3、办案补助/人防办创建“人防社区”经费绩效目标表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1.创建成一个“五有”（有标示牌、有机构人员、有人防志愿者、有宣传阵地、有人防活动）的人防社区。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组织主题宣传活动场次</w:t>
            </w:r>
          </w:p>
        </w:tc>
        <w:tc>
          <w:tcPr>
            <w:tcW w:w="2835" w:type="dxa"/>
            <w:vAlign w:val="center"/>
          </w:tcPr>
          <w:p>
            <w:pPr>
              <w:pStyle w:val="14"/>
            </w:pPr>
            <w:r>
              <w:t>组织主题宣传活动场次</w:t>
            </w:r>
          </w:p>
        </w:tc>
        <w:tc>
          <w:tcPr>
            <w:tcW w:w="2551" w:type="dxa"/>
            <w:vAlign w:val="center"/>
          </w:tcPr>
          <w:p>
            <w:pPr>
              <w:pStyle w:val="14"/>
            </w:pPr>
            <w:r>
              <w:t>≥5次数</w:t>
            </w:r>
          </w:p>
        </w:tc>
        <w:tc>
          <w:tcPr>
            <w:tcW w:w="2268" w:type="dxa"/>
            <w:vAlign w:val="center"/>
          </w:tcPr>
          <w:p>
            <w:pPr>
              <w:pStyle w:val="14"/>
            </w:pPr>
            <w:r>
              <w:t>省市人防办《关于开展“人防社区”创建三年行动的指导意见的通知》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≥0.95百分比</w:t>
            </w:r>
          </w:p>
        </w:tc>
        <w:tc>
          <w:tcPr>
            <w:tcW w:w="2268" w:type="dxa"/>
            <w:vAlign w:val="center"/>
          </w:tcPr>
          <w:p>
            <w:pPr>
              <w:pStyle w:val="14"/>
            </w:pPr>
            <w:r>
              <w:t>省市人防办《关于开展“人防社区”创建三年行动的指导意见的通知》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项目实施进度</w:t>
            </w:r>
          </w:p>
        </w:tc>
        <w:tc>
          <w:tcPr>
            <w:tcW w:w="2835" w:type="dxa"/>
            <w:vAlign w:val="center"/>
          </w:tcPr>
          <w:p>
            <w:pPr>
              <w:pStyle w:val="14"/>
            </w:pPr>
            <w:r>
              <w:t>项目实施进度</w:t>
            </w:r>
          </w:p>
        </w:tc>
        <w:tc>
          <w:tcPr>
            <w:tcW w:w="2551" w:type="dxa"/>
            <w:vAlign w:val="center"/>
          </w:tcPr>
          <w:p>
            <w:pPr>
              <w:pStyle w:val="14"/>
            </w:pPr>
            <w:r>
              <w:t>≥0.95百分比</w:t>
            </w:r>
          </w:p>
        </w:tc>
        <w:tc>
          <w:tcPr>
            <w:tcW w:w="2268" w:type="dxa"/>
            <w:vAlign w:val="center"/>
          </w:tcPr>
          <w:p>
            <w:pPr>
              <w:pStyle w:val="14"/>
            </w:pPr>
            <w:r>
              <w:t>省市人防办《关于开展“人防社区”创建三年行动的指导意见的通知》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2835" w:type="dxa"/>
            <w:vAlign w:val="center"/>
          </w:tcPr>
          <w:p>
            <w:pPr>
              <w:pStyle w:val="14"/>
            </w:pPr>
            <w:r>
              <w:t>预算执行率</w:t>
            </w:r>
          </w:p>
        </w:tc>
        <w:tc>
          <w:tcPr>
            <w:tcW w:w="2551" w:type="dxa"/>
            <w:vAlign w:val="center"/>
          </w:tcPr>
          <w:p>
            <w:pPr>
              <w:pStyle w:val="14"/>
            </w:pPr>
            <w:r>
              <w:t>≥0.95百分比</w:t>
            </w:r>
          </w:p>
        </w:tc>
        <w:tc>
          <w:tcPr>
            <w:tcW w:w="2268" w:type="dxa"/>
            <w:vAlign w:val="center"/>
          </w:tcPr>
          <w:p>
            <w:pPr>
              <w:pStyle w:val="14"/>
            </w:pPr>
            <w:r>
              <w:t>省市人防办《关于开展“人防社区”创建三年行动的指导意见的通知》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能力提升率</w:t>
            </w:r>
          </w:p>
        </w:tc>
        <w:tc>
          <w:tcPr>
            <w:tcW w:w="2835" w:type="dxa"/>
            <w:vAlign w:val="center"/>
          </w:tcPr>
          <w:p>
            <w:pPr>
              <w:pStyle w:val="14"/>
            </w:pPr>
            <w:r>
              <w:t>能力提升率</w:t>
            </w:r>
          </w:p>
        </w:tc>
        <w:tc>
          <w:tcPr>
            <w:tcW w:w="2551" w:type="dxa"/>
            <w:vAlign w:val="center"/>
          </w:tcPr>
          <w:p>
            <w:pPr>
              <w:pStyle w:val="14"/>
            </w:pPr>
            <w:r>
              <w:t>≥0.95百分比</w:t>
            </w:r>
          </w:p>
        </w:tc>
        <w:tc>
          <w:tcPr>
            <w:tcW w:w="2268" w:type="dxa"/>
            <w:vAlign w:val="center"/>
          </w:tcPr>
          <w:p>
            <w:pPr>
              <w:pStyle w:val="14"/>
            </w:pPr>
            <w:r>
              <w:t>省市人防办《关于开展“人防社区”创建三年行动的指导意见的通知》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≥0.95百分比</w:t>
            </w:r>
          </w:p>
        </w:tc>
        <w:tc>
          <w:tcPr>
            <w:tcW w:w="2268" w:type="dxa"/>
            <w:vAlign w:val="center"/>
          </w:tcPr>
          <w:p>
            <w:pPr>
              <w:pStyle w:val="14"/>
            </w:pPr>
            <w:r>
              <w:t>省市人防办《关于开展“人防社区”创建三年行动的指导意见的通知》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4、办案补助/人防办经费绩效目标表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1.提高综合业务水平；加大加强人防防空防灾知识宣传力度；提高工作效率等。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印制计划完成量</w:t>
            </w:r>
          </w:p>
        </w:tc>
        <w:tc>
          <w:tcPr>
            <w:tcW w:w="2835" w:type="dxa"/>
            <w:vAlign w:val="center"/>
          </w:tcPr>
          <w:p>
            <w:pPr>
              <w:pStyle w:val="14"/>
            </w:pPr>
            <w:r>
              <w:t>印制计划完成量</w:t>
            </w:r>
          </w:p>
        </w:tc>
        <w:tc>
          <w:tcPr>
            <w:tcW w:w="2551" w:type="dxa"/>
            <w:vAlign w:val="center"/>
          </w:tcPr>
          <w:p>
            <w:pPr>
              <w:pStyle w:val="14"/>
            </w:pPr>
            <w:r>
              <w:t>≥10数量</w:t>
            </w:r>
          </w:p>
        </w:tc>
        <w:tc>
          <w:tcPr>
            <w:tcW w:w="2268" w:type="dxa"/>
            <w:vAlign w:val="center"/>
          </w:tcPr>
          <w:p>
            <w:pPr>
              <w:pStyle w:val="14"/>
            </w:pPr>
            <w:r>
              <w:t>关于转发河北省人民防空办公室关于开展“争先创优”活动的通知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项目按期结项率（%）</w:t>
            </w:r>
          </w:p>
        </w:tc>
        <w:tc>
          <w:tcPr>
            <w:tcW w:w="2835" w:type="dxa"/>
            <w:vAlign w:val="center"/>
          </w:tcPr>
          <w:p>
            <w:pPr>
              <w:pStyle w:val="14"/>
            </w:pPr>
            <w:r>
              <w:t>项目按期结项率（%）</w:t>
            </w:r>
          </w:p>
        </w:tc>
        <w:tc>
          <w:tcPr>
            <w:tcW w:w="2551" w:type="dxa"/>
            <w:vAlign w:val="center"/>
          </w:tcPr>
          <w:p>
            <w:pPr>
              <w:pStyle w:val="14"/>
            </w:pPr>
            <w:r>
              <w:t>≥0.95百分比</w:t>
            </w:r>
          </w:p>
        </w:tc>
        <w:tc>
          <w:tcPr>
            <w:tcW w:w="2268" w:type="dxa"/>
            <w:vAlign w:val="center"/>
          </w:tcPr>
          <w:p>
            <w:pPr>
              <w:pStyle w:val="14"/>
            </w:pPr>
            <w:r>
              <w:t>关于转发河北省人民防空办公室关于开展“争先创优”活动的通知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≥0.95百分比</w:t>
            </w:r>
          </w:p>
        </w:tc>
        <w:tc>
          <w:tcPr>
            <w:tcW w:w="2268" w:type="dxa"/>
            <w:vAlign w:val="center"/>
          </w:tcPr>
          <w:p>
            <w:pPr>
              <w:pStyle w:val="14"/>
            </w:pPr>
            <w:r>
              <w:t>关于转发河北省人民防空办公室关于开展“争先创优”活动的通知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预算执行</w:t>
            </w:r>
          </w:p>
        </w:tc>
        <w:tc>
          <w:tcPr>
            <w:tcW w:w="2835" w:type="dxa"/>
            <w:vAlign w:val="center"/>
          </w:tcPr>
          <w:p>
            <w:pPr>
              <w:pStyle w:val="14"/>
            </w:pPr>
            <w:r>
              <w:t>完成年度预算资金安排</w:t>
            </w:r>
          </w:p>
        </w:tc>
        <w:tc>
          <w:tcPr>
            <w:tcW w:w="2551" w:type="dxa"/>
            <w:vAlign w:val="center"/>
          </w:tcPr>
          <w:p>
            <w:pPr>
              <w:pStyle w:val="14"/>
            </w:pPr>
            <w:r>
              <w:t>≥0.95百分比</w:t>
            </w:r>
          </w:p>
        </w:tc>
        <w:tc>
          <w:tcPr>
            <w:tcW w:w="2268" w:type="dxa"/>
            <w:vAlign w:val="center"/>
          </w:tcPr>
          <w:p>
            <w:pPr>
              <w:pStyle w:val="14"/>
            </w:pPr>
            <w:r>
              <w:t>关于转发河北省人民防空办公室关于开展“争先创优”活动的通知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≥0.95百分比</w:t>
            </w:r>
          </w:p>
        </w:tc>
        <w:tc>
          <w:tcPr>
            <w:tcW w:w="2268" w:type="dxa"/>
            <w:vAlign w:val="center"/>
          </w:tcPr>
          <w:p>
            <w:pPr>
              <w:pStyle w:val="14"/>
            </w:pPr>
            <w:r>
              <w:t>关于转发河北省人民防空办公室关于开展“争先创优”活动的通知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社会群众满意度</w:t>
            </w:r>
          </w:p>
        </w:tc>
        <w:tc>
          <w:tcPr>
            <w:tcW w:w="2835" w:type="dxa"/>
            <w:vAlign w:val="center"/>
          </w:tcPr>
          <w:p>
            <w:pPr>
              <w:pStyle w:val="14"/>
            </w:pPr>
            <w:r>
              <w:t>社会群众满意度</w:t>
            </w:r>
          </w:p>
        </w:tc>
        <w:tc>
          <w:tcPr>
            <w:tcW w:w="2551" w:type="dxa"/>
            <w:vAlign w:val="center"/>
          </w:tcPr>
          <w:p>
            <w:pPr>
              <w:pStyle w:val="14"/>
            </w:pPr>
            <w:r>
              <w:t>≥0.95百分比</w:t>
            </w:r>
          </w:p>
        </w:tc>
        <w:tc>
          <w:tcPr>
            <w:tcW w:w="2268" w:type="dxa"/>
            <w:vAlign w:val="center"/>
          </w:tcPr>
          <w:p>
            <w:pPr>
              <w:pStyle w:val="14"/>
            </w:pPr>
            <w:r>
              <w:t>关于转发河北省人民防空办公室关于开展“争先创优”活动的通知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5、办案补助/县人防工程信息化管理平台建设项目绩效目标表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1.实现人防工程智能化管理，为领导决策部署和人民防空行动提供精准、坚实的数据支撑。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创建数量</w:t>
            </w:r>
          </w:p>
        </w:tc>
        <w:tc>
          <w:tcPr>
            <w:tcW w:w="2835" w:type="dxa"/>
            <w:vAlign w:val="center"/>
          </w:tcPr>
          <w:p>
            <w:pPr>
              <w:pStyle w:val="14"/>
            </w:pPr>
            <w:r>
              <w:t>创建数量</w:t>
            </w:r>
          </w:p>
        </w:tc>
        <w:tc>
          <w:tcPr>
            <w:tcW w:w="2551" w:type="dxa"/>
            <w:vAlign w:val="center"/>
          </w:tcPr>
          <w:p>
            <w:pPr>
              <w:pStyle w:val="14"/>
            </w:pPr>
            <w:r>
              <w:t>≥1数量</w:t>
            </w:r>
          </w:p>
        </w:tc>
        <w:tc>
          <w:tcPr>
            <w:tcW w:w="2268" w:type="dxa"/>
            <w:vAlign w:val="center"/>
          </w:tcPr>
          <w:p>
            <w:pPr>
              <w:pStyle w:val="14"/>
            </w:pPr>
            <w:r>
              <w:t>市人防办关于加快人防工程信息化建设的意见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项目验收合格率</w:t>
            </w:r>
          </w:p>
        </w:tc>
        <w:tc>
          <w:tcPr>
            <w:tcW w:w="2551" w:type="dxa"/>
            <w:vAlign w:val="center"/>
          </w:tcPr>
          <w:p>
            <w:pPr>
              <w:pStyle w:val="14"/>
            </w:pPr>
            <w:r>
              <w:t>≥0.95百分比</w:t>
            </w:r>
          </w:p>
        </w:tc>
        <w:tc>
          <w:tcPr>
            <w:tcW w:w="2268" w:type="dxa"/>
            <w:vAlign w:val="center"/>
          </w:tcPr>
          <w:p>
            <w:pPr>
              <w:pStyle w:val="14"/>
            </w:pPr>
            <w:r>
              <w:t>市人防办关于加快人防工程信息化建设的意见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≥0.95百分比</w:t>
            </w:r>
          </w:p>
        </w:tc>
        <w:tc>
          <w:tcPr>
            <w:tcW w:w="2268" w:type="dxa"/>
            <w:vAlign w:val="center"/>
          </w:tcPr>
          <w:p>
            <w:pPr>
              <w:pStyle w:val="14"/>
            </w:pPr>
            <w:r>
              <w:t>市人防办关于加快人防工程信息化建设的意见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2835" w:type="dxa"/>
            <w:vAlign w:val="center"/>
          </w:tcPr>
          <w:p>
            <w:pPr>
              <w:pStyle w:val="14"/>
            </w:pPr>
            <w:r>
              <w:t>预算执行率</w:t>
            </w:r>
          </w:p>
        </w:tc>
        <w:tc>
          <w:tcPr>
            <w:tcW w:w="2551" w:type="dxa"/>
            <w:vAlign w:val="center"/>
          </w:tcPr>
          <w:p>
            <w:pPr>
              <w:pStyle w:val="14"/>
            </w:pPr>
            <w:r>
              <w:t>≥0.95百分比</w:t>
            </w:r>
          </w:p>
        </w:tc>
        <w:tc>
          <w:tcPr>
            <w:tcW w:w="2268" w:type="dxa"/>
            <w:vAlign w:val="center"/>
          </w:tcPr>
          <w:p>
            <w:pPr>
              <w:pStyle w:val="14"/>
            </w:pPr>
            <w:r>
              <w:t>市人防办关于加快人防工程信息化建设的意见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提升率</w:t>
            </w:r>
          </w:p>
        </w:tc>
        <w:tc>
          <w:tcPr>
            <w:tcW w:w="2835" w:type="dxa"/>
            <w:vAlign w:val="center"/>
          </w:tcPr>
          <w:p>
            <w:pPr>
              <w:pStyle w:val="14"/>
            </w:pPr>
            <w:r>
              <w:t>提升率</w:t>
            </w:r>
          </w:p>
        </w:tc>
        <w:tc>
          <w:tcPr>
            <w:tcW w:w="2551" w:type="dxa"/>
            <w:vAlign w:val="center"/>
          </w:tcPr>
          <w:p>
            <w:pPr>
              <w:pStyle w:val="14"/>
            </w:pPr>
            <w:r>
              <w:t>≥0.95百分比</w:t>
            </w:r>
          </w:p>
        </w:tc>
        <w:tc>
          <w:tcPr>
            <w:tcW w:w="2268" w:type="dxa"/>
            <w:vAlign w:val="center"/>
          </w:tcPr>
          <w:p>
            <w:pPr>
              <w:pStyle w:val="14"/>
            </w:pPr>
            <w:r>
              <w:t>市人防办关于加快人防工程信息化建设的意见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满意程度</w:t>
            </w:r>
          </w:p>
        </w:tc>
        <w:tc>
          <w:tcPr>
            <w:tcW w:w="2835" w:type="dxa"/>
            <w:vAlign w:val="center"/>
          </w:tcPr>
          <w:p>
            <w:pPr>
              <w:pStyle w:val="14"/>
            </w:pPr>
            <w:r>
              <w:t>满意程度</w:t>
            </w:r>
          </w:p>
        </w:tc>
        <w:tc>
          <w:tcPr>
            <w:tcW w:w="2551" w:type="dxa"/>
            <w:vAlign w:val="center"/>
          </w:tcPr>
          <w:p>
            <w:pPr>
              <w:pStyle w:val="14"/>
            </w:pPr>
            <w:r>
              <w:t>≥0.95百分比</w:t>
            </w:r>
          </w:p>
        </w:tc>
        <w:tc>
          <w:tcPr>
            <w:tcW w:w="2268" w:type="dxa"/>
            <w:vAlign w:val="center"/>
          </w:tcPr>
          <w:p>
            <w:pPr>
              <w:pStyle w:val="14"/>
            </w:pPr>
            <w:r>
              <w:t>市人防办关于加快人防工程信息化建设的意见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6、地方志经费绩效目标表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1.2022年内实现《隆尧年鉴》公开出版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≥2人次</w:t>
            </w:r>
          </w:p>
        </w:tc>
        <w:tc>
          <w:tcPr>
            <w:tcW w:w="2268" w:type="dxa"/>
            <w:vAlign w:val="center"/>
          </w:tcPr>
          <w:p>
            <w:pPr>
              <w:pStyle w:val="14"/>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全民阅读率</w:t>
            </w:r>
          </w:p>
        </w:tc>
        <w:tc>
          <w:tcPr>
            <w:tcW w:w="2835" w:type="dxa"/>
            <w:vAlign w:val="center"/>
          </w:tcPr>
          <w:p>
            <w:pPr>
              <w:pStyle w:val="14"/>
            </w:pPr>
            <w:r>
              <w:t>全民阅读率</w:t>
            </w:r>
          </w:p>
        </w:tc>
        <w:tc>
          <w:tcPr>
            <w:tcW w:w="2551" w:type="dxa"/>
            <w:vAlign w:val="center"/>
          </w:tcPr>
          <w:p>
            <w:pPr>
              <w:pStyle w:val="14"/>
            </w:pPr>
            <w:r>
              <w:t>≥0.95百分比</w:t>
            </w:r>
          </w:p>
        </w:tc>
        <w:tc>
          <w:tcPr>
            <w:tcW w:w="2268" w:type="dxa"/>
            <w:vAlign w:val="center"/>
          </w:tcPr>
          <w:p>
            <w:pPr>
              <w:pStyle w:val="14"/>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p>
        </w:tc>
        <w:tc>
          <w:tcPr>
            <w:tcW w:w="2551" w:type="dxa"/>
            <w:vAlign w:val="center"/>
          </w:tcPr>
          <w:p>
            <w:pPr>
              <w:pStyle w:val="14"/>
            </w:pPr>
            <w:r>
              <w:t>≥0.95百分比</w:t>
            </w:r>
          </w:p>
        </w:tc>
        <w:tc>
          <w:tcPr>
            <w:tcW w:w="2268" w:type="dxa"/>
            <w:vAlign w:val="center"/>
          </w:tcPr>
          <w:p>
            <w:pPr>
              <w:pStyle w:val="14"/>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2835" w:type="dxa"/>
            <w:vAlign w:val="center"/>
          </w:tcPr>
          <w:p>
            <w:pPr>
              <w:pStyle w:val="14"/>
            </w:pPr>
            <w:r>
              <w:t>成本指标</w:t>
            </w:r>
          </w:p>
        </w:tc>
        <w:tc>
          <w:tcPr>
            <w:tcW w:w="2551" w:type="dxa"/>
            <w:vAlign w:val="center"/>
          </w:tcPr>
          <w:p>
            <w:pPr>
              <w:pStyle w:val="14"/>
            </w:pPr>
            <w:r>
              <w:t>≥0.95百分比</w:t>
            </w:r>
          </w:p>
        </w:tc>
        <w:tc>
          <w:tcPr>
            <w:tcW w:w="2268" w:type="dxa"/>
            <w:vAlign w:val="center"/>
          </w:tcPr>
          <w:p>
            <w:pPr>
              <w:pStyle w:val="14"/>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提升率</w:t>
            </w:r>
          </w:p>
        </w:tc>
        <w:tc>
          <w:tcPr>
            <w:tcW w:w="2835" w:type="dxa"/>
            <w:vAlign w:val="center"/>
          </w:tcPr>
          <w:p>
            <w:pPr>
              <w:pStyle w:val="14"/>
            </w:pPr>
            <w:r>
              <w:t>提升率</w:t>
            </w:r>
          </w:p>
        </w:tc>
        <w:tc>
          <w:tcPr>
            <w:tcW w:w="2551" w:type="dxa"/>
            <w:vAlign w:val="center"/>
          </w:tcPr>
          <w:p>
            <w:pPr>
              <w:pStyle w:val="14"/>
            </w:pPr>
            <w:r>
              <w:t>≥0.95百分比</w:t>
            </w:r>
          </w:p>
        </w:tc>
        <w:tc>
          <w:tcPr>
            <w:tcW w:w="2268" w:type="dxa"/>
            <w:vAlign w:val="center"/>
          </w:tcPr>
          <w:p>
            <w:pPr>
              <w:pStyle w:val="14"/>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群体满意度</w:t>
            </w:r>
          </w:p>
        </w:tc>
        <w:tc>
          <w:tcPr>
            <w:tcW w:w="2835" w:type="dxa"/>
            <w:vAlign w:val="center"/>
          </w:tcPr>
          <w:p>
            <w:pPr>
              <w:pStyle w:val="14"/>
            </w:pPr>
            <w:r>
              <w:t>群体满意度</w:t>
            </w:r>
          </w:p>
        </w:tc>
        <w:tc>
          <w:tcPr>
            <w:tcW w:w="2551" w:type="dxa"/>
            <w:vAlign w:val="center"/>
          </w:tcPr>
          <w:p>
            <w:pPr>
              <w:pStyle w:val="14"/>
            </w:pPr>
            <w:r>
              <w:t>≥0.95百分比</w:t>
            </w:r>
          </w:p>
        </w:tc>
        <w:tc>
          <w:tcPr>
            <w:tcW w:w="2268" w:type="dxa"/>
            <w:vAlign w:val="center"/>
          </w:tcPr>
          <w:p>
            <w:pPr>
              <w:pStyle w:val="14"/>
            </w:pPr>
            <w:r>
              <w:t>关于加快推进全省完成地方志“两全目标”任务的通知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7、督查调研绩效目标表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1.督查室督查和检查工作正常开展，主要对省市涉及我县重点工作和2023年度我县政府系统重点工作开展专项督查，完成年度国务院大督查迎检工作任务。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开展小型调研次数</w:t>
            </w:r>
          </w:p>
        </w:tc>
        <w:tc>
          <w:tcPr>
            <w:tcW w:w="2835" w:type="dxa"/>
            <w:vAlign w:val="center"/>
          </w:tcPr>
          <w:p>
            <w:pPr>
              <w:pStyle w:val="14"/>
            </w:pPr>
            <w:r>
              <w:t>开展小型调研次数</w:t>
            </w:r>
          </w:p>
        </w:tc>
        <w:tc>
          <w:tcPr>
            <w:tcW w:w="2551" w:type="dxa"/>
            <w:vAlign w:val="center"/>
          </w:tcPr>
          <w:p>
            <w:pPr>
              <w:pStyle w:val="14"/>
            </w:pPr>
            <w:r>
              <w:t>≥5次数</w:t>
            </w:r>
          </w:p>
        </w:tc>
        <w:tc>
          <w:tcPr>
            <w:tcW w:w="2268" w:type="dxa"/>
            <w:vAlign w:val="center"/>
          </w:tcPr>
          <w:p>
            <w:pPr>
              <w:pStyle w:val="14"/>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参会率</w:t>
            </w:r>
          </w:p>
        </w:tc>
        <w:tc>
          <w:tcPr>
            <w:tcW w:w="2835" w:type="dxa"/>
            <w:vAlign w:val="center"/>
          </w:tcPr>
          <w:p>
            <w:pPr>
              <w:pStyle w:val="14"/>
            </w:pPr>
            <w:r>
              <w:t>参会率</w:t>
            </w:r>
          </w:p>
        </w:tc>
        <w:tc>
          <w:tcPr>
            <w:tcW w:w="2551" w:type="dxa"/>
            <w:vAlign w:val="center"/>
          </w:tcPr>
          <w:p>
            <w:pPr>
              <w:pStyle w:val="14"/>
            </w:pPr>
            <w:r>
              <w:t>≥0.95百分比</w:t>
            </w:r>
          </w:p>
        </w:tc>
        <w:tc>
          <w:tcPr>
            <w:tcW w:w="2268" w:type="dxa"/>
            <w:vAlign w:val="center"/>
          </w:tcPr>
          <w:p>
            <w:pPr>
              <w:pStyle w:val="14"/>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≥0.95百分比</w:t>
            </w:r>
          </w:p>
        </w:tc>
        <w:tc>
          <w:tcPr>
            <w:tcW w:w="2268" w:type="dxa"/>
            <w:vAlign w:val="center"/>
          </w:tcPr>
          <w:p>
            <w:pPr>
              <w:pStyle w:val="14"/>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全年预算资金完成率</w:t>
            </w:r>
          </w:p>
        </w:tc>
        <w:tc>
          <w:tcPr>
            <w:tcW w:w="2835" w:type="dxa"/>
            <w:vAlign w:val="center"/>
          </w:tcPr>
          <w:p>
            <w:pPr>
              <w:pStyle w:val="14"/>
            </w:pPr>
            <w:r>
              <w:t>全年预算资金完成率</w:t>
            </w:r>
          </w:p>
        </w:tc>
        <w:tc>
          <w:tcPr>
            <w:tcW w:w="2551" w:type="dxa"/>
            <w:vAlign w:val="center"/>
          </w:tcPr>
          <w:p>
            <w:pPr>
              <w:pStyle w:val="14"/>
            </w:pPr>
            <w:r>
              <w:t>≥0.95百分比</w:t>
            </w:r>
          </w:p>
        </w:tc>
        <w:tc>
          <w:tcPr>
            <w:tcW w:w="2268" w:type="dxa"/>
            <w:vAlign w:val="center"/>
          </w:tcPr>
          <w:p>
            <w:pPr>
              <w:pStyle w:val="14"/>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案件处理效率</w:t>
            </w:r>
          </w:p>
        </w:tc>
        <w:tc>
          <w:tcPr>
            <w:tcW w:w="2835" w:type="dxa"/>
            <w:vAlign w:val="center"/>
          </w:tcPr>
          <w:p>
            <w:pPr>
              <w:pStyle w:val="14"/>
            </w:pPr>
            <w:r>
              <w:t>案件处理效率</w:t>
            </w:r>
          </w:p>
        </w:tc>
        <w:tc>
          <w:tcPr>
            <w:tcW w:w="2551" w:type="dxa"/>
            <w:vAlign w:val="center"/>
          </w:tcPr>
          <w:p>
            <w:pPr>
              <w:pStyle w:val="14"/>
            </w:pPr>
            <w:r>
              <w:t>≥0.95百分比</w:t>
            </w:r>
          </w:p>
        </w:tc>
        <w:tc>
          <w:tcPr>
            <w:tcW w:w="2268" w:type="dxa"/>
            <w:vAlign w:val="center"/>
          </w:tcPr>
          <w:p>
            <w:pPr>
              <w:pStyle w:val="14"/>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≥0.95百分比</w:t>
            </w:r>
          </w:p>
        </w:tc>
        <w:tc>
          <w:tcPr>
            <w:tcW w:w="2268" w:type="dxa"/>
            <w:vAlign w:val="center"/>
          </w:tcPr>
          <w:p>
            <w:pPr>
              <w:pStyle w:val="14"/>
            </w:pPr>
            <w:r>
              <w:t>国务院令（第733号）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8、金融办经费绩效目标表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1.提高综合业务水平；加大加强企业上市和处非知识宣传力度；提高工作效率等。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≥10数量</w:t>
            </w:r>
          </w:p>
        </w:tc>
        <w:tc>
          <w:tcPr>
            <w:tcW w:w="2268" w:type="dxa"/>
            <w:vAlign w:val="center"/>
          </w:tcPr>
          <w:p>
            <w:pPr>
              <w:pStyle w:val="14"/>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≥0.95百分比</w:t>
            </w:r>
          </w:p>
        </w:tc>
        <w:tc>
          <w:tcPr>
            <w:tcW w:w="2268" w:type="dxa"/>
            <w:vAlign w:val="center"/>
          </w:tcPr>
          <w:p>
            <w:pPr>
              <w:pStyle w:val="14"/>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按时完成率</w:t>
            </w:r>
          </w:p>
        </w:tc>
        <w:tc>
          <w:tcPr>
            <w:tcW w:w="2551" w:type="dxa"/>
            <w:vAlign w:val="center"/>
          </w:tcPr>
          <w:p>
            <w:pPr>
              <w:pStyle w:val="14"/>
            </w:pPr>
            <w:r>
              <w:t>≥0.95百分比</w:t>
            </w:r>
          </w:p>
        </w:tc>
        <w:tc>
          <w:tcPr>
            <w:tcW w:w="2268" w:type="dxa"/>
            <w:vAlign w:val="center"/>
          </w:tcPr>
          <w:p>
            <w:pPr>
              <w:pStyle w:val="14"/>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全年预算资金完成率</w:t>
            </w:r>
          </w:p>
        </w:tc>
        <w:tc>
          <w:tcPr>
            <w:tcW w:w="2835" w:type="dxa"/>
            <w:vAlign w:val="center"/>
          </w:tcPr>
          <w:p>
            <w:pPr>
              <w:pStyle w:val="14"/>
            </w:pPr>
            <w:r>
              <w:t>全年预算资金完成率</w:t>
            </w:r>
          </w:p>
        </w:tc>
        <w:tc>
          <w:tcPr>
            <w:tcW w:w="2551" w:type="dxa"/>
            <w:vAlign w:val="center"/>
          </w:tcPr>
          <w:p>
            <w:pPr>
              <w:pStyle w:val="14"/>
            </w:pPr>
            <w:r>
              <w:t>≥0.95百分比</w:t>
            </w:r>
          </w:p>
        </w:tc>
        <w:tc>
          <w:tcPr>
            <w:tcW w:w="2268" w:type="dxa"/>
            <w:vAlign w:val="center"/>
          </w:tcPr>
          <w:p>
            <w:pPr>
              <w:pStyle w:val="14"/>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≥0.95百分比</w:t>
            </w:r>
          </w:p>
        </w:tc>
        <w:tc>
          <w:tcPr>
            <w:tcW w:w="2268" w:type="dxa"/>
            <w:vAlign w:val="center"/>
          </w:tcPr>
          <w:p>
            <w:pPr>
              <w:pStyle w:val="14"/>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≥0.95百分比</w:t>
            </w:r>
          </w:p>
        </w:tc>
        <w:tc>
          <w:tcPr>
            <w:tcW w:w="2268" w:type="dxa"/>
            <w:vAlign w:val="center"/>
          </w:tcPr>
          <w:p>
            <w:pPr>
              <w:pStyle w:val="14"/>
            </w:pPr>
            <w:r>
              <w:t>邢台市企业上市挂牌工作考核办法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1.隆尧县政务服务便民热线有序开展。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≥20人次</w:t>
            </w:r>
          </w:p>
        </w:tc>
        <w:tc>
          <w:tcPr>
            <w:tcW w:w="2268" w:type="dxa"/>
            <w:vAlign w:val="center"/>
          </w:tcPr>
          <w:p>
            <w:pPr>
              <w:pStyle w:val="14"/>
            </w:pPr>
            <w:r>
              <w:t>劳务派遣经费2023年预算报告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群众来访接待率</w:t>
            </w:r>
          </w:p>
        </w:tc>
        <w:tc>
          <w:tcPr>
            <w:tcW w:w="2835" w:type="dxa"/>
            <w:vAlign w:val="center"/>
          </w:tcPr>
          <w:p>
            <w:pPr>
              <w:pStyle w:val="14"/>
            </w:pPr>
            <w:r>
              <w:t>群众来访接待率</w:t>
            </w:r>
          </w:p>
        </w:tc>
        <w:tc>
          <w:tcPr>
            <w:tcW w:w="2551" w:type="dxa"/>
            <w:vAlign w:val="center"/>
          </w:tcPr>
          <w:p>
            <w:pPr>
              <w:pStyle w:val="14"/>
            </w:pPr>
            <w:r>
              <w:t>≥0.95百分比</w:t>
            </w:r>
          </w:p>
        </w:tc>
        <w:tc>
          <w:tcPr>
            <w:tcW w:w="2268" w:type="dxa"/>
            <w:vAlign w:val="center"/>
          </w:tcPr>
          <w:p>
            <w:pPr>
              <w:pStyle w:val="14"/>
            </w:pPr>
            <w:r>
              <w:t>劳务派遣经费2023年预算报告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项目按时完成率</w:t>
            </w:r>
          </w:p>
        </w:tc>
        <w:tc>
          <w:tcPr>
            <w:tcW w:w="2551" w:type="dxa"/>
            <w:vAlign w:val="center"/>
          </w:tcPr>
          <w:p>
            <w:pPr>
              <w:pStyle w:val="14"/>
            </w:pPr>
            <w:r>
              <w:t>≥0.95百分比</w:t>
            </w:r>
          </w:p>
        </w:tc>
        <w:tc>
          <w:tcPr>
            <w:tcW w:w="2268" w:type="dxa"/>
            <w:vAlign w:val="center"/>
          </w:tcPr>
          <w:p>
            <w:pPr>
              <w:pStyle w:val="14"/>
            </w:pPr>
            <w:r>
              <w:t>劳务派遣经费2023年预算报告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2835" w:type="dxa"/>
            <w:vAlign w:val="center"/>
          </w:tcPr>
          <w:p>
            <w:pPr>
              <w:pStyle w:val="14"/>
            </w:pPr>
            <w:r>
              <w:t>项目资金支付率</w:t>
            </w:r>
          </w:p>
        </w:tc>
        <w:tc>
          <w:tcPr>
            <w:tcW w:w="2551" w:type="dxa"/>
            <w:vAlign w:val="center"/>
          </w:tcPr>
          <w:p>
            <w:pPr>
              <w:pStyle w:val="14"/>
            </w:pPr>
            <w:r>
              <w:t>≥0.95百分比</w:t>
            </w:r>
          </w:p>
        </w:tc>
        <w:tc>
          <w:tcPr>
            <w:tcW w:w="2268" w:type="dxa"/>
            <w:vAlign w:val="center"/>
          </w:tcPr>
          <w:p>
            <w:pPr>
              <w:pStyle w:val="14"/>
            </w:pPr>
            <w:r>
              <w:t>劳务派遣经费2023年预算报告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化解矛盾率(%)</w:t>
            </w:r>
          </w:p>
        </w:tc>
        <w:tc>
          <w:tcPr>
            <w:tcW w:w="2835" w:type="dxa"/>
            <w:vAlign w:val="center"/>
          </w:tcPr>
          <w:p>
            <w:pPr>
              <w:pStyle w:val="14"/>
            </w:pPr>
            <w:r>
              <w:t>化解矛盾率(%)</w:t>
            </w:r>
          </w:p>
        </w:tc>
        <w:tc>
          <w:tcPr>
            <w:tcW w:w="2551" w:type="dxa"/>
            <w:vAlign w:val="center"/>
          </w:tcPr>
          <w:p>
            <w:pPr>
              <w:pStyle w:val="14"/>
            </w:pPr>
            <w:r>
              <w:t>≥0.95百分比</w:t>
            </w:r>
          </w:p>
        </w:tc>
        <w:tc>
          <w:tcPr>
            <w:tcW w:w="2268" w:type="dxa"/>
            <w:vAlign w:val="center"/>
          </w:tcPr>
          <w:p>
            <w:pPr>
              <w:pStyle w:val="14"/>
            </w:pPr>
            <w:r>
              <w:t>劳务派遣经费2023年预算报告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≥0.95百分比</w:t>
            </w:r>
          </w:p>
        </w:tc>
        <w:tc>
          <w:tcPr>
            <w:tcW w:w="2268" w:type="dxa"/>
            <w:vAlign w:val="center"/>
          </w:tcPr>
          <w:p>
            <w:pPr>
              <w:pStyle w:val="14"/>
            </w:pPr>
            <w:r>
              <w:t>劳务派遣经费2023年预算报告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10、政府办专项公用经费绩效目标表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1.突出政务、加强事务、提升服务，力求重点工作出精品，难点工作求突破、基础工作有创新、常规工作见特色。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≥0.95百分比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群体性事件成功处置率（%）</w:t>
            </w:r>
          </w:p>
        </w:tc>
        <w:tc>
          <w:tcPr>
            <w:tcW w:w="2835" w:type="dxa"/>
            <w:vAlign w:val="center"/>
          </w:tcPr>
          <w:p>
            <w:pPr>
              <w:pStyle w:val="14"/>
            </w:pPr>
            <w:r>
              <w:t>群体性事件成功处置率（%）</w:t>
            </w:r>
          </w:p>
        </w:tc>
        <w:tc>
          <w:tcPr>
            <w:tcW w:w="2551" w:type="dxa"/>
            <w:vAlign w:val="center"/>
          </w:tcPr>
          <w:p>
            <w:pPr>
              <w:pStyle w:val="14"/>
            </w:pPr>
            <w:r>
              <w:t>≥0.95百分比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≥0.95百分比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t>≥0.95百分比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≥0.95百分比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≥0.95百分比</w:t>
            </w:r>
          </w:p>
        </w:tc>
        <w:tc>
          <w:tcPr>
            <w:tcW w:w="2268" w:type="dxa"/>
            <w:vAlign w:val="center"/>
          </w:tcPr>
          <w:p>
            <w:pPr>
              <w:pStyle w:val="14"/>
            </w:pPr>
            <w:r>
              <w:t>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11、政务公开办经费绩效目标表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1.政府门户网站、信息公开平台及政务外网维护完成率达到优质水平，确保做好全县政务公开工作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门户网维护好评量</w:t>
            </w:r>
          </w:p>
        </w:tc>
        <w:tc>
          <w:tcPr>
            <w:tcW w:w="2835" w:type="dxa"/>
            <w:vAlign w:val="center"/>
          </w:tcPr>
          <w:p>
            <w:pPr>
              <w:pStyle w:val="14"/>
            </w:pPr>
            <w:r>
              <w:t>门户网维护好评量</w:t>
            </w:r>
          </w:p>
        </w:tc>
        <w:tc>
          <w:tcPr>
            <w:tcW w:w="2551" w:type="dxa"/>
            <w:vAlign w:val="center"/>
          </w:tcPr>
          <w:p>
            <w:pPr>
              <w:pStyle w:val="14"/>
            </w:pPr>
            <w:r>
              <w:t>≥1000数量</w:t>
            </w:r>
          </w:p>
        </w:tc>
        <w:tc>
          <w:tcPr>
            <w:tcW w:w="2268" w:type="dxa"/>
            <w:vAlign w:val="center"/>
          </w:tcPr>
          <w:p>
            <w:pPr>
              <w:pStyle w:val="14"/>
            </w:pPr>
            <w:r>
              <w:t>规范政府网站信息发布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合格率</w:t>
            </w:r>
          </w:p>
        </w:tc>
        <w:tc>
          <w:tcPr>
            <w:tcW w:w="2551" w:type="dxa"/>
            <w:vAlign w:val="center"/>
          </w:tcPr>
          <w:p>
            <w:pPr>
              <w:pStyle w:val="14"/>
            </w:pPr>
            <w:r>
              <w:t>≥0.95百分比</w:t>
            </w:r>
          </w:p>
        </w:tc>
        <w:tc>
          <w:tcPr>
            <w:tcW w:w="2268" w:type="dxa"/>
            <w:vAlign w:val="center"/>
          </w:tcPr>
          <w:p>
            <w:pPr>
              <w:pStyle w:val="14"/>
            </w:pPr>
            <w:r>
              <w:t>规范政府网站信息发布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按时完成率</w:t>
            </w:r>
          </w:p>
        </w:tc>
        <w:tc>
          <w:tcPr>
            <w:tcW w:w="2551" w:type="dxa"/>
            <w:vAlign w:val="center"/>
          </w:tcPr>
          <w:p>
            <w:pPr>
              <w:pStyle w:val="14"/>
            </w:pPr>
            <w:r>
              <w:t>≥0.95百分比</w:t>
            </w:r>
          </w:p>
        </w:tc>
        <w:tc>
          <w:tcPr>
            <w:tcW w:w="2268" w:type="dxa"/>
            <w:vAlign w:val="center"/>
          </w:tcPr>
          <w:p>
            <w:pPr>
              <w:pStyle w:val="14"/>
            </w:pPr>
            <w:r>
              <w:t>规范政府网站信息发布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检验成本率</w:t>
            </w:r>
          </w:p>
        </w:tc>
        <w:tc>
          <w:tcPr>
            <w:tcW w:w="2835" w:type="dxa"/>
            <w:vAlign w:val="center"/>
          </w:tcPr>
          <w:p>
            <w:pPr>
              <w:pStyle w:val="14"/>
            </w:pPr>
            <w:r>
              <w:t>检验成本率</w:t>
            </w:r>
          </w:p>
        </w:tc>
        <w:tc>
          <w:tcPr>
            <w:tcW w:w="2551" w:type="dxa"/>
            <w:vAlign w:val="center"/>
          </w:tcPr>
          <w:p>
            <w:pPr>
              <w:pStyle w:val="14"/>
            </w:pPr>
            <w:r>
              <w:t>≥0.95百分比</w:t>
            </w:r>
          </w:p>
        </w:tc>
        <w:tc>
          <w:tcPr>
            <w:tcW w:w="2268" w:type="dxa"/>
            <w:vAlign w:val="center"/>
          </w:tcPr>
          <w:p>
            <w:pPr>
              <w:pStyle w:val="14"/>
            </w:pPr>
            <w:r>
              <w:t>规范政府网站信息发布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提供优质服务</w:t>
            </w:r>
          </w:p>
        </w:tc>
        <w:tc>
          <w:tcPr>
            <w:tcW w:w="2835" w:type="dxa"/>
            <w:vAlign w:val="center"/>
          </w:tcPr>
          <w:p>
            <w:pPr>
              <w:pStyle w:val="14"/>
            </w:pPr>
            <w:r>
              <w:t>提供优质服务</w:t>
            </w:r>
          </w:p>
        </w:tc>
        <w:tc>
          <w:tcPr>
            <w:tcW w:w="2551" w:type="dxa"/>
            <w:vAlign w:val="center"/>
          </w:tcPr>
          <w:p>
            <w:pPr>
              <w:pStyle w:val="14"/>
            </w:pPr>
            <w:r>
              <w:t>≥0.95百分比</w:t>
            </w:r>
          </w:p>
        </w:tc>
        <w:tc>
          <w:tcPr>
            <w:tcW w:w="2268" w:type="dxa"/>
            <w:vAlign w:val="center"/>
          </w:tcPr>
          <w:p>
            <w:pPr>
              <w:pStyle w:val="14"/>
            </w:pPr>
            <w:r>
              <w:t>规范政府网站信息发布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≥0.95百分比</w:t>
            </w:r>
          </w:p>
        </w:tc>
        <w:tc>
          <w:tcPr>
            <w:tcW w:w="2268" w:type="dxa"/>
            <w:vAlign w:val="center"/>
          </w:tcPr>
          <w:p>
            <w:pPr>
              <w:pStyle w:val="14"/>
            </w:pPr>
            <w:r>
              <w:t>规范政府网站信息发布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12、智慧中心经费绩效目标表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1.通过“数字隆尧”建设，将信息技术与服务体系引入到基层治理，公共安全、城市管理等领域，迅速提升城市功能和管理现代化水平，实现各部门的业务协同，真正打算整体服务型政府。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≥3人次</w:t>
            </w:r>
          </w:p>
        </w:tc>
        <w:tc>
          <w:tcPr>
            <w:tcW w:w="2268" w:type="dxa"/>
            <w:vAlign w:val="center"/>
          </w:tcPr>
          <w:p>
            <w:pPr>
              <w:pStyle w:val="14"/>
            </w:pPr>
            <w:r>
              <w:t>2023年度预算报告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≥0.95百分比</w:t>
            </w:r>
          </w:p>
        </w:tc>
        <w:tc>
          <w:tcPr>
            <w:tcW w:w="2268" w:type="dxa"/>
            <w:vAlign w:val="center"/>
          </w:tcPr>
          <w:p>
            <w:pPr>
              <w:pStyle w:val="14"/>
            </w:pPr>
            <w:r>
              <w:t>2023年度预算报告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资金在规定时间内下达率</w:t>
            </w:r>
          </w:p>
        </w:tc>
        <w:tc>
          <w:tcPr>
            <w:tcW w:w="2835" w:type="dxa"/>
            <w:vAlign w:val="center"/>
          </w:tcPr>
          <w:p>
            <w:pPr>
              <w:pStyle w:val="14"/>
            </w:pPr>
            <w:r>
              <w:t>资金在规定时间内下达率</w:t>
            </w:r>
          </w:p>
        </w:tc>
        <w:tc>
          <w:tcPr>
            <w:tcW w:w="2551" w:type="dxa"/>
            <w:vAlign w:val="center"/>
          </w:tcPr>
          <w:p>
            <w:pPr>
              <w:pStyle w:val="14"/>
            </w:pPr>
            <w:r>
              <w:t>≥0.95百分比</w:t>
            </w:r>
          </w:p>
        </w:tc>
        <w:tc>
          <w:tcPr>
            <w:tcW w:w="2268" w:type="dxa"/>
            <w:vAlign w:val="center"/>
          </w:tcPr>
          <w:p>
            <w:pPr>
              <w:pStyle w:val="14"/>
            </w:pPr>
            <w:r>
              <w:t>2023年度预算报告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t>≥0.95百分比</w:t>
            </w:r>
          </w:p>
        </w:tc>
        <w:tc>
          <w:tcPr>
            <w:tcW w:w="2268" w:type="dxa"/>
            <w:vAlign w:val="center"/>
          </w:tcPr>
          <w:p>
            <w:pPr>
              <w:pStyle w:val="14"/>
            </w:pPr>
            <w:r>
              <w:t>2023年度预算报告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项目完成率</w:t>
            </w:r>
          </w:p>
        </w:tc>
        <w:tc>
          <w:tcPr>
            <w:tcW w:w="2835" w:type="dxa"/>
            <w:vAlign w:val="center"/>
          </w:tcPr>
          <w:p>
            <w:pPr>
              <w:pStyle w:val="14"/>
            </w:pPr>
            <w:r>
              <w:t>项目完成率</w:t>
            </w:r>
          </w:p>
        </w:tc>
        <w:tc>
          <w:tcPr>
            <w:tcW w:w="2551" w:type="dxa"/>
            <w:vAlign w:val="center"/>
          </w:tcPr>
          <w:p>
            <w:pPr>
              <w:pStyle w:val="14"/>
            </w:pPr>
            <w:r>
              <w:t>≥0.95百分比</w:t>
            </w:r>
          </w:p>
        </w:tc>
        <w:tc>
          <w:tcPr>
            <w:tcW w:w="2268" w:type="dxa"/>
            <w:vAlign w:val="center"/>
          </w:tcPr>
          <w:p>
            <w:pPr>
              <w:pStyle w:val="14"/>
            </w:pPr>
            <w:r>
              <w:t>2023年度预算报告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≥0.95百分比</w:t>
            </w:r>
          </w:p>
        </w:tc>
        <w:tc>
          <w:tcPr>
            <w:tcW w:w="2268" w:type="dxa"/>
            <w:vAlign w:val="center"/>
          </w:tcPr>
          <w:p>
            <w:pPr>
              <w:pStyle w:val="14"/>
            </w:pPr>
            <w:r>
              <w:t>2023年度预算报告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13、综合治税经费绩效目标表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 一是持续加大政策宣讲力度，督导稳经济、减费降税政策落实，确保应减尽减，切实保障和激发市场主体活力。二是大力实施综合治税，完善涉税信息平台，整合部门涉税信息，健全税源台账，加强信息比对分析，精准开展以电控税、以地控税等专项清理，营造公平税收环境，促进行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≥10人次</w:t>
            </w:r>
          </w:p>
        </w:tc>
        <w:tc>
          <w:tcPr>
            <w:tcW w:w="2268" w:type="dxa"/>
            <w:vAlign w:val="center"/>
          </w:tcPr>
          <w:p>
            <w:pPr>
              <w:pStyle w:val="14"/>
            </w:pPr>
            <w:r>
              <w:t>省政府办公室关于做好推动1+20稳定经济运行一揽子政策落地工作的通知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≥0.95百分比</w:t>
            </w:r>
          </w:p>
        </w:tc>
        <w:tc>
          <w:tcPr>
            <w:tcW w:w="2268" w:type="dxa"/>
            <w:vAlign w:val="center"/>
          </w:tcPr>
          <w:p>
            <w:pPr>
              <w:pStyle w:val="14"/>
            </w:pPr>
            <w:r>
              <w:t>省政府办公室关于做好推动1+20稳定经济运行一揽子政策落地工作的通知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≥0.95百分比</w:t>
            </w:r>
          </w:p>
        </w:tc>
        <w:tc>
          <w:tcPr>
            <w:tcW w:w="2268" w:type="dxa"/>
            <w:vAlign w:val="center"/>
          </w:tcPr>
          <w:p>
            <w:pPr>
              <w:pStyle w:val="14"/>
            </w:pPr>
            <w:r>
              <w:t>省政府办公室关于做好推动1+20稳定经济运行一揽子政策落地工作的通知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按总成本控制</w:t>
            </w:r>
          </w:p>
        </w:tc>
        <w:tc>
          <w:tcPr>
            <w:tcW w:w="2835" w:type="dxa"/>
            <w:vAlign w:val="center"/>
          </w:tcPr>
          <w:p>
            <w:pPr>
              <w:pStyle w:val="14"/>
            </w:pPr>
            <w:r>
              <w:t>按总成本控制</w:t>
            </w:r>
          </w:p>
        </w:tc>
        <w:tc>
          <w:tcPr>
            <w:tcW w:w="2551" w:type="dxa"/>
            <w:vAlign w:val="center"/>
          </w:tcPr>
          <w:p>
            <w:pPr>
              <w:pStyle w:val="14"/>
            </w:pPr>
            <w:r>
              <w:t>≥0.95百分比</w:t>
            </w:r>
          </w:p>
        </w:tc>
        <w:tc>
          <w:tcPr>
            <w:tcW w:w="2268" w:type="dxa"/>
            <w:vAlign w:val="center"/>
          </w:tcPr>
          <w:p>
            <w:pPr>
              <w:pStyle w:val="14"/>
            </w:pPr>
            <w:r>
              <w:t>省政府办公室关于做好推动1+20稳定经济运行一揽子政策落地工作的通知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≥0.95百分比</w:t>
            </w:r>
          </w:p>
        </w:tc>
        <w:tc>
          <w:tcPr>
            <w:tcW w:w="2268" w:type="dxa"/>
            <w:vAlign w:val="center"/>
          </w:tcPr>
          <w:p>
            <w:pPr>
              <w:pStyle w:val="14"/>
            </w:pPr>
            <w:r>
              <w:t>省政府办公室关于做好推动1+20稳定经济运行一揽子政策落地工作的通知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≥0.95百分比</w:t>
            </w:r>
          </w:p>
        </w:tc>
        <w:tc>
          <w:tcPr>
            <w:tcW w:w="2268" w:type="dxa"/>
            <w:vAlign w:val="center"/>
          </w:tcPr>
          <w:p>
            <w:pPr>
              <w:pStyle w:val="14"/>
            </w:pPr>
            <w:r>
              <w:t>省政府办公室关于做好推动1+20稳定经济运行一揽子政策落地工作的通知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2023年，隆尧县人民政府办公室本级安排政府采购预算</w:t>
      </w:r>
      <w:r>
        <w:rPr>
          <w:rFonts w:hint="eastAsia" w:eastAsia="方正仿宋_GBK" w:cs="Times New Roman"/>
          <w:b w:val="0"/>
          <w:color w:val="000000"/>
          <w:sz w:val="28"/>
          <w:lang w:val="en-US" w:eastAsia="zh-CN"/>
        </w:rPr>
        <w:t>141.15</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434001隆尧县人民政府办公室本级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rPr>
                <w:rFonts w:hint="default" w:eastAsia="方正书宋_GBK"/>
                <w:lang w:val="en-US" w:eastAsia="zh-CN"/>
              </w:rPr>
            </w:pPr>
            <w:r>
              <w:rPr>
                <w:rFonts w:hint="eastAsia"/>
                <w:lang w:val="en-US" w:eastAsia="zh-CN"/>
              </w:rPr>
              <w:t>141.15</w:t>
            </w:r>
          </w:p>
        </w:tc>
        <w:tc>
          <w:tcPr>
            <w:tcW w:w="964" w:type="dxa"/>
            <w:vAlign w:val="center"/>
          </w:tcPr>
          <w:p>
            <w:pPr>
              <w:pStyle w:val="17"/>
              <w:rPr>
                <w:rFonts w:hint="default" w:eastAsia="方正书宋_GBK"/>
                <w:lang w:val="en-US" w:eastAsia="zh-CN"/>
              </w:rPr>
            </w:pPr>
            <w:r>
              <w:rPr>
                <w:rFonts w:hint="eastAsia"/>
                <w:lang w:val="en-US" w:eastAsia="zh-CN"/>
              </w:rPr>
              <w:t>141.15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rPr>
                <w:rFonts w:hint="default" w:eastAsia="方正书宋_GBK"/>
                <w:lang w:val="en-US" w:eastAsia="zh-CN"/>
              </w:rPr>
            </w:pPr>
            <w:r>
              <w:rPr>
                <w:rFonts w:hint="eastAsia"/>
                <w:lang w:val="en-US" w:eastAsia="zh-CN"/>
              </w:rPr>
              <w:t>141.15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隆尧县人民政府办公室本级小计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rPr>
                <w:rFonts w:hint="default" w:eastAsia="方正书宋_GBK"/>
                <w:lang w:val="en-US" w:eastAsia="zh-CN"/>
              </w:rPr>
            </w:pPr>
            <w:r>
              <w:rPr>
                <w:rFonts w:hint="eastAsia"/>
                <w:lang w:val="en-US" w:eastAsia="zh-CN"/>
              </w:rPr>
              <w:t>141.15</w:t>
            </w:r>
          </w:p>
        </w:tc>
        <w:tc>
          <w:tcPr>
            <w:tcW w:w="964" w:type="dxa"/>
            <w:vAlign w:val="center"/>
          </w:tcPr>
          <w:p>
            <w:pPr>
              <w:pStyle w:val="17"/>
              <w:rPr>
                <w:rFonts w:hint="default" w:eastAsia="方正书宋_GBK"/>
                <w:lang w:val="en-US" w:eastAsia="zh-CN"/>
              </w:rPr>
            </w:pPr>
            <w:r>
              <w:rPr>
                <w:rFonts w:hint="eastAsia"/>
                <w:lang w:val="en-US" w:eastAsia="zh-CN"/>
              </w:rPr>
              <w:t>141.15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rPr>
                <w:rFonts w:hint="default" w:eastAsia="方正书宋_GBK"/>
                <w:lang w:val="en-US" w:eastAsia="zh-CN"/>
              </w:rPr>
            </w:pPr>
            <w:r>
              <w:rPr>
                <w:rFonts w:hint="eastAsia"/>
                <w:lang w:val="en-US" w:eastAsia="zh-CN"/>
              </w:rPr>
              <w:t>141.15</w:t>
            </w:r>
            <w:bookmarkStart w:id="1" w:name="_GoBack"/>
            <w:bookmarkEnd w:id="1"/>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59.20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9.53</w:t>
            </w:r>
          </w:p>
        </w:tc>
        <w:tc>
          <w:tcPr>
            <w:tcW w:w="964" w:type="dxa"/>
            <w:vAlign w:val="center"/>
          </w:tcPr>
          <w:p>
            <w:pPr>
              <w:pStyle w:val="13"/>
            </w:pPr>
            <w:r>
              <w:t>9.53</w:t>
            </w:r>
          </w:p>
        </w:tc>
        <w:tc>
          <w:tcPr>
            <w:tcW w:w="964" w:type="dxa"/>
            <w:vAlign w:val="center"/>
          </w:tcPr>
          <w:p>
            <w:pPr>
              <w:pStyle w:val="13"/>
            </w:pPr>
            <w:r>
              <w:t>9.53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办案补助/人防办经费</w:t>
            </w:r>
          </w:p>
        </w:tc>
        <w:tc>
          <w:tcPr>
            <w:tcW w:w="964" w:type="dxa"/>
            <w:vAlign w:val="center"/>
          </w:tcPr>
          <w:p>
            <w:pPr>
              <w:pStyle w:val="13"/>
            </w:pPr>
            <w:r>
              <w:t>1.20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办案补助/县人防工程信息化管理平台建设项目</w:t>
            </w:r>
          </w:p>
        </w:tc>
        <w:tc>
          <w:tcPr>
            <w:tcW w:w="964" w:type="dxa"/>
            <w:vAlign w:val="center"/>
          </w:tcPr>
          <w:p>
            <w:pPr>
              <w:pStyle w:val="13"/>
            </w:pPr>
            <w:r>
              <w:t>50.00</w:t>
            </w:r>
          </w:p>
        </w:tc>
        <w:tc>
          <w:tcPr>
            <w:tcW w:w="1134" w:type="dxa"/>
            <w:vAlign w:val="center"/>
          </w:tcPr>
          <w:p>
            <w:pPr>
              <w:pStyle w:val="14"/>
            </w:pPr>
            <w:r>
              <w:t>软件运维服务</w:t>
            </w:r>
          </w:p>
        </w:tc>
        <w:tc>
          <w:tcPr>
            <w:tcW w:w="1134" w:type="dxa"/>
            <w:vAlign w:val="center"/>
          </w:tcPr>
          <w:p>
            <w:pPr>
              <w:pStyle w:val="14"/>
            </w:pPr>
            <w:r>
              <w:t>C16070300</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50.00</w:t>
            </w:r>
          </w:p>
        </w:tc>
        <w:tc>
          <w:tcPr>
            <w:tcW w:w="964"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地方志经费</w:t>
            </w:r>
          </w:p>
        </w:tc>
        <w:tc>
          <w:tcPr>
            <w:tcW w:w="964" w:type="dxa"/>
            <w:vAlign w:val="center"/>
          </w:tcPr>
          <w:p>
            <w:pPr>
              <w:pStyle w:val="13"/>
            </w:pPr>
            <w:r>
              <w:t>6.30</w:t>
            </w:r>
          </w:p>
        </w:tc>
        <w:tc>
          <w:tcPr>
            <w:tcW w:w="1134" w:type="dxa"/>
            <w:vAlign w:val="center"/>
          </w:tcPr>
          <w:p>
            <w:pPr>
              <w:pStyle w:val="14"/>
            </w:pPr>
            <w:r>
              <w:t>出版服务</w:t>
            </w:r>
          </w:p>
        </w:tc>
        <w:tc>
          <w:tcPr>
            <w:tcW w:w="1134" w:type="dxa"/>
            <w:vAlign w:val="center"/>
          </w:tcPr>
          <w:p>
            <w:pPr>
              <w:pStyle w:val="14"/>
            </w:pPr>
            <w:r>
              <w:t>C23090200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督查调研</w:t>
            </w:r>
          </w:p>
        </w:tc>
        <w:tc>
          <w:tcPr>
            <w:tcW w:w="964" w:type="dxa"/>
            <w:vAlign w:val="center"/>
          </w:tcPr>
          <w:p>
            <w:pPr>
              <w:pStyle w:val="13"/>
            </w:pPr>
            <w:r>
              <w:t>3.20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1.80</w:t>
            </w:r>
          </w:p>
        </w:tc>
        <w:tc>
          <w:tcPr>
            <w:tcW w:w="964" w:type="dxa"/>
            <w:vAlign w:val="center"/>
          </w:tcPr>
          <w:p>
            <w:pPr>
              <w:pStyle w:val="13"/>
            </w:pPr>
            <w:r>
              <w:t>1.80</w:t>
            </w:r>
          </w:p>
        </w:tc>
        <w:tc>
          <w:tcPr>
            <w:tcW w:w="964" w:type="dxa"/>
            <w:vAlign w:val="center"/>
          </w:tcPr>
          <w:p>
            <w:pPr>
              <w:pStyle w:val="13"/>
            </w:pPr>
            <w:r>
              <w:t>1.80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金融办经费</w:t>
            </w:r>
          </w:p>
        </w:tc>
        <w:tc>
          <w:tcPr>
            <w:tcW w:w="964" w:type="dxa"/>
            <w:vAlign w:val="center"/>
          </w:tcPr>
          <w:p>
            <w:pPr>
              <w:pStyle w:val="13"/>
            </w:pPr>
            <w:r>
              <w:t>6.00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政府办专项公用经费</w:t>
            </w:r>
          </w:p>
        </w:tc>
        <w:tc>
          <w:tcPr>
            <w:tcW w:w="964" w:type="dxa"/>
            <w:vAlign w:val="center"/>
          </w:tcPr>
          <w:p>
            <w:pPr>
              <w:pStyle w:val="13"/>
            </w:pPr>
            <w:r>
              <w:t>85.85</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政务公开办经费</w:t>
            </w:r>
          </w:p>
        </w:tc>
        <w:tc>
          <w:tcPr>
            <w:tcW w:w="964" w:type="dxa"/>
            <w:vAlign w:val="center"/>
          </w:tcPr>
          <w:p>
            <w:pPr>
              <w:pStyle w:val="13"/>
            </w:pPr>
            <w:r>
              <w:t>37.00</w:t>
            </w:r>
          </w:p>
        </w:tc>
        <w:tc>
          <w:tcPr>
            <w:tcW w:w="1134" w:type="dxa"/>
            <w:vAlign w:val="center"/>
          </w:tcPr>
          <w:p>
            <w:pPr>
              <w:pStyle w:val="14"/>
            </w:pPr>
            <w:r>
              <w:t>软件运维服务</w:t>
            </w:r>
          </w:p>
        </w:tc>
        <w:tc>
          <w:tcPr>
            <w:tcW w:w="1134" w:type="dxa"/>
            <w:vAlign w:val="center"/>
          </w:tcPr>
          <w:p>
            <w:pPr>
              <w:pStyle w:val="14"/>
            </w:pPr>
            <w:r>
              <w:t>C16070300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36.00</w:t>
            </w:r>
          </w:p>
        </w:tc>
        <w:tc>
          <w:tcPr>
            <w:tcW w:w="964" w:type="dxa"/>
            <w:vAlign w:val="center"/>
          </w:tcPr>
          <w:p>
            <w:pPr>
              <w:pStyle w:val="13"/>
            </w:pPr>
            <w:r>
              <w:t>36.00</w:t>
            </w:r>
          </w:p>
        </w:tc>
        <w:tc>
          <w:tcPr>
            <w:tcW w:w="964" w:type="dxa"/>
            <w:vAlign w:val="center"/>
          </w:tcPr>
          <w:p>
            <w:pPr>
              <w:pStyle w:val="13"/>
            </w:pPr>
            <w:r>
              <w:t>36.00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智慧中心经费</w:t>
            </w:r>
          </w:p>
        </w:tc>
        <w:tc>
          <w:tcPr>
            <w:tcW w:w="964" w:type="dxa"/>
            <w:vAlign w:val="center"/>
          </w:tcPr>
          <w:p>
            <w:pPr>
              <w:pStyle w:val="13"/>
            </w:pPr>
            <w:r>
              <w:t>36.20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综合治税经费</w:t>
            </w:r>
          </w:p>
        </w:tc>
        <w:tc>
          <w:tcPr>
            <w:tcW w:w="964" w:type="dxa"/>
            <w:vAlign w:val="center"/>
          </w:tcPr>
          <w:p>
            <w:pPr>
              <w:pStyle w:val="13"/>
            </w:pPr>
            <w:r>
              <w:t>4.20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1.32</w:t>
            </w:r>
          </w:p>
        </w:tc>
        <w:tc>
          <w:tcPr>
            <w:tcW w:w="964" w:type="dxa"/>
            <w:vAlign w:val="center"/>
          </w:tcPr>
          <w:p>
            <w:pPr>
              <w:pStyle w:val="13"/>
            </w:pPr>
            <w:r>
              <w:t>1.32</w:t>
            </w:r>
          </w:p>
        </w:tc>
        <w:tc>
          <w:tcPr>
            <w:tcW w:w="964" w:type="dxa"/>
            <w:vAlign w:val="center"/>
          </w:tcPr>
          <w:p>
            <w:pPr>
              <w:pStyle w:val="13"/>
            </w:pPr>
            <w:r>
              <w:t>1.32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ind w:firstLine="0" w:firstLineChars="0"/>
            </w:pPr>
            <w:r>
              <w:rPr>
                <w:rFonts w:hint="eastAsia"/>
                <w:lang w:eastAsia="zh-CN"/>
              </w:rPr>
              <w:t>政府办专项公用经费</w:t>
            </w:r>
          </w:p>
        </w:tc>
        <w:tc>
          <w:tcPr>
            <w:tcW w:w="964" w:type="dxa"/>
            <w:vAlign w:val="center"/>
          </w:tcPr>
          <w:p>
            <w:pPr>
              <w:pStyle w:val="13"/>
              <w:ind w:firstLine="0" w:firstLineChars="0"/>
            </w:pPr>
            <w:r>
              <w:rPr>
                <w:rFonts w:hint="eastAsia"/>
                <w:lang w:val="en-US" w:eastAsia="zh-CN"/>
              </w:rPr>
              <w:t>2</w:t>
            </w:r>
          </w:p>
        </w:tc>
        <w:tc>
          <w:tcPr>
            <w:tcW w:w="1134" w:type="dxa"/>
            <w:vAlign w:val="center"/>
          </w:tcPr>
          <w:p>
            <w:pPr>
              <w:pStyle w:val="14"/>
              <w:ind w:firstLine="0" w:firstLineChars="0"/>
            </w:pPr>
            <w:r>
              <w:rPr>
                <w:rFonts w:hint="eastAsia"/>
                <w:lang w:val="en-US" w:eastAsia="zh-CN"/>
              </w:rPr>
              <w:t>台式计算机</w:t>
            </w:r>
          </w:p>
        </w:tc>
        <w:tc>
          <w:tcPr>
            <w:tcW w:w="1134" w:type="dxa"/>
            <w:vAlign w:val="center"/>
          </w:tcPr>
          <w:p>
            <w:pPr>
              <w:pStyle w:val="14"/>
              <w:ind w:firstLine="0" w:firstLineChars="0"/>
            </w:pPr>
            <w:r>
              <w:rPr>
                <w:rFonts w:hint="eastAsia"/>
                <w:lang w:val="en-US" w:eastAsia="zh-CN"/>
              </w:rPr>
              <w:t>A02</w:t>
            </w:r>
          </w:p>
        </w:tc>
        <w:tc>
          <w:tcPr>
            <w:tcW w:w="709" w:type="dxa"/>
            <w:vAlign w:val="center"/>
          </w:tcPr>
          <w:p>
            <w:pPr>
              <w:pStyle w:val="15"/>
              <w:ind w:firstLine="210" w:firstLineChars="100"/>
              <w:jc w:val="both"/>
            </w:pPr>
            <w:r>
              <w:rPr>
                <w:rFonts w:hint="eastAsia"/>
                <w:lang w:val="en-US" w:eastAsia="zh-CN"/>
              </w:rPr>
              <w:t>台</w:t>
            </w:r>
          </w:p>
        </w:tc>
        <w:tc>
          <w:tcPr>
            <w:tcW w:w="850" w:type="dxa"/>
            <w:vAlign w:val="center"/>
          </w:tcPr>
          <w:p>
            <w:pPr>
              <w:pStyle w:val="13"/>
              <w:ind w:firstLine="0" w:firstLineChars="0"/>
            </w:pPr>
            <w:r>
              <w:rPr>
                <w:rFonts w:hint="eastAsia"/>
                <w:lang w:val="en-US" w:eastAsia="zh-CN"/>
              </w:rPr>
              <w:t>4</w:t>
            </w:r>
          </w:p>
        </w:tc>
        <w:tc>
          <w:tcPr>
            <w:tcW w:w="850" w:type="dxa"/>
            <w:vAlign w:val="center"/>
          </w:tcPr>
          <w:p>
            <w:pPr>
              <w:pStyle w:val="13"/>
              <w:ind w:firstLine="0" w:firstLineChars="0"/>
            </w:pPr>
            <w:r>
              <w:rPr>
                <w:rFonts w:hint="eastAsia"/>
                <w:lang w:val="en-US" w:eastAsia="zh-CN"/>
              </w:rPr>
              <w:t>0.5</w:t>
            </w:r>
          </w:p>
        </w:tc>
        <w:tc>
          <w:tcPr>
            <w:tcW w:w="964" w:type="dxa"/>
            <w:vAlign w:val="center"/>
          </w:tcPr>
          <w:p>
            <w:pPr>
              <w:pStyle w:val="13"/>
              <w:ind w:firstLine="0" w:firstLineChars="0"/>
            </w:pPr>
            <w:r>
              <w:rPr>
                <w:rFonts w:hint="eastAsia"/>
                <w:lang w:val="en-US" w:eastAsia="zh-CN"/>
              </w:rPr>
              <w:t>2</w:t>
            </w:r>
          </w:p>
        </w:tc>
        <w:tc>
          <w:tcPr>
            <w:tcW w:w="964" w:type="dxa"/>
            <w:vAlign w:val="center"/>
          </w:tcPr>
          <w:p>
            <w:pPr>
              <w:pStyle w:val="13"/>
              <w:ind w:firstLine="0" w:firstLineChars="0"/>
            </w:pPr>
            <w:r>
              <w:rPr>
                <w:rFonts w:hint="eastAsia"/>
                <w:lang w:val="en-US" w:eastAsia="zh-CN"/>
              </w:rPr>
              <w:t>2</w:t>
            </w:r>
          </w:p>
        </w:tc>
        <w:tc>
          <w:tcPr>
            <w:tcW w:w="964" w:type="dxa"/>
            <w:vAlign w:val="center"/>
          </w:tcPr>
          <w:p>
            <w:pPr>
              <w:pStyle w:val="13"/>
              <w:ind w:firstLine="0" w:firstLineChars="0"/>
            </w:pPr>
          </w:p>
        </w:tc>
        <w:tc>
          <w:tcPr>
            <w:tcW w:w="964" w:type="dxa"/>
            <w:vAlign w:val="center"/>
          </w:tcPr>
          <w:p>
            <w:pPr>
              <w:pStyle w:val="13"/>
              <w:ind w:firstLine="0" w:firstLineChars="0"/>
            </w:pPr>
          </w:p>
        </w:tc>
        <w:tc>
          <w:tcPr>
            <w:tcW w:w="964" w:type="dxa"/>
            <w:vAlign w:val="center"/>
          </w:tcPr>
          <w:p>
            <w:pPr>
              <w:pStyle w:val="13"/>
              <w:ind w:firstLine="0" w:firstLineChars="0"/>
            </w:pPr>
          </w:p>
        </w:tc>
        <w:tc>
          <w:tcPr>
            <w:tcW w:w="964" w:type="dxa"/>
            <w:vAlign w:val="center"/>
          </w:tcPr>
          <w:p>
            <w:pPr>
              <w:pStyle w:val="13"/>
              <w:ind w:firstLine="0" w:firstLineChars="0"/>
            </w:pPr>
          </w:p>
        </w:tc>
        <w:tc>
          <w:tcPr>
            <w:tcW w:w="964" w:type="dxa"/>
            <w:vAlign w:val="center"/>
          </w:tcPr>
          <w:p>
            <w:pPr>
              <w:pStyle w:val="13"/>
              <w:ind w:firstLine="0" w:firstLineChars="0"/>
            </w:pPr>
          </w:p>
        </w:tc>
        <w:tc>
          <w:tcPr>
            <w:tcW w:w="964" w:type="dxa"/>
            <w:vAlign w:val="center"/>
          </w:tcPr>
          <w:p>
            <w:pPr>
              <w:pStyle w:val="13"/>
              <w:ind w:firstLine="0" w:firstLineChars="0"/>
            </w:pPr>
          </w:p>
        </w:tc>
        <w:tc>
          <w:tcPr>
            <w:tcW w:w="964" w:type="dxa"/>
            <w:vAlign w:val="center"/>
          </w:tcPr>
          <w:p>
            <w:pPr>
              <w:pStyle w:val="13"/>
              <w:ind w:firstLine="0" w:firstLineChars="0"/>
            </w:pPr>
            <w:r>
              <w:rPr>
                <w:rFonts w:hint="eastAsia"/>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ind w:firstLine="0" w:firstLineChars="0"/>
            </w:pPr>
            <w:r>
              <w:rPr>
                <w:rFonts w:hint="eastAsia"/>
                <w:lang w:eastAsia="zh-CN"/>
              </w:rPr>
              <w:t>智慧中心经费</w:t>
            </w:r>
          </w:p>
        </w:tc>
        <w:tc>
          <w:tcPr>
            <w:tcW w:w="964" w:type="dxa"/>
            <w:vAlign w:val="center"/>
          </w:tcPr>
          <w:p>
            <w:pPr>
              <w:pStyle w:val="13"/>
              <w:ind w:firstLine="0" w:firstLineChars="0"/>
            </w:pPr>
            <w:r>
              <w:rPr>
                <w:rFonts w:hint="eastAsia"/>
                <w:lang w:val="en-US" w:eastAsia="zh-CN"/>
              </w:rPr>
              <w:t>2</w:t>
            </w:r>
          </w:p>
        </w:tc>
        <w:tc>
          <w:tcPr>
            <w:tcW w:w="1134" w:type="dxa"/>
            <w:vAlign w:val="center"/>
          </w:tcPr>
          <w:p>
            <w:pPr>
              <w:pStyle w:val="14"/>
              <w:ind w:firstLine="0" w:firstLineChars="0"/>
            </w:pPr>
            <w:r>
              <w:rPr>
                <w:rFonts w:hint="eastAsia"/>
                <w:lang w:eastAsia="zh-CN"/>
              </w:rPr>
              <w:t>空调机</w:t>
            </w:r>
          </w:p>
        </w:tc>
        <w:tc>
          <w:tcPr>
            <w:tcW w:w="1134" w:type="dxa"/>
            <w:vAlign w:val="center"/>
          </w:tcPr>
          <w:p>
            <w:pPr>
              <w:pStyle w:val="14"/>
              <w:ind w:firstLine="0" w:firstLineChars="0"/>
            </w:pPr>
            <w:r>
              <w:rPr>
                <w:rFonts w:hint="eastAsia"/>
                <w:lang w:val="en-US" w:eastAsia="zh-CN"/>
              </w:rPr>
              <w:t>A02</w:t>
            </w:r>
          </w:p>
        </w:tc>
        <w:tc>
          <w:tcPr>
            <w:tcW w:w="709" w:type="dxa"/>
            <w:vAlign w:val="center"/>
          </w:tcPr>
          <w:p>
            <w:pPr>
              <w:pStyle w:val="15"/>
              <w:ind w:firstLine="0" w:firstLineChars="0"/>
            </w:pPr>
            <w:r>
              <w:rPr>
                <w:rFonts w:hint="eastAsia"/>
                <w:lang w:val="en-US" w:eastAsia="zh-CN"/>
              </w:rPr>
              <w:t>台</w:t>
            </w:r>
          </w:p>
        </w:tc>
        <w:tc>
          <w:tcPr>
            <w:tcW w:w="850" w:type="dxa"/>
            <w:vAlign w:val="center"/>
          </w:tcPr>
          <w:p>
            <w:pPr>
              <w:pStyle w:val="13"/>
              <w:ind w:firstLine="0" w:firstLineChars="0"/>
            </w:pPr>
            <w:r>
              <w:rPr>
                <w:rFonts w:hint="eastAsia"/>
                <w:lang w:val="en-US" w:eastAsia="zh-CN"/>
              </w:rPr>
              <w:t>8</w:t>
            </w:r>
          </w:p>
        </w:tc>
        <w:tc>
          <w:tcPr>
            <w:tcW w:w="850" w:type="dxa"/>
            <w:vAlign w:val="center"/>
          </w:tcPr>
          <w:p>
            <w:pPr>
              <w:pStyle w:val="13"/>
              <w:ind w:firstLine="0" w:firstLineChars="0"/>
            </w:pPr>
            <w:r>
              <w:rPr>
                <w:rFonts w:hint="eastAsia"/>
                <w:lang w:val="en-US" w:eastAsia="zh-CN"/>
              </w:rPr>
              <w:t>0.25</w:t>
            </w:r>
          </w:p>
        </w:tc>
        <w:tc>
          <w:tcPr>
            <w:tcW w:w="964" w:type="dxa"/>
            <w:vAlign w:val="center"/>
          </w:tcPr>
          <w:p>
            <w:pPr>
              <w:pStyle w:val="13"/>
              <w:ind w:firstLine="0" w:firstLineChars="0"/>
            </w:pPr>
            <w:r>
              <w:rPr>
                <w:rFonts w:hint="eastAsia"/>
                <w:lang w:val="en-US" w:eastAsia="zh-CN"/>
              </w:rPr>
              <w:t>2</w:t>
            </w:r>
          </w:p>
        </w:tc>
        <w:tc>
          <w:tcPr>
            <w:tcW w:w="964" w:type="dxa"/>
            <w:vAlign w:val="center"/>
          </w:tcPr>
          <w:p>
            <w:pPr>
              <w:pStyle w:val="13"/>
              <w:ind w:firstLine="0" w:firstLineChars="0"/>
            </w:pPr>
            <w:r>
              <w:rPr>
                <w:rFonts w:hint="eastAsia"/>
                <w:lang w:val="en-US" w:eastAsia="zh-CN"/>
              </w:rPr>
              <w:t>2</w:t>
            </w:r>
          </w:p>
        </w:tc>
        <w:tc>
          <w:tcPr>
            <w:tcW w:w="964" w:type="dxa"/>
            <w:vAlign w:val="center"/>
          </w:tcPr>
          <w:p>
            <w:pPr>
              <w:pStyle w:val="13"/>
              <w:ind w:firstLine="0" w:firstLineChars="0"/>
            </w:pPr>
          </w:p>
        </w:tc>
        <w:tc>
          <w:tcPr>
            <w:tcW w:w="964" w:type="dxa"/>
            <w:vAlign w:val="center"/>
          </w:tcPr>
          <w:p>
            <w:pPr>
              <w:pStyle w:val="13"/>
              <w:ind w:firstLine="0" w:firstLineChars="0"/>
            </w:pPr>
          </w:p>
        </w:tc>
        <w:tc>
          <w:tcPr>
            <w:tcW w:w="964" w:type="dxa"/>
            <w:vAlign w:val="center"/>
          </w:tcPr>
          <w:p>
            <w:pPr>
              <w:pStyle w:val="13"/>
              <w:ind w:firstLine="0" w:firstLineChars="0"/>
            </w:pPr>
          </w:p>
        </w:tc>
        <w:tc>
          <w:tcPr>
            <w:tcW w:w="964" w:type="dxa"/>
            <w:vAlign w:val="center"/>
          </w:tcPr>
          <w:p>
            <w:pPr>
              <w:pStyle w:val="13"/>
              <w:ind w:firstLine="0" w:firstLineChars="0"/>
            </w:pPr>
          </w:p>
        </w:tc>
        <w:tc>
          <w:tcPr>
            <w:tcW w:w="964" w:type="dxa"/>
            <w:vAlign w:val="center"/>
          </w:tcPr>
          <w:p>
            <w:pPr>
              <w:pStyle w:val="13"/>
              <w:ind w:firstLine="0" w:firstLineChars="0"/>
            </w:pPr>
          </w:p>
        </w:tc>
        <w:tc>
          <w:tcPr>
            <w:tcW w:w="964" w:type="dxa"/>
            <w:vAlign w:val="center"/>
          </w:tcPr>
          <w:p>
            <w:pPr>
              <w:pStyle w:val="13"/>
              <w:ind w:firstLine="0" w:firstLineChars="0"/>
            </w:pPr>
          </w:p>
        </w:tc>
        <w:tc>
          <w:tcPr>
            <w:tcW w:w="964" w:type="dxa"/>
            <w:vAlign w:val="center"/>
          </w:tcPr>
          <w:p>
            <w:pPr>
              <w:pStyle w:val="13"/>
              <w:ind w:firstLine="0" w:firstLineChars="0"/>
            </w:pPr>
            <w:r>
              <w:rPr>
                <w:rFonts w:hint="eastAsia"/>
                <w:lang w:val="en-US" w:eastAsia="zh-CN"/>
              </w:rPr>
              <w:t>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隆尧县人民政府办公室本级上年末固定资产金额为292</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9884万元（详见下表）。本年度拟购置固定资产总额为4.00万元，</w:t>
      </w:r>
      <w:r>
        <w:rPr>
          <w:rFonts w:hint="eastAsia" w:eastAsia="方正仿宋_GBK" w:cs="Times New Roman"/>
          <w:b w:val="0"/>
          <w:color w:val="000000"/>
          <w:sz w:val="28"/>
          <w:lang w:eastAsia="zh-CN"/>
        </w:rPr>
        <w:t>主要为办公电脑及空调</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434001隆尧县人民政府办公室本级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292</w:t>
            </w:r>
            <w:r>
              <w:rPr>
                <w:rFonts w:hint="eastAsia"/>
                <w:lang w:val="en-US" w:eastAsia="zh-CN"/>
              </w:rPr>
              <w:t>.</w:t>
            </w:r>
            <w:r>
              <w:t>9884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274.6884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YwOWI2M2M0ZjlmOTQ2ZDY4ZWVmYjI2MjE1M2E1Y2UifQ=="/>
  </w:docVars>
  <w:rsids>
    <w:rsidRoot w:val="00000000"/>
    <w:rsid w:val="084478DC"/>
    <w:rsid w:val="0B2978BA"/>
    <w:rsid w:val="0FCF5B83"/>
    <w:rsid w:val="1100085B"/>
    <w:rsid w:val="14E20730"/>
    <w:rsid w:val="18950EA4"/>
    <w:rsid w:val="1B3F2512"/>
    <w:rsid w:val="29111BA7"/>
    <w:rsid w:val="2A9D50B8"/>
    <w:rsid w:val="2B962203"/>
    <w:rsid w:val="33A12D31"/>
    <w:rsid w:val="3716533A"/>
    <w:rsid w:val="3D8F5FBD"/>
    <w:rsid w:val="3DE54861"/>
    <w:rsid w:val="3F391958"/>
    <w:rsid w:val="3FC14721"/>
    <w:rsid w:val="48F26E2E"/>
    <w:rsid w:val="511D5F3E"/>
    <w:rsid w:val="5131545C"/>
    <w:rsid w:val="561858D9"/>
    <w:rsid w:val="57B73430"/>
    <w:rsid w:val="5C9E4CB5"/>
    <w:rsid w:val="5E9536A1"/>
    <w:rsid w:val="69F02E55"/>
    <w:rsid w:val="72EE51E1"/>
    <w:rsid w:val="7B387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2023-01-15T09:09:11Z</dcterms:created>
  <dcterms:modified xsi:type="dcterms:W3CDTF">2023-01-15T01:09:11Z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2023-01-15T09:09:00Z</dcterms:created>
  <dcterms:modified xsi:type="dcterms:W3CDTF">2023-01-15T01:09:00Z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2023-01-15T09:09:07Z</dcterms:created>
  <dcterms:modified xsi:type="dcterms:W3CDTF">2023-01-15T01:09:07Z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2023-01-15T09:09:03Z</dcterms:created>
  <dcterms:modified xsi:type="dcterms:W3CDTF">2023-01-15T01:09:03Z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2023-01-15T09:09:00Z</dcterms:created>
  <dcterms:modified xsi:type="dcterms:W3CDTF">2023-01-15T01:09:00Z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2023-01-15T09:08:59Z</dcterms:created>
  <dcterms:modified xsi:type="dcterms:W3CDTF">2023-01-15T01:08:58Z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cf92487-83ff-42e3-9dfc-2a20b274620c}">
  <ds:schemaRefs/>
</ds:datastoreItem>
</file>

<file path=customXml/itemProps10.xml><?xml version="1.0" encoding="utf-8"?>
<ds:datastoreItem xmlns:ds="http://schemas.openxmlformats.org/officeDocument/2006/customXml" ds:itemID="{20debbe5-2e40-4acd-a356-e4dcfd7fedbb}">
  <ds:schemaRefs/>
</ds:datastoreItem>
</file>

<file path=customXml/itemProps11.xml><?xml version="1.0" encoding="utf-8"?>
<ds:datastoreItem xmlns:ds="http://schemas.openxmlformats.org/officeDocument/2006/customXml" ds:itemID="{4ec0c7c1-3efb-42b2-ae2e-b5b78364c657}">
  <ds:schemaRefs/>
</ds:datastoreItem>
</file>

<file path=customXml/itemProps12.xml><?xml version="1.0" encoding="utf-8"?>
<ds:datastoreItem xmlns:ds="http://schemas.openxmlformats.org/officeDocument/2006/customXml" ds:itemID="{11045829-a7ba-4b77-bdfa-d1339b5c2322}">
  <ds:schemaRefs/>
</ds:datastoreItem>
</file>

<file path=customXml/itemProps13.xml><?xml version="1.0" encoding="utf-8"?>
<ds:datastoreItem xmlns:ds="http://schemas.openxmlformats.org/officeDocument/2006/customXml" ds:itemID="{b0b5697b-439c-4352-872b-b4bc650449a7}">
  <ds:schemaRefs/>
</ds:datastoreItem>
</file>

<file path=customXml/itemProps14.xml><?xml version="1.0" encoding="utf-8"?>
<ds:datastoreItem xmlns:ds="http://schemas.openxmlformats.org/officeDocument/2006/customXml" ds:itemID="{ab01c20e-54d4-49c0-87bf-d4d191c54104}">
  <ds:schemaRefs/>
</ds:datastoreItem>
</file>

<file path=customXml/itemProps15.xml><?xml version="1.0" encoding="utf-8"?>
<ds:datastoreItem xmlns:ds="http://schemas.openxmlformats.org/officeDocument/2006/customXml" ds:itemID="{7612557f-da90-4e90-8bb4-20e4ad38c91e}">
  <ds:schemaRefs/>
</ds:datastoreItem>
</file>

<file path=customXml/itemProps16.xml><?xml version="1.0" encoding="utf-8"?>
<ds:datastoreItem xmlns:ds="http://schemas.openxmlformats.org/officeDocument/2006/customXml" ds:itemID="{42f525f1-81b6-4186-9bf2-389d2df36e28}">
  <ds:schemaRefs/>
</ds:datastoreItem>
</file>

<file path=customXml/itemProps17.xml><?xml version="1.0" encoding="utf-8"?>
<ds:datastoreItem xmlns:ds="http://schemas.openxmlformats.org/officeDocument/2006/customXml" ds:itemID="{3859642e-77ff-46a9-b0fa-24fabf5ebc28}">
  <ds:schemaRefs/>
</ds:datastoreItem>
</file>

<file path=customXml/itemProps18.xml><?xml version="1.0" encoding="utf-8"?>
<ds:datastoreItem xmlns:ds="http://schemas.openxmlformats.org/officeDocument/2006/customXml" ds:itemID="{1ea39616-6b75-4002-b695-fb0c6434214d}">
  <ds:schemaRefs/>
</ds:datastoreItem>
</file>

<file path=customXml/itemProps19.xml><?xml version="1.0" encoding="utf-8"?>
<ds:datastoreItem xmlns:ds="http://schemas.openxmlformats.org/officeDocument/2006/customXml" ds:itemID="{9b12f72a-c0e8-47e9-8749-7a13721ee16a}">
  <ds:schemaRefs/>
</ds:datastoreItem>
</file>

<file path=customXml/itemProps2.xml><?xml version="1.0" encoding="utf-8"?>
<ds:datastoreItem xmlns:ds="http://schemas.openxmlformats.org/officeDocument/2006/customXml" ds:itemID="{eee96f38-fb7b-4eea-8d93-d6c7eede3922}">
  <ds:schemaRefs/>
</ds:datastoreItem>
</file>

<file path=customXml/itemProps20.xml><?xml version="1.0" encoding="utf-8"?>
<ds:datastoreItem xmlns:ds="http://schemas.openxmlformats.org/officeDocument/2006/customXml" ds:itemID="{e393c8d9-e897-4734-80a3-f01306e2d618}">
  <ds:schemaRefs/>
</ds:datastoreItem>
</file>

<file path=customXml/itemProps21.xml><?xml version="1.0" encoding="utf-8"?>
<ds:datastoreItem xmlns:ds="http://schemas.openxmlformats.org/officeDocument/2006/customXml" ds:itemID="{e4b83548-a662-4181-b038-2f2495dd6dc4}">
  <ds:schemaRefs/>
</ds:datastoreItem>
</file>

<file path=customXml/itemProps22.xml><?xml version="1.0" encoding="utf-8"?>
<ds:datastoreItem xmlns:ds="http://schemas.openxmlformats.org/officeDocument/2006/customXml" ds:itemID="{7ae2ed53-0d43-4c86-ba29-4db5235b28af}">
  <ds:schemaRefs/>
</ds:datastoreItem>
</file>

<file path=customXml/itemProps23.xml><?xml version="1.0" encoding="utf-8"?>
<ds:datastoreItem xmlns:ds="http://schemas.openxmlformats.org/officeDocument/2006/customXml" ds:itemID="{0dc935fb-18b4-4b42-a29b-fac14a7b5118}">
  <ds:schemaRefs/>
</ds:datastoreItem>
</file>

<file path=customXml/itemProps24.xml><?xml version="1.0" encoding="utf-8"?>
<ds:datastoreItem xmlns:ds="http://schemas.openxmlformats.org/officeDocument/2006/customXml" ds:itemID="{d7b07908-6f24-4e43-a34b-645b5bf718db}">
  <ds:schemaRefs/>
</ds:datastoreItem>
</file>

<file path=customXml/itemProps25.xml><?xml version="1.0" encoding="utf-8"?>
<ds:datastoreItem xmlns:ds="http://schemas.openxmlformats.org/officeDocument/2006/customXml" ds:itemID="{905d213a-fc3d-454e-a30f-76c2e4606405}">
  <ds:schemaRefs/>
</ds:datastoreItem>
</file>

<file path=customXml/itemProps26.xml><?xml version="1.0" encoding="utf-8"?>
<ds:datastoreItem xmlns:ds="http://schemas.openxmlformats.org/officeDocument/2006/customXml" ds:itemID="{3bc147ec-6846-4ca7-b41f-2cd006b2a6dd}">
  <ds:schemaRefs/>
</ds:datastoreItem>
</file>

<file path=customXml/itemProps27.xml><?xml version="1.0" encoding="utf-8"?>
<ds:datastoreItem xmlns:ds="http://schemas.openxmlformats.org/officeDocument/2006/customXml" ds:itemID="{9ae33e5e-d633-4070-bb7a-fef9e1962d9c}">
  <ds:schemaRefs/>
</ds:datastoreItem>
</file>

<file path=customXml/itemProps28.xml><?xml version="1.0" encoding="utf-8"?>
<ds:datastoreItem xmlns:ds="http://schemas.openxmlformats.org/officeDocument/2006/customXml" ds:itemID="{139ac903-586a-4a1e-b254-106abacf602f}">
  <ds:schemaRefs/>
</ds:datastoreItem>
</file>

<file path=customXml/itemProps29.xml><?xml version="1.0" encoding="utf-8"?>
<ds:datastoreItem xmlns:ds="http://schemas.openxmlformats.org/officeDocument/2006/customXml" ds:itemID="{0c0e6556-6854-45f6-a5c9-5855b261bdbe}">
  <ds:schemaRefs/>
</ds:datastoreItem>
</file>

<file path=customXml/itemProps3.xml><?xml version="1.0" encoding="utf-8"?>
<ds:datastoreItem xmlns:ds="http://schemas.openxmlformats.org/officeDocument/2006/customXml" ds:itemID="{1d64eb99-d7b0-4e90-b7f5-d656ba38ab77}">
  <ds:schemaRefs/>
</ds:datastoreItem>
</file>

<file path=customXml/itemProps30.xml><?xml version="1.0" encoding="utf-8"?>
<ds:datastoreItem xmlns:ds="http://schemas.openxmlformats.org/officeDocument/2006/customXml" ds:itemID="{deb1aa9f-ccdf-457a-92ea-abbebb6e0c53}">
  <ds:schemaRefs/>
</ds:datastoreItem>
</file>

<file path=customXml/itemProps31.xml><?xml version="1.0" encoding="utf-8"?>
<ds:datastoreItem xmlns:ds="http://schemas.openxmlformats.org/officeDocument/2006/customXml" ds:itemID="{4c87ba98-b29e-43a7-946b-b62f417b1df3}">
  <ds:schemaRefs/>
</ds:datastoreItem>
</file>

<file path=customXml/itemProps32.xml><?xml version="1.0" encoding="utf-8"?>
<ds:datastoreItem xmlns:ds="http://schemas.openxmlformats.org/officeDocument/2006/customXml" ds:itemID="{0004359b-2f67-4b1e-a691-238befb68d44}">
  <ds:schemaRefs/>
</ds:datastoreItem>
</file>

<file path=customXml/itemProps33.xml><?xml version="1.0" encoding="utf-8"?>
<ds:datastoreItem xmlns:ds="http://schemas.openxmlformats.org/officeDocument/2006/customXml" ds:itemID="{93d5022f-dba9-40cf-bb61-7c623da9f887}">
  <ds:schemaRefs/>
</ds:datastoreItem>
</file>

<file path=customXml/itemProps34.xml><?xml version="1.0" encoding="utf-8"?>
<ds:datastoreItem xmlns:ds="http://schemas.openxmlformats.org/officeDocument/2006/customXml" ds:itemID="{4e10d4d4-12a8-449d-a889-90edd505cd9c}">
  <ds:schemaRefs/>
</ds:datastoreItem>
</file>

<file path=customXml/itemProps35.xml><?xml version="1.0" encoding="utf-8"?>
<ds:datastoreItem xmlns:ds="http://schemas.openxmlformats.org/officeDocument/2006/customXml" ds:itemID="{a6aad0ee-14e9-4a30-9c48-21e1214c3e33}">
  <ds:schemaRefs/>
</ds:datastoreItem>
</file>

<file path=customXml/itemProps36.xml><?xml version="1.0" encoding="utf-8"?>
<ds:datastoreItem xmlns:ds="http://schemas.openxmlformats.org/officeDocument/2006/customXml" ds:itemID="{0b44e97f-097e-4446-8ea0-89d0f89f8d91}">
  <ds:schemaRefs/>
</ds:datastoreItem>
</file>

<file path=customXml/itemProps37.xml><?xml version="1.0" encoding="utf-8"?>
<ds:datastoreItem xmlns:ds="http://schemas.openxmlformats.org/officeDocument/2006/customXml" ds:itemID="{dbbfb59e-4bed-497e-8620-51a7279c18be}">
  <ds:schemaRefs/>
</ds:datastoreItem>
</file>

<file path=customXml/itemProps38.xml><?xml version="1.0" encoding="utf-8"?>
<ds:datastoreItem xmlns:ds="http://schemas.openxmlformats.org/officeDocument/2006/customXml" ds:itemID="{66ca277a-6d53-42ef-bf4e-0f4c7d8f07a9}">
  <ds:schemaRefs/>
</ds:datastoreItem>
</file>

<file path=customXml/itemProps39.xml><?xml version="1.0" encoding="utf-8"?>
<ds:datastoreItem xmlns:ds="http://schemas.openxmlformats.org/officeDocument/2006/customXml" ds:itemID="{788285a4-2c0a-4aef-9c8c-ed2e81631a1e}">
  <ds:schemaRefs/>
</ds:datastoreItem>
</file>

<file path=customXml/itemProps4.xml><?xml version="1.0" encoding="utf-8"?>
<ds:datastoreItem xmlns:ds="http://schemas.openxmlformats.org/officeDocument/2006/customXml" ds:itemID="{586cb5d0-7d46-40b1-9ce3-768c680c189e}">
  <ds:schemaRefs/>
</ds:datastoreItem>
</file>

<file path=customXml/itemProps40.xml><?xml version="1.0" encoding="utf-8"?>
<ds:datastoreItem xmlns:ds="http://schemas.openxmlformats.org/officeDocument/2006/customXml" ds:itemID="{c0306be9-5b2d-4851-a0a5-b7586418b14b}">
  <ds:schemaRefs/>
</ds:datastoreItem>
</file>

<file path=customXml/itemProps41.xml><?xml version="1.0" encoding="utf-8"?>
<ds:datastoreItem xmlns:ds="http://schemas.openxmlformats.org/officeDocument/2006/customXml" ds:itemID="{267f285d-4cde-4fee-aadc-325e8199ec4a}">
  <ds:schemaRefs/>
</ds:datastoreItem>
</file>

<file path=customXml/itemProps42.xml><?xml version="1.0" encoding="utf-8"?>
<ds:datastoreItem xmlns:ds="http://schemas.openxmlformats.org/officeDocument/2006/customXml" ds:itemID="{fcc11172-0d69-450f-bc11-060583653df3}">
  <ds:schemaRefs/>
</ds:datastoreItem>
</file>

<file path=customXml/itemProps43.xml><?xml version="1.0" encoding="utf-8"?>
<ds:datastoreItem xmlns:ds="http://schemas.openxmlformats.org/officeDocument/2006/customXml" ds:itemID="{d594a787-47e8-4772-bac4-e5a33ca5e37a}">
  <ds:schemaRefs/>
</ds:datastoreItem>
</file>

<file path=customXml/itemProps44.xml><?xml version="1.0" encoding="utf-8"?>
<ds:datastoreItem xmlns:ds="http://schemas.openxmlformats.org/officeDocument/2006/customXml" ds:itemID="{9f89cb41-68af-41ce-a2fe-6128c539cb70}">
  <ds:schemaRefs/>
</ds:datastoreItem>
</file>

<file path=customXml/itemProps45.xml><?xml version="1.0" encoding="utf-8"?>
<ds:datastoreItem xmlns:ds="http://schemas.openxmlformats.org/officeDocument/2006/customXml" ds:itemID="{14d67fe9-2e33-478b-93b6-08614e0f50a7}">
  <ds:schemaRefs/>
</ds:datastoreItem>
</file>

<file path=customXml/itemProps46.xml><?xml version="1.0" encoding="utf-8"?>
<ds:datastoreItem xmlns:ds="http://schemas.openxmlformats.org/officeDocument/2006/customXml" ds:itemID="{a28ebb02-abea-477b-930b-791ebffe20e4}">
  <ds:schemaRefs/>
</ds:datastoreItem>
</file>

<file path=customXml/itemProps47.xml><?xml version="1.0" encoding="utf-8"?>
<ds:datastoreItem xmlns:ds="http://schemas.openxmlformats.org/officeDocument/2006/customXml" ds:itemID="{c04e908c-412d-4cc0-95de-9cc90b404d1f}">
  <ds:schemaRefs/>
</ds:datastoreItem>
</file>

<file path=customXml/itemProps48.xml><?xml version="1.0" encoding="utf-8"?>
<ds:datastoreItem xmlns:ds="http://schemas.openxmlformats.org/officeDocument/2006/customXml" ds:itemID="{06f709e0-0bec-48f2-baf7-b0df069c518d}">
  <ds:schemaRefs/>
</ds:datastoreItem>
</file>

<file path=customXml/itemProps49.xml><?xml version="1.0" encoding="utf-8"?>
<ds:datastoreItem xmlns:ds="http://schemas.openxmlformats.org/officeDocument/2006/customXml" ds:itemID="{fb173889-eff6-423f-ad57-98a1def557ec}">
  <ds:schemaRefs/>
</ds:datastoreItem>
</file>

<file path=customXml/itemProps5.xml><?xml version="1.0" encoding="utf-8"?>
<ds:datastoreItem xmlns:ds="http://schemas.openxmlformats.org/officeDocument/2006/customXml" ds:itemID="{34184b48-d7e9-440c-91f5-c2c2a2991053}">
  <ds:schemaRefs/>
</ds:datastoreItem>
</file>

<file path=customXml/itemProps50.xml><?xml version="1.0" encoding="utf-8"?>
<ds:datastoreItem xmlns:ds="http://schemas.openxmlformats.org/officeDocument/2006/customXml" ds:itemID="{314b8986-8fe4-453f-9395-75e3bdef83dc}">
  <ds:schemaRefs/>
</ds:datastoreItem>
</file>

<file path=customXml/itemProps51.xml><?xml version="1.0" encoding="utf-8"?>
<ds:datastoreItem xmlns:ds="http://schemas.openxmlformats.org/officeDocument/2006/customXml" ds:itemID="{115fd102-f72e-47e0-ab6f-5ca7a1d392fe}">
  <ds:schemaRefs/>
</ds:datastoreItem>
</file>

<file path=customXml/itemProps52.xml><?xml version="1.0" encoding="utf-8"?>
<ds:datastoreItem xmlns:ds="http://schemas.openxmlformats.org/officeDocument/2006/customXml" ds:itemID="{77389210-d6c1-4f74-b8a4-6ee316aa5274}">
  <ds:schemaRefs/>
</ds:datastoreItem>
</file>

<file path=customXml/itemProps53.xml><?xml version="1.0" encoding="utf-8"?>
<ds:datastoreItem xmlns:ds="http://schemas.openxmlformats.org/officeDocument/2006/customXml" ds:itemID="{2f83d948-c5a5-46c6-a810-80845a110832}">
  <ds:schemaRefs/>
</ds:datastoreItem>
</file>

<file path=customXml/itemProps54.xml><?xml version="1.0" encoding="utf-8"?>
<ds:datastoreItem xmlns:ds="http://schemas.openxmlformats.org/officeDocument/2006/customXml" ds:itemID="{9ef5bad6-f7cd-49d3-8feb-cb0ea22b2be0}">
  <ds:schemaRefs/>
</ds:datastoreItem>
</file>

<file path=customXml/itemProps55.xml><?xml version="1.0" encoding="utf-8"?>
<ds:datastoreItem xmlns:ds="http://schemas.openxmlformats.org/officeDocument/2006/customXml" ds:itemID="{1a948106-b479-4036-8b93-bed59ee1847a}">
  <ds:schemaRefs/>
</ds:datastoreItem>
</file>

<file path=customXml/itemProps56.xml><?xml version="1.0" encoding="utf-8"?>
<ds:datastoreItem xmlns:ds="http://schemas.openxmlformats.org/officeDocument/2006/customXml" ds:itemID="{eb39c30f-71ed-4ddb-a21a-7dc942135815}">
  <ds:schemaRefs/>
</ds:datastoreItem>
</file>

<file path=customXml/itemProps57.xml><?xml version="1.0" encoding="utf-8"?>
<ds:datastoreItem xmlns:ds="http://schemas.openxmlformats.org/officeDocument/2006/customXml" ds:itemID="{da77d37c-1cba-4fb7-a9a6-e61b85bd171f}">
  <ds:schemaRefs/>
</ds:datastoreItem>
</file>

<file path=customXml/itemProps58.xml><?xml version="1.0" encoding="utf-8"?>
<ds:datastoreItem xmlns:ds="http://schemas.openxmlformats.org/officeDocument/2006/customXml" ds:itemID="{80089fb3-726c-402f-9eb5-19794b657272}">
  <ds:schemaRefs/>
</ds:datastoreItem>
</file>

<file path=customXml/itemProps59.xml><?xml version="1.0" encoding="utf-8"?>
<ds:datastoreItem xmlns:ds="http://schemas.openxmlformats.org/officeDocument/2006/customXml" ds:itemID="{3b18e1a8-bb0a-4053-a6b6-dabe97ac3716}">
  <ds:schemaRefs/>
</ds:datastoreItem>
</file>

<file path=customXml/itemProps6.xml><?xml version="1.0" encoding="utf-8"?>
<ds:datastoreItem xmlns:ds="http://schemas.openxmlformats.org/officeDocument/2006/customXml" ds:itemID="{23de23c5-6045-467b-a75d-0a0d1319495e}">
  <ds:schemaRefs/>
</ds:datastoreItem>
</file>

<file path=customXml/itemProps60.xml><?xml version="1.0" encoding="utf-8"?>
<ds:datastoreItem xmlns:ds="http://schemas.openxmlformats.org/officeDocument/2006/customXml" ds:itemID="{5c657195-37c4-46ec-a88b-c90336447d60}">
  <ds:schemaRefs/>
</ds:datastoreItem>
</file>

<file path=customXml/itemProps61.xml><?xml version="1.0" encoding="utf-8"?>
<ds:datastoreItem xmlns:ds="http://schemas.openxmlformats.org/officeDocument/2006/customXml" ds:itemID="{aa65dd9c-4ae8-4509-90e8-870576b1cf31}">
  <ds:schemaRefs/>
</ds:datastoreItem>
</file>

<file path=customXml/itemProps62.xml><?xml version="1.0" encoding="utf-8"?>
<ds:datastoreItem xmlns:ds="http://schemas.openxmlformats.org/officeDocument/2006/customXml" ds:itemID="{1e2db36f-73ad-484e-a3d8-111eb67a50e0}">
  <ds:schemaRefs/>
</ds:datastoreItem>
</file>

<file path=customXml/itemProps7.xml><?xml version="1.0" encoding="utf-8"?>
<ds:datastoreItem xmlns:ds="http://schemas.openxmlformats.org/officeDocument/2006/customXml" ds:itemID="{3c168be7-693d-46ef-b033-1d1e19cd7e07}">
  <ds:schemaRefs/>
</ds:datastoreItem>
</file>

<file path=customXml/itemProps8.xml><?xml version="1.0" encoding="utf-8"?>
<ds:datastoreItem xmlns:ds="http://schemas.openxmlformats.org/officeDocument/2006/customXml" ds:itemID="{b5b53c98-80ec-403f-9f14-245bf6f0d36a}">
  <ds:schemaRefs/>
</ds:datastoreItem>
</file>

<file path=customXml/itemProps9.xml><?xml version="1.0" encoding="utf-8"?>
<ds:datastoreItem xmlns:ds="http://schemas.openxmlformats.org/officeDocument/2006/customXml" ds:itemID="{0913e00a-9702-4825-96ca-e3f987f145d0}">
  <ds:schemaRefs/>
</ds:datastoreItem>
</file>

<file path=docProps/app.xml><?xml version="1.0" encoding="utf-8"?>
<Properties xmlns="http://schemas.openxmlformats.org/officeDocument/2006/extended-properties" xmlns:vt="http://schemas.openxmlformats.org/officeDocument/2006/docPropsVTypes">
  <Pages>104</Pages>
  <Words>22289</Words>
  <Characters>26145</Characters>
  <TotalTime>0</TotalTime>
  <ScaleCrop>false</ScaleCrop>
  <LinksUpToDate>false</LinksUpToDate>
  <CharactersWithSpaces>26504</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2023-01-15T09:09:00Z</dcterms:created>
  <dc:creator>Administrator</dc:creator>
  <cp:lastModifiedBy>Administrator</cp:lastModifiedBy>
  <dcterms:modified xsi:type="dcterms:W3CDTF">2023-09-05T02:16:31Z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21015C2282F147E0AFDC987C00EFEFDF</vt:lpwstr>
  </property>
</Properties>
</file>