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lang w:eastAsia="zh-CN"/>
        </w:rPr>
      </w:pPr>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r>
        <w:rPr>
          <w:rFonts w:hint="eastAsia" w:ascii="方正小标宋简体" w:hAnsi="方正小标宋简体" w:eastAsia="方正小标宋简体" w:cs="方正小标宋简体"/>
          <w:b/>
          <w:color w:val="000000"/>
          <w:sz w:val="52"/>
          <w:szCs w:val="52"/>
          <w:lang w:eastAsia="zh-CN"/>
        </w:rPr>
        <w:t>隆尧县审计局</w:t>
      </w:r>
      <w:r>
        <w:rPr>
          <w:rFonts w:hint="eastAsia" w:ascii="方正小标宋简体" w:hAnsi="方正小标宋简体" w:eastAsia="方正小标宋简体" w:cs="方正小标宋简体"/>
          <w:b/>
          <w:color w:val="000000"/>
          <w:sz w:val="52"/>
          <w:szCs w:val="52"/>
        </w:rPr>
        <w:t>2022年</w:t>
      </w:r>
      <w:r>
        <w:rPr>
          <w:rFonts w:hint="eastAsia" w:ascii="方正小标宋简体" w:hAnsi="方正小标宋简体" w:eastAsia="方正小标宋简体" w:cs="方正小标宋简体"/>
          <w:b/>
          <w:color w:val="000000"/>
          <w:sz w:val="52"/>
          <w:szCs w:val="52"/>
          <w:lang w:eastAsia="zh-CN"/>
        </w:rPr>
        <w:t>单位</w:t>
      </w:r>
      <w:r>
        <w:rPr>
          <w:rFonts w:hint="eastAsia" w:ascii="方正小标宋简体" w:hAnsi="方正小标宋简体" w:eastAsia="方正小标宋简体" w:cs="方正小标宋简体"/>
          <w:b/>
          <w:color w:val="000000"/>
          <w:sz w:val="52"/>
          <w:szCs w:val="52"/>
        </w:rPr>
        <w:t>预算信息公开</w:t>
      </w: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22</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pPr>
        <w:sectPr>
          <w:footerReference r:id="rId3" w:type="default"/>
          <w:footerReference r:id="rId4" w:type="even"/>
          <w:pgSz w:w="16840" w:h="11900" w:orient="landscape"/>
          <w:pgMar w:top="1361" w:right="1020" w:bottom="1134" w:left="1020" w:header="720" w:footer="720" w:gutter="0"/>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一、隆尧县审计局本级收支预算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319001隆尧县审计局本级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799.20</w:t>
            </w:r>
          </w:p>
        </w:tc>
        <w:tc>
          <w:tcPr>
            <w:tcW w:w="4535" w:type="dxa"/>
            <w:vAlign w:val="center"/>
          </w:tcPr>
          <w:p>
            <w:pPr>
              <w:pStyle w:val="12"/>
            </w:pPr>
            <w:r>
              <w:t>一、一般公共服务支出</w:t>
            </w:r>
          </w:p>
        </w:tc>
        <w:tc>
          <w:tcPr>
            <w:tcW w:w="2126" w:type="dxa"/>
            <w:vAlign w:val="center"/>
          </w:tcPr>
          <w:p>
            <w:pPr>
              <w:pStyle w:val="11"/>
            </w:pPr>
            <w:r>
              <w:t>751.49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799.20</w:t>
            </w:r>
          </w:p>
        </w:tc>
        <w:tc>
          <w:tcPr>
            <w:tcW w:w="4535" w:type="dxa"/>
            <w:vAlign w:val="center"/>
          </w:tcPr>
          <w:p>
            <w:pPr>
              <w:pStyle w:val="14"/>
            </w:pPr>
            <w:r>
              <w:t>本年支出合计</w:t>
            </w:r>
          </w:p>
        </w:tc>
        <w:tc>
          <w:tcPr>
            <w:tcW w:w="2126" w:type="dxa"/>
            <w:vAlign w:val="center"/>
          </w:tcPr>
          <w:p>
            <w:pPr>
              <w:pStyle w:val="15"/>
            </w:pPr>
            <w:r>
              <w:t>799.20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799.20</w:t>
            </w:r>
          </w:p>
        </w:tc>
        <w:tc>
          <w:tcPr>
            <w:tcW w:w="4535" w:type="dxa"/>
            <w:vAlign w:val="center"/>
          </w:tcPr>
          <w:p>
            <w:pPr>
              <w:pStyle w:val="14"/>
            </w:pPr>
            <w:r>
              <w:t>支出总计</w:t>
            </w:r>
          </w:p>
        </w:tc>
        <w:tc>
          <w:tcPr>
            <w:tcW w:w="2126" w:type="dxa"/>
            <w:vAlign w:val="center"/>
          </w:tcPr>
          <w:p>
            <w:pPr>
              <w:pStyle w:val="15"/>
            </w:pPr>
            <w:r>
              <w:t>799.20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319001隆尧县审计局本级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799.20</w:t>
            </w:r>
          </w:p>
        </w:tc>
        <w:tc>
          <w:tcPr>
            <w:tcW w:w="1134" w:type="dxa"/>
            <w:vAlign w:val="center"/>
          </w:tcPr>
          <w:p>
            <w:pPr>
              <w:pStyle w:val="15"/>
            </w:pPr>
            <w:r>
              <w:t>799.20</w:t>
            </w:r>
          </w:p>
        </w:tc>
        <w:tc>
          <w:tcPr>
            <w:tcW w:w="1134" w:type="dxa"/>
            <w:vAlign w:val="center"/>
          </w:tcPr>
          <w:p>
            <w:pPr>
              <w:pStyle w:val="15"/>
            </w:pPr>
            <w:r>
              <w:t>799.20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216.49</w:t>
            </w:r>
          </w:p>
        </w:tc>
        <w:tc>
          <w:tcPr>
            <w:tcW w:w="1134" w:type="dxa"/>
            <w:vAlign w:val="center"/>
          </w:tcPr>
          <w:p>
            <w:pPr>
              <w:pStyle w:val="11"/>
            </w:pPr>
            <w:r>
              <w:t>216.49</w:t>
            </w:r>
          </w:p>
        </w:tc>
        <w:tc>
          <w:tcPr>
            <w:tcW w:w="1134" w:type="dxa"/>
            <w:vAlign w:val="center"/>
          </w:tcPr>
          <w:p>
            <w:pPr>
              <w:pStyle w:val="11"/>
            </w:pPr>
            <w:r>
              <w:t>216.49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535.00</w:t>
            </w:r>
          </w:p>
        </w:tc>
        <w:tc>
          <w:tcPr>
            <w:tcW w:w="1134" w:type="dxa"/>
            <w:vAlign w:val="center"/>
          </w:tcPr>
          <w:p>
            <w:pPr>
              <w:pStyle w:val="11"/>
            </w:pPr>
            <w:r>
              <w:t>535.00</w:t>
            </w:r>
          </w:p>
        </w:tc>
        <w:tc>
          <w:tcPr>
            <w:tcW w:w="1134" w:type="dxa"/>
            <w:vAlign w:val="center"/>
          </w:tcPr>
          <w:p>
            <w:pPr>
              <w:pStyle w:val="11"/>
            </w:pPr>
            <w:r>
              <w:t>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799.20</w:t>
            </w:r>
          </w:p>
        </w:tc>
        <w:tc>
          <w:tcPr>
            <w:tcW w:w="1361" w:type="dxa"/>
            <w:vAlign w:val="center"/>
          </w:tcPr>
          <w:p>
            <w:pPr>
              <w:pStyle w:val="15"/>
            </w:pPr>
            <w:r>
              <w:t>264.20</w:t>
            </w:r>
          </w:p>
        </w:tc>
        <w:tc>
          <w:tcPr>
            <w:tcW w:w="1361" w:type="dxa"/>
            <w:vAlign w:val="center"/>
          </w:tcPr>
          <w:p>
            <w:pPr>
              <w:pStyle w:val="15"/>
            </w:pPr>
            <w:r>
              <w:t>535.00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751.49</w:t>
            </w:r>
          </w:p>
        </w:tc>
        <w:tc>
          <w:tcPr>
            <w:tcW w:w="1361" w:type="dxa"/>
            <w:vAlign w:val="center"/>
          </w:tcPr>
          <w:p>
            <w:pPr>
              <w:pStyle w:val="11"/>
            </w:pPr>
            <w:r>
              <w:t>216.49</w:t>
            </w: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6" w:type="dxa"/>
            <w:vAlign w:val="center"/>
          </w:tcPr>
          <w:p>
            <w:pPr>
              <w:pStyle w:val="12"/>
            </w:pPr>
            <w:r>
              <w:t>审计事务</w:t>
            </w:r>
          </w:p>
        </w:tc>
        <w:tc>
          <w:tcPr>
            <w:tcW w:w="1361" w:type="dxa"/>
            <w:vAlign w:val="center"/>
          </w:tcPr>
          <w:p>
            <w:pPr>
              <w:pStyle w:val="11"/>
            </w:pPr>
            <w:r>
              <w:t>751.49</w:t>
            </w:r>
          </w:p>
        </w:tc>
        <w:tc>
          <w:tcPr>
            <w:tcW w:w="1361" w:type="dxa"/>
            <w:vAlign w:val="center"/>
          </w:tcPr>
          <w:p>
            <w:pPr>
              <w:pStyle w:val="11"/>
            </w:pPr>
            <w:r>
              <w:t>216.49</w:t>
            </w: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6" w:type="dxa"/>
            <w:vAlign w:val="center"/>
          </w:tcPr>
          <w:p>
            <w:pPr>
              <w:pStyle w:val="12"/>
            </w:pPr>
            <w:r>
              <w:t>行政运行</w:t>
            </w:r>
          </w:p>
        </w:tc>
        <w:tc>
          <w:tcPr>
            <w:tcW w:w="1361" w:type="dxa"/>
            <w:vAlign w:val="center"/>
          </w:tcPr>
          <w:p>
            <w:pPr>
              <w:pStyle w:val="11"/>
            </w:pPr>
            <w:r>
              <w:t>216.49</w:t>
            </w:r>
          </w:p>
        </w:tc>
        <w:tc>
          <w:tcPr>
            <w:tcW w:w="1361" w:type="dxa"/>
            <w:vAlign w:val="center"/>
          </w:tcPr>
          <w:p>
            <w:pPr>
              <w:pStyle w:val="11"/>
            </w:pPr>
            <w:r>
              <w:t>216.49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2010804</w:t>
            </w:r>
          </w:p>
        </w:tc>
        <w:tc>
          <w:tcPr>
            <w:tcW w:w="4536" w:type="dxa"/>
            <w:vAlign w:val="center"/>
          </w:tcPr>
          <w:p>
            <w:pPr>
              <w:pStyle w:val="12"/>
            </w:pPr>
            <w:r>
              <w:t>审计业务</w:t>
            </w: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10.11</w:t>
            </w:r>
          </w:p>
        </w:tc>
        <w:tc>
          <w:tcPr>
            <w:tcW w:w="1361" w:type="dxa"/>
            <w:vAlign w:val="center"/>
          </w:tcPr>
          <w:p>
            <w:pPr>
              <w:pStyle w:val="11"/>
            </w:pPr>
            <w:r>
              <w:t>10.11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10.11</w:t>
            </w:r>
          </w:p>
        </w:tc>
        <w:tc>
          <w:tcPr>
            <w:tcW w:w="1361" w:type="dxa"/>
            <w:vAlign w:val="center"/>
          </w:tcPr>
          <w:p>
            <w:pPr>
              <w:pStyle w:val="11"/>
            </w:pPr>
            <w:r>
              <w:t>10.11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10.11</w:t>
            </w:r>
          </w:p>
        </w:tc>
        <w:tc>
          <w:tcPr>
            <w:tcW w:w="1361" w:type="dxa"/>
            <w:vAlign w:val="center"/>
          </w:tcPr>
          <w:p>
            <w:pPr>
              <w:pStyle w:val="11"/>
            </w:pPr>
            <w:r>
              <w:t>10.11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799.20</w:t>
            </w:r>
          </w:p>
        </w:tc>
        <w:tc>
          <w:tcPr>
            <w:tcW w:w="3402" w:type="dxa"/>
            <w:vAlign w:val="center"/>
          </w:tcPr>
          <w:p>
            <w:pPr>
              <w:pStyle w:val="12"/>
            </w:pPr>
            <w:r>
              <w:t>一、一般公共服务支出</w:t>
            </w:r>
          </w:p>
        </w:tc>
        <w:tc>
          <w:tcPr>
            <w:tcW w:w="1474" w:type="dxa"/>
            <w:vAlign w:val="center"/>
          </w:tcPr>
          <w:p>
            <w:pPr>
              <w:pStyle w:val="11"/>
            </w:pPr>
            <w:r>
              <w:t>751.49</w:t>
            </w:r>
          </w:p>
        </w:tc>
        <w:tc>
          <w:tcPr>
            <w:tcW w:w="1474" w:type="dxa"/>
            <w:vAlign w:val="center"/>
          </w:tcPr>
          <w:p>
            <w:pPr>
              <w:pStyle w:val="11"/>
            </w:pPr>
            <w:r>
              <w:t>751.49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20.28</w:t>
            </w:r>
          </w:p>
        </w:tc>
        <w:tc>
          <w:tcPr>
            <w:tcW w:w="1474" w:type="dxa"/>
            <w:vAlign w:val="center"/>
          </w:tcPr>
          <w:p>
            <w:pPr>
              <w:pStyle w:val="11"/>
            </w:pPr>
            <w:r>
              <w:t>20.28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10.11</w:t>
            </w:r>
          </w:p>
        </w:tc>
        <w:tc>
          <w:tcPr>
            <w:tcW w:w="1474" w:type="dxa"/>
            <w:vAlign w:val="center"/>
          </w:tcPr>
          <w:p>
            <w:pPr>
              <w:pStyle w:val="11"/>
            </w:pPr>
            <w:r>
              <w:t>10.11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17.32</w:t>
            </w:r>
          </w:p>
        </w:tc>
        <w:tc>
          <w:tcPr>
            <w:tcW w:w="1474" w:type="dxa"/>
            <w:vAlign w:val="center"/>
          </w:tcPr>
          <w:p>
            <w:pPr>
              <w:pStyle w:val="11"/>
            </w:pPr>
            <w:r>
              <w:t>17.32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799.20</w:t>
            </w:r>
          </w:p>
        </w:tc>
        <w:tc>
          <w:tcPr>
            <w:tcW w:w="3402" w:type="dxa"/>
            <w:vAlign w:val="center"/>
          </w:tcPr>
          <w:p>
            <w:pPr>
              <w:pStyle w:val="14"/>
            </w:pPr>
            <w:r>
              <w:t>本年支出合计</w:t>
            </w:r>
          </w:p>
        </w:tc>
        <w:tc>
          <w:tcPr>
            <w:tcW w:w="1474" w:type="dxa"/>
            <w:vAlign w:val="center"/>
          </w:tcPr>
          <w:p>
            <w:pPr>
              <w:pStyle w:val="15"/>
            </w:pPr>
            <w:r>
              <w:t>799.20</w:t>
            </w:r>
          </w:p>
        </w:tc>
        <w:tc>
          <w:tcPr>
            <w:tcW w:w="1474" w:type="dxa"/>
            <w:vAlign w:val="center"/>
          </w:tcPr>
          <w:p>
            <w:pPr>
              <w:pStyle w:val="15"/>
            </w:pPr>
            <w:r>
              <w:t>799.20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799.20</w:t>
            </w:r>
          </w:p>
        </w:tc>
        <w:tc>
          <w:tcPr>
            <w:tcW w:w="3402" w:type="dxa"/>
            <w:vAlign w:val="center"/>
          </w:tcPr>
          <w:p>
            <w:pPr>
              <w:pStyle w:val="14"/>
            </w:pPr>
            <w:r>
              <w:t>支出总计</w:t>
            </w:r>
          </w:p>
        </w:tc>
        <w:tc>
          <w:tcPr>
            <w:tcW w:w="1474" w:type="dxa"/>
            <w:vAlign w:val="center"/>
          </w:tcPr>
          <w:p>
            <w:pPr>
              <w:pStyle w:val="15"/>
            </w:pPr>
            <w:r>
              <w:t>799.20</w:t>
            </w:r>
          </w:p>
        </w:tc>
        <w:tc>
          <w:tcPr>
            <w:tcW w:w="1474" w:type="dxa"/>
            <w:vAlign w:val="center"/>
          </w:tcPr>
          <w:p>
            <w:pPr>
              <w:pStyle w:val="15"/>
            </w:pPr>
            <w:r>
              <w:t>799.20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799.20</w:t>
            </w:r>
          </w:p>
        </w:tc>
        <w:tc>
          <w:tcPr>
            <w:tcW w:w="2551" w:type="dxa"/>
            <w:vAlign w:val="center"/>
          </w:tcPr>
          <w:p>
            <w:pPr>
              <w:pStyle w:val="15"/>
            </w:pPr>
            <w:r>
              <w:t>264.20</w:t>
            </w:r>
          </w:p>
        </w:tc>
        <w:tc>
          <w:tcPr>
            <w:tcW w:w="2551" w:type="dxa"/>
            <w:vAlign w:val="center"/>
          </w:tcPr>
          <w:p>
            <w:pPr>
              <w:pStyle w:val="15"/>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751.49</w:t>
            </w:r>
          </w:p>
        </w:tc>
        <w:tc>
          <w:tcPr>
            <w:tcW w:w="2551" w:type="dxa"/>
            <w:vAlign w:val="center"/>
          </w:tcPr>
          <w:p>
            <w:pPr>
              <w:pStyle w:val="11"/>
            </w:pPr>
            <w:r>
              <w:t>216.49</w:t>
            </w:r>
          </w:p>
        </w:tc>
        <w:tc>
          <w:tcPr>
            <w:tcW w:w="2551" w:type="dxa"/>
            <w:vAlign w:val="center"/>
          </w:tcPr>
          <w:p>
            <w:pPr>
              <w:pStyle w:val="11"/>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751.49</w:t>
            </w:r>
          </w:p>
        </w:tc>
        <w:tc>
          <w:tcPr>
            <w:tcW w:w="2551" w:type="dxa"/>
            <w:vAlign w:val="center"/>
          </w:tcPr>
          <w:p>
            <w:pPr>
              <w:pStyle w:val="11"/>
            </w:pPr>
            <w:r>
              <w:t>216.49</w:t>
            </w:r>
          </w:p>
        </w:tc>
        <w:tc>
          <w:tcPr>
            <w:tcW w:w="2551" w:type="dxa"/>
            <w:vAlign w:val="center"/>
          </w:tcPr>
          <w:p>
            <w:pPr>
              <w:pStyle w:val="11"/>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216.49</w:t>
            </w:r>
          </w:p>
        </w:tc>
        <w:tc>
          <w:tcPr>
            <w:tcW w:w="2551" w:type="dxa"/>
            <w:vAlign w:val="center"/>
          </w:tcPr>
          <w:p>
            <w:pPr>
              <w:pStyle w:val="11"/>
            </w:pPr>
            <w:r>
              <w:t>216.49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535.00</w:t>
            </w:r>
          </w:p>
        </w:tc>
        <w:tc>
          <w:tcPr>
            <w:tcW w:w="2551" w:type="dxa"/>
            <w:vAlign w:val="center"/>
          </w:tcPr>
          <w:p>
            <w:pPr>
              <w:pStyle w:val="11"/>
            </w:pPr>
          </w:p>
        </w:tc>
        <w:tc>
          <w:tcPr>
            <w:tcW w:w="2551" w:type="dxa"/>
            <w:vAlign w:val="center"/>
          </w:tcPr>
          <w:p>
            <w:pPr>
              <w:pStyle w:val="11"/>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10.11</w:t>
            </w:r>
          </w:p>
        </w:tc>
        <w:tc>
          <w:tcPr>
            <w:tcW w:w="2551" w:type="dxa"/>
            <w:vAlign w:val="center"/>
          </w:tcPr>
          <w:p>
            <w:pPr>
              <w:pStyle w:val="11"/>
            </w:pPr>
            <w:r>
              <w:t>10.11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10.11</w:t>
            </w:r>
          </w:p>
        </w:tc>
        <w:tc>
          <w:tcPr>
            <w:tcW w:w="2551" w:type="dxa"/>
            <w:vAlign w:val="center"/>
          </w:tcPr>
          <w:p>
            <w:pPr>
              <w:pStyle w:val="11"/>
            </w:pPr>
            <w:r>
              <w:t>10.11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10.11</w:t>
            </w:r>
          </w:p>
        </w:tc>
        <w:tc>
          <w:tcPr>
            <w:tcW w:w="2551" w:type="dxa"/>
            <w:vAlign w:val="center"/>
          </w:tcPr>
          <w:p>
            <w:pPr>
              <w:pStyle w:val="11"/>
            </w:pPr>
            <w:r>
              <w:t>10.11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264.20</w:t>
            </w:r>
          </w:p>
        </w:tc>
        <w:tc>
          <w:tcPr>
            <w:tcW w:w="2551" w:type="dxa"/>
            <w:vAlign w:val="center"/>
          </w:tcPr>
          <w:p>
            <w:pPr>
              <w:pStyle w:val="15"/>
            </w:pPr>
            <w:r>
              <w:t>241.66</w:t>
            </w:r>
          </w:p>
        </w:tc>
        <w:tc>
          <w:tcPr>
            <w:tcW w:w="2552" w:type="dxa"/>
            <w:vAlign w:val="center"/>
          </w:tcPr>
          <w:p>
            <w:pPr>
              <w:pStyle w:val="15"/>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236.33</w:t>
            </w:r>
          </w:p>
        </w:tc>
        <w:tc>
          <w:tcPr>
            <w:tcW w:w="2551" w:type="dxa"/>
            <w:vAlign w:val="center"/>
          </w:tcPr>
          <w:p>
            <w:pPr>
              <w:pStyle w:val="11"/>
            </w:pPr>
            <w:r>
              <w:t>236.33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86.86</w:t>
            </w:r>
          </w:p>
        </w:tc>
        <w:tc>
          <w:tcPr>
            <w:tcW w:w="2551" w:type="dxa"/>
            <w:vAlign w:val="center"/>
          </w:tcPr>
          <w:p>
            <w:pPr>
              <w:pStyle w:val="11"/>
            </w:pPr>
            <w:r>
              <w:t>86.86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70.12</w:t>
            </w:r>
          </w:p>
        </w:tc>
        <w:tc>
          <w:tcPr>
            <w:tcW w:w="2551" w:type="dxa"/>
            <w:vAlign w:val="center"/>
          </w:tcPr>
          <w:p>
            <w:pPr>
              <w:pStyle w:val="11"/>
            </w:pPr>
            <w:r>
              <w:t>70.12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7.24</w:t>
            </w:r>
          </w:p>
        </w:tc>
        <w:tc>
          <w:tcPr>
            <w:tcW w:w="2551" w:type="dxa"/>
            <w:vAlign w:val="center"/>
          </w:tcPr>
          <w:p>
            <w:pPr>
              <w:pStyle w:val="11"/>
            </w:pPr>
            <w:r>
              <w:t>7.24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20.39</w:t>
            </w:r>
          </w:p>
        </w:tc>
        <w:tc>
          <w:tcPr>
            <w:tcW w:w="2551" w:type="dxa"/>
            <w:vAlign w:val="center"/>
          </w:tcPr>
          <w:p>
            <w:pPr>
              <w:pStyle w:val="11"/>
            </w:pPr>
            <w:r>
              <w:t>20.39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20.28</w:t>
            </w:r>
          </w:p>
        </w:tc>
        <w:tc>
          <w:tcPr>
            <w:tcW w:w="2551" w:type="dxa"/>
            <w:vAlign w:val="center"/>
          </w:tcPr>
          <w:p>
            <w:pPr>
              <w:pStyle w:val="11"/>
            </w:pPr>
            <w:r>
              <w:t>20.28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10.11</w:t>
            </w:r>
          </w:p>
        </w:tc>
        <w:tc>
          <w:tcPr>
            <w:tcW w:w="2551" w:type="dxa"/>
            <w:vAlign w:val="center"/>
          </w:tcPr>
          <w:p>
            <w:pPr>
              <w:pStyle w:val="11"/>
            </w:pPr>
            <w:r>
              <w:t>10.11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4.01</w:t>
            </w:r>
          </w:p>
        </w:tc>
        <w:tc>
          <w:tcPr>
            <w:tcW w:w="2551" w:type="dxa"/>
            <w:vAlign w:val="center"/>
          </w:tcPr>
          <w:p>
            <w:pPr>
              <w:pStyle w:val="11"/>
            </w:pPr>
            <w:r>
              <w:t>4.01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17.32</w:t>
            </w:r>
          </w:p>
        </w:tc>
        <w:tc>
          <w:tcPr>
            <w:tcW w:w="2551" w:type="dxa"/>
            <w:vAlign w:val="center"/>
          </w:tcPr>
          <w:p>
            <w:pPr>
              <w:pStyle w:val="11"/>
            </w:pPr>
            <w:r>
              <w:t>17.32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22.54</w:t>
            </w:r>
          </w:p>
        </w:tc>
        <w:tc>
          <w:tcPr>
            <w:tcW w:w="2551" w:type="dxa"/>
            <w:vAlign w:val="center"/>
          </w:tcPr>
          <w:p>
            <w:pPr>
              <w:pStyle w:val="11"/>
            </w:pPr>
          </w:p>
        </w:tc>
        <w:tc>
          <w:tcPr>
            <w:tcW w:w="2552" w:type="dxa"/>
            <w:vAlign w:val="center"/>
          </w:tcPr>
          <w:p>
            <w:pPr>
              <w:pStyle w:val="11"/>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6.06</w:t>
            </w:r>
          </w:p>
        </w:tc>
        <w:tc>
          <w:tcPr>
            <w:tcW w:w="2551" w:type="dxa"/>
            <w:vAlign w:val="center"/>
          </w:tcPr>
          <w:p>
            <w:pPr>
              <w:pStyle w:val="11"/>
            </w:pPr>
          </w:p>
        </w:tc>
        <w:tc>
          <w:tcPr>
            <w:tcW w:w="2552" w:type="dxa"/>
            <w:vAlign w:val="center"/>
          </w:tcPr>
          <w:p>
            <w:pPr>
              <w:pStyle w:val="11"/>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14.04</w:t>
            </w:r>
          </w:p>
        </w:tc>
        <w:tc>
          <w:tcPr>
            <w:tcW w:w="2551" w:type="dxa"/>
            <w:vAlign w:val="center"/>
          </w:tcPr>
          <w:p>
            <w:pPr>
              <w:pStyle w:val="11"/>
            </w:pPr>
          </w:p>
        </w:tc>
        <w:tc>
          <w:tcPr>
            <w:tcW w:w="2552" w:type="dxa"/>
            <w:vAlign w:val="center"/>
          </w:tcPr>
          <w:p>
            <w:pPr>
              <w:pStyle w:val="11"/>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5.33</w:t>
            </w:r>
          </w:p>
        </w:tc>
        <w:tc>
          <w:tcPr>
            <w:tcW w:w="2551" w:type="dxa"/>
            <w:vAlign w:val="center"/>
          </w:tcPr>
          <w:p>
            <w:pPr>
              <w:pStyle w:val="11"/>
            </w:pPr>
            <w:r>
              <w:t>5.33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4.97</w:t>
            </w:r>
          </w:p>
        </w:tc>
        <w:tc>
          <w:tcPr>
            <w:tcW w:w="2551" w:type="dxa"/>
            <w:vAlign w:val="center"/>
          </w:tcPr>
          <w:p>
            <w:pPr>
              <w:pStyle w:val="11"/>
            </w:pPr>
            <w:r>
              <w:t>4.97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0.36</w:t>
            </w:r>
          </w:p>
        </w:tc>
        <w:tc>
          <w:tcPr>
            <w:tcW w:w="2551" w:type="dxa"/>
            <w:vAlign w:val="center"/>
          </w:tcPr>
          <w:p>
            <w:pPr>
              <w:pStyle w:val="11"/>
            </w:pPr>
            <w:r>
              <w:t>0.36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319001隆尧县审计局本级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隆尧县审计局本级2022年单位预算信息公开情况说明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按照《预算法》、《地方预决算公开操作规程》和《关于进一步推进预算公开工作的实施意见》规定，现将隆尧县审计局本级2022年单位预算公开如下：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w:t>
      </w:r>
      <w:bookmarkStart w:id="1" w:name="_GoBack"/>
      <w:r>
        <w:t>省</w:t>
      </w:r>
      <w:bookmarkEnd w:id="1"/>
      <w:r>
        <w:t>、市和县委、县政府相关重大政策措施贯彻落实情况进行跟踪审计。对审计、专项审计调查和核查社会审计机构相关审计报告的结果承担责任，并负有督促被审计单位整改的责任。</w:t>
      </w:r>
    </w:p>
    <w:p>
      <w:pPr>
        <w:pStyle w:val="29"/>
      </w:pPr>
      <w: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pStyle w:val="29"/>
      </w:pPr>
      <w: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29"/>
      </w:pPr>
      <w:r>
        <w:t>（四）直接审计下列事项，出具审计报告，在法定职权范围内作出审计决定，包括国家、省、市、县有关重大政策措施贯彻落实情况；县本级预算执行情况和其他财政收支，县直各部门(含所属单位）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个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pStyle w:val="29"/>
      </w:pPr>
      <w:r>
        <w:t>（五）按规定对县管党政主要领导干部及其他单位主要负责人实施经济责任审计和自然资源资产离任审计。</w:t>
      </w:r>
    </w:p>
    <w:p>
      <w:pPr>
        <w:pStyle w:val="29"/>
      </w:pPr>
      <w:r>
        <w:t>（六）组织实施对财经法律法规、规章、政策和宏观调控措施执行情况、财政预算管理及国有资产管理使用等与财政收支有关的特定事项进行专项审计调查。</w:t>
      </w:r>
    </w:p>
    <w:p>
      <w:pPr>
        <w:pStyle w:val="29"/>
      </w:pPr>
      <w:r>
        <w:t>（七）依法检查审计决定执行情况，督促整改审计查出的问题，依法办理被审计单位对审计决定提请行政复议、行政诉讼或县政府裁决中的有关事项，协助配合有关部门查处相关重大案件。</w:t>
      </w:r>
    </w:p>
    <w:p>
      <w:pPr>
        <w:pStyle w:val="29"/>
      </w:pPr>
      <w:r>
        <w:t>（八）指导和监督内部审计工作，核查社会审计机构对依法属于审计监督对象的单位出具的相关审计报告。</w:t>
      </w:r>
    </w:p>
    <w:p>
      <w:pPr>
        <w:pStyle w:val="29"/>
      </w:pPr>
      <w:r>
        <w:t>（九）组织开展审计领域的交流与合作，指导和推广信息技术在审计领域的应用。</w:t>
      </w:r>
    </w:p>
    <w:p>
      <w:pPr>
        <w:pStyle w:val="29"/>
      </w:pPr>
      <w:r>
        <w:t xml:space="preserve">（十）完成县委、县政府和省、市审计部门交办的其他任务。       </w:t>
      </w:r>
    </w:p>
    <w:p>
      <w:pPr>
        <w:pStyle w:val="29"/>
      </w:pPr>
    </w:p>
    <w:p>
      <w:pPr>
        <w:pStyle w:val="29"/>
      </w:pP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ascii="黑体" w:hAnsi="黑体" w:eastAsia="黑体" w:cs="黑体"/>
          <w:color w:val="000000"/>
          <w:sz w:val="32"/>
        </w:rPr>
      </w:pPr>
      <w:r>
        <w:rPr>
          <w:rFonts w:eastAsia="方正仿宋_GBK"/>
          <w:color w:val="000000"/>
          <w:sz w:val="28"/>
        </w:rPr>
        <w:t>按照预算管理有关规定，目前我</w:t>
      </w:r>
      <w:r>
        <w:rPr>
          <w:rFonts w:hint="eastAsia" w:eastAsia="方正仿宋_GBK"/>
          <w:color w:val="000000"/>
          <w:sz w:val="28"/>
          <w:lang w:eastAsia="zh-CN"/>
        </w:rPr>
        <w:t>县单位</w:t>
      </w:r>
      <w:r>
        <w:rPr>
          <w:rFonts w:eastAsia="方正仿宋_GBK"/>
          <w:color w:val="000000"/>
          <w:sz w:val="28"/>
        </w:rPr>
        <w:t>预算的编制实行综合预算管理，即全部收入和支出都反映在预算中。隆尧县审计局机关及所属事业单位的收支包含在</w:t>
      </w:r>
      <w:r>
        <w:rPr>
          <w:rFonts w:hint="eastAsia" w:eastAsia="方正仿宋_GBK"/>
          <w:color w:val="000000"/>
          <w:sz w:val="28"/>
          <w:lang w:eastAsia="zh-CN"/>
        </w:rPr>
        <w:t>单位</w:t>
      </w:r>
      <w:r>
        <w:rPr>
          <w:rFonts w:eastAsia="方正仿宋_GBK"/>
          <w:color w:val="000000"/>
          <w:sz w:val="28"/>
        </w:rPr>
        <w:t>预算中。</w:t>
      </w:r>
    </w:p>
    <w:p>
      <w:pPr>
        <w:spacing w:line="500" w:lineRule="exact"/>
        <w:ind w:firstLine="560"/>
        <w:rPr>
          <w:rFonts w:eastAsia="方正仿宋_GBK"/>
          <w:color w:val="000000"/>
          <w:sz w:val="28"/>
        </w:rPr>
      </w:pPr>
      <w:r>
        <w:rPr>
          <w:rFonts w:eastAsia="方正仿宋_GBK"/>
          <w:color w:val="000000"/>
          <w:sz w:val="28"/>
        </w:rPr>
        <w:t>1</w:t>
      </w:r>
      <w:r>
        <w:rPr>
          <w:rFonts w:hint="eastAsia" w:eastAsia="方正仿宋_GBK"/>
          <w:color w:val="000000"/>
          <w:sz w:val="28"/>
        </w:rPr>
        <w:t>、收入说明</w:t>
      </w:r>
    </w:p>
    <w:p>
      <w:pPr>
        <w:spacing w:line="500" w:lineRule="exact"/>
        <w:ind w:firstLine="560"/>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w:t>
      </w: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2</w:t>
      </w:r>
      <w:r>
        <w:rPr>
          <w:rFonts w:hint="eastAsia" w:eastAsia="方正仿宋_GBK"/>
          <w:color w:val="000000"/>
          <w:sz w:val="28"/>
        </w:rPr>
        <w:t>年预算收入</w:t>
      </w:r>
      <w:r>
        <w:rPr>
          <w:rFonts w:hint="eastAsia" w:eastAsia="方正仿宋_GBK"/>
          <w:color w:val="000000"/>
          <w:sz w:val="28"/>
          <w:lang w:val="en-US" w:eastAsia="zh-CN"/>
        </w:rPr>
        <w:t>799.2</w:t>
      </w:r>
      <w:r>
        <w:rPr>
          <w:rFonts w:hint="eastAsia" w:eastAsia="方正仿宋_GBK"/>
          <w:color w:val="000000"/>
          <w:sz w:val="28"/>
        </w:rPr>
        <w:t>万元，其中：一般公共预算收入</w:t>
      </w:r>
      <w:r>
        <w:rPr>
          <w:rFonts w:hint="eastAsia" w:eastAsia="方正仿宋_GBK"/>
          <w:color w:val="000000"/>
          <w:sz w:val="28"/>
          <w:lang w:val="en-US" w:eastAsia="zh-CN"/>
        </w:rPr>
        <w:t>799.2</w:t>
      </w:r>
      <w:r>
        <w:rPr>
          <w:rFonts w:hint="eastAsia" w:eastAsia="方正仿宋_GBK"/>
          <w:color w:val="000000"/>
          <w:sz w:val="28"/>
        </w:rPr>
        <w:t>万元，基金预算收入</w:t>
      </w:r>
      <w:r>
        <w:rPr>
          <w:rFonts w:eastAsia="方正仿宋_GBK"/>
          <w:color w:val="000000"/>
          <w:sz w:val="28"/>
        </w:rPr>
        <w:t>0</w:t>
      </w:r>
      <w:r>
        <w:rPr>
          <w:rFonts w:hint="eastAsia" w:eastAsia="方正仿宋_GBK"/>
          <w:color w:val="000000"/>
          <w:sz w:val="28"/>
        </w:rPr>
        <w:t>万元，</w:t>
      </w:r>
      <w:r>
        <w:rPr>
          <w:rFonts w:hint="eastAsia" w:eastAsia="方正仿宋_GBK"/>
          <w:color w:val="000000"/>
          <w:sz w:val="28"/>
          <w:lang w:eastAsia="zh-CN"/>
        </w:rPr>
        <w:t>国有资本经营预算收入</w:t>
      </w:r>
      <w:r>
        <w:rPr>
          <w:rFonts w:hint="eastAsia" w:eastAsia="方正仿宋_GBK"/>
          <w:color w:val="000000"/>
          <w:sz w:val="28"/>
          <w:lang w:val="en-US" w:eastAsia="zh-CN"/>
        </w:rPr>
        <w:t>0万元，</w:t>
      </w:r>
      <w:r>
        <w:rPr>
          <w:rFonts w:hint="eastAsia" w:eastAsia="方正仿宋_GBK"/>
          <w:color w:val="000000"/>
          <w:sz w:val="28"/>
        </w:rPr>
        <w:t>财政专户核拨收入</w:t>
      </w:r>
      <w:r>
        <w:rPr>
          <w:rFonts w:eastAsia="方正仿宋_GBK"/>
          <w:color w:val="000000"/>
          <w:sz w:val="28"/>
        </w:rPr>
        <w:t>0</w:t>
      </w:r>
      <w:r>
        <w:rPr>
          <w:rFonts w:hint="eastAsia" w:eastAsia="方正仿宋_GBK"/>
          <w:color w:val="000000"/>
          <w:sz w:val="28"/>
        </w:rPr>
        <w:t>万元，</w:t>
      </w:r>
      <w:r>
        <w:rPr>
          <w:rFonts w:hint="eastAsia" w:eastAsia="方正仿宋_GBK"/>
          <w:color w:val="000000"/>
          <w:sz w:val="28"/>
          <w:lang w:eastAsia="zh-CN"/>
        </w:rPr>
        <w:t>单位资金收入</w:t>
      </w:r>
      <w:r>
        <w:rPr>
          <w:rFonts w:hint="eastAsia" w:eastAsia="方正仿宋_GBK"/>
          <w:color w:val="000000"/>
          <w:sz w:val="28"/>
          <w:lang w:val="en-US" w:eastAsia="zh-CN"/>
        </w:rPr>
        <w:t>0万元，上年结转结余0万元</w:t>
      </w:r>
      <w:r>
        <w:rPr>
          <w:rFonts w:hint="eastAsia" w:eastAsia="方正仿宋_GBK"/>
          <w:color w:val="000000"/>
          <w:sz w:val="28"/>
        </w:rPr>
        <w:t>。</w:t>
      </w:r>
    </w:p>
    <w:p>
      <w:pPr>
        <w:spacing w:line="500" w:lineRule="exact"/>
        <w:ind w:firstLine="560"/>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line="500" w:lineRule="exact"/>
        <w:ind w:firstLine="560"/>
        <w:rPr>
          <w:rFonts w:hint="eastAsia" w:eastAsia="方正仿宋_GBK"/>
          <w:color w:val="000000"/>
          <w:sz w:val="28"/>
        </w:rPr>
      </w:pPr>
      <w:r>
        <w:rPr>
          <w:rFonts w:hint="eastAsia" w:eastAsia="方正仿宋_GBK"/>
          <w:color w:val="000000"/>
          <w:sz w:val="28"/>
        </w:rPr>
        <w:t>收支预算总表支出栏、基本支出表、项目支出表按经济分类和支出功能分类科目编制，反映隆尧县审计局年度</w:t>
      </w:r>
      <w:r>
        <w:rPr>
          <w:rFonts w:hint="eastAsia" w:eastAsia="方正仿宋_GBK"/>
          <w:color w:val="000000"/>
          <w:sz w:val="28"/>
          <w:lang w:eastAsia="zh-CN"/>
        </w:rPr>
        <w:t>单位</w:t>
      </w:r>
      <w:r>
        <w:rPr>
          <w:rFonts w:hint="eastAsia" w:eastAsia="方正仿宋_GBK"/>
          <w:color w:val="000000"/>
          <w:sz w:val="28"/>
        </w:rPr>
        <w:t>预算中支出预算的总体情况。</w:t>
      </w: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2</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支出预算为</w:t>
      </w:r>
      <w:r>
        <w:rPr>
          <w:rFonts w:hint="eastAsia" w:eastAsia="方正仿宋_GBK"/>
          <w:color w:val="000000"/>
          <w:sz w:val="28"/>
          <w:lang w:val="en-US" w:eastAsia="zh-CN"/>
        </w:rPr>
        <w:t>799.2</w:t>
      </w:r>
      <w:r>
        <w:rPr>
          <w:rFonts w:hint="eastAsia" w:eastAsia="方正仿宋_GBK"/>
          <w:color w:val="000000"/>
          <w:sz w:val="28"/>
        </w:rPr>
        <w:t>万元，其中基本支出</w:t>
      </w:r>
      <w:r>
        <w:rPr>
          <w:rFonts w:hint="eastAsia" w:eastAsia="方正仿宋_GBK"/>
          <w:color w:val="000000"/>
          <w:sz w:val="28"/>
          <w:lang w:val="en-US" w:eastAsia="zh-CN"/>
        </w:rPr>
        <w:t>264.2</w:t>
      </w:r>
      <w:r>
        <w:rPr>
          <w:rFonts w:hint="eastAsia" w:eastAsia="方正仿宋_GBK"/>
          <w:color w:val="000000"/>
          <w:sz w:val="28"/>
        </w:rPr>
        <w:t>万元，包括人员经费</w:t>
      </w:r>
      <w:r>
        <w:rPr>
          <w:rFonts w:hint="eastAsia" w:eastAsia="方正仿宋_GBK"/>
          <w:color w:val="000000"/>
          <w:sz w:val="28"/>
          <w:lang w:val="en-US" w:eastAsia="zh-CN"/>
        </w:rPr>
        <w:t>241.66</w:t>
      </w:r>
      <w:r>
        <w:rPr>
          <w:rFonts w:hint="eastAsia" w:eastAsia="方正仿宋_GBK"/>
          <w:color w:val="000000"/>
          <w:sz w:val="28"/>
        </w:rPr>
        <w:t>万元和日常公用经费</w:t>
      </w:r>
      <w:r>
        <w:rPr>
          <w:rFonts w:hint="eastAsia" w:eastAsia="方正仿宋_GBK"/>
          <w:color w:val="000000"/>
          <w:sz w:val="28"/>
          <w:lang w:val="en-US" w:eastAsia="zh-CN"/>
        </w:rPr>
        <w:t>22.54</w:t>
      </w:r>
      <w:r>
        <w:rPr>
          <w:rFonts w:hint="eastAsia" w:eastAsia="方正仿宋_GBK"/>
          <w:color w:val="000000"/>
          <w:sz w:val="28"/>
        </w:rPr>
        <w:t>万元；项目支出</w:t>
      </w:r>
      <w:r>
        <w:rPr>
          <w:rFonts w:hint="eastAsia" w:eastAsia="方正仿宋_GBK"/>
          <w:color w:val="000000"/>
          <w:sz w:val="28"/>
          <w:lang w:val="en-US" w:eastAsia="zh-CN"/>
        </w:rPr>
        <w:t>535</w:t>
      </w:r>
      <w:r>
        <w:rPr>
          <w:rFonts w:hint="eastAsia" w:eastAsia="方正仿宋_GBK"/>
          <w:color w:val="000000"/>
          <w:sz w:val="28"/>
        </w:rPr>
        <w:t>万元，主要为审计事务支出</w:t>
      </w:r>
      <w:r>
        <w:rPr>
          <w:rFonts w:hint="eastAsia" w:eastAsia="方正仿宋_GBK"/>
          <w:color w:val="000000"/>
          <w:sz w:val="28"/>
          <w:lang w:val="en-US" w:eastAsia="zh-CN"/>
        </w:rPr>
        <w:t>535</w:t>
      </w:r>
      <w:r>
        <w:rPr>
          <w:rFonts w:hint="eastAsia" w:eastAsia="方正仿宋_GBK"/>
          <w:color w:val="000000"/>
          <w:sz w:val="28"/>
        </w:rPr>
        <w:t>万元。</w:t>
      </w:r>
    </w:p>
    <w:p>
      <w:pPr>
        <w:spacing w:line="500" w:lineRule="exact"/>
        <w:ind w:firstLine="560"/>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ind w:firstLine="640"/>
        <w:outlineLvl w:val="5"/>
        <w:rPr>
          <w:rFonts w:hint="eastAsia" w:eastAsia="方正仿宋_GBK"/>
          <w:color w:val="000000"/>
          <w:sz w:val="28"/>
        </w:rPr>
      </w:pP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2</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预算收支安排</w:t>
      </w:r>
      <w:r>
        <w:rPr>
          <w:rFonts w:hint="eastAsia" w:eastAsia="方正仿宋_GBK"/>
          <w:color w:val="000000"/>
          <w:sz w:val="28"/>
          <w:lang w:val="en-US" w:eastAsia="zh-CN"/>
        </w:rPr>
        <w:t>799.2</w:t>
      </w:r>
      <w:r>
        <w:rPr>
          <w:rFonts w:hint="eastAsia" w:eastAsia="方正仿宋_GBK"/>
          <w:color w:val="000000"/>
          <w:sz w:val="28"/>
        </w:rPr>
        <w:t>万元，较</w:t>
      </w: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1</w:t>
      </w:r>
      <w:r>
        <w:rPr>
          <w:rFonts w:hint="eastAsia" w:eastAsia="方正仿宋_GBK"/>
          <w:color w:val="000000"/>
          <w:sz w:val="28"/>
        </w:rPr>
        <w:t>年</w:t>
      </w:r>
      <w:r>
        <w:rPr>
          <w:rFonts w:hint="eastAsia" w:eastAsia="方正仿宋_GBK"/>
          <w:color w:val="000000"/>
          <w:sz w:val="28"/>
          <w:lang w:eastAsia="zh-CN"/>
        </w:rPr>
        <w:t>增加</w:t>
      </w:r>
      <w:r>
        <w:rPr>
          <w:rFonts w:hint="eastAsia" w:eastAsia="方正仿宋_GBK"/>
          <w:color w:val="000000"/>
          <w:sz w:val="28"/>
          <w:lang w:val="en-US" w:eastAsia="zh-CN"/>
        </w:rPr>
        <w:t>429.95</w:t>
      </w:r>
      <w:r>
        <w:rPr>
          <w:rFonts w:hint="eastAsia" w:eastAsia="方正仿宋_GBK"/>
          <w:color w:val="000000"/>
          <w:sz w:val="28"/>
        </w:rPr>
        <w:t>万元，其中：基本支出</w:t>
      </w:r>
      <w:r>
        <w:rPr>
          <w:rFonts w:hint="eastAsia" w:eastAsia="方正仿宋_GBK"/>
          <w:color w:val="000000"/>
          <w:sz w:val="28"/>
          <w:lang w:eastAsia="zh-CN"/>
        </w:rPr>
        <w:t>增加</w:t>
      </w:r>
      <w:r>
        <w:rPr>
          <w:rFonts w:hint="eastAsia" w:eastAsia="方正仿宋_GBK"/>
          <w:color w:val="000000"/>
          <w:sz w:val="28"/>
          <w:lang w:val="en-US" w:eastAsia="zh-CN"/>
        </w:rPr>
        <w:t>59.95</w:t>
      </w:r>
      <w:r>
        <w:rPr>
          <w:rFonts w:hint="eastAsia" w:eastAsia="方正仿宋_GBK"/>
          <w:color w:val="000000"/>
          <w:sz w:val="28"/>
        </w:rPr>
        <w:t>万元，日常公用增加</w:t>
      </w:r>
      <w:r>
        <w:rPr>
          <w:rFonts w:hint="eastAsia" w:eastAsia="方正仿宋_GBK"/>
          <w:color w:val="000000"/>
          <w:sz w:val="28"/>
          <w:lang w:val="en-US" w:eastAsia="zh-CN"/>
        </w:rPr>
        <w:t>0.98</w:t>
      </w:r>
      <w:r>
        <w:rPr>
          <w:rFonts w:hint="eastAsia" w:eastAsia="方正仿宋_GBK"/>
          <w:color w:val="000000"/>
          <w:sz w:val="28"/>
        </w:rPr>
        <w:t>万元；项目支出</w:t>
      </w:r>
      <w:r>
        <w:rPr>
          <w:rFonts w:hint="eastAsia" w:eastAsia="方正仿宋_GBK"/>
          <w:color w:val="000000"/>
          <w:sz w:val="28"/>
          <w:lang w:eastAsia="zh-CN"/>
        </w:rPr>
        <w:t>增加</w:t>
      </w:r>
      <w:r>
        <w:rPr>
          <w:rFonts w:hint="eastAsia" w:eastAsia="方正仿宋_GBK"/>
          <w:color w:val="000000"/>
          <w:sz w:val="28"/>
          <w:lang w:val="en-US" w:eastAsia="zh-CN"/>
        </w:rPr>
        <w:t>370万元，</w:t>
      </w:r>
      <w:r>
        <w:rPr>
          <w:rFonts w:hint="eastAsia" w:eastAsia="方正仿宋_GBK"/>
          <w:color w:val="000000"/>
          <w:sz w:val="28"/>
          <w:lang w:eastAsia="zh-CN"/>
        </w:rPr>
        <w:t>主要原因为政府基建项目审计业务专项经费增加</w:t>
      </w:r>
      <w:r>
        <w:rPr>
          <w:rFonts w:hint="eastAsia" w:eastAsia="方正仿宋_GBK"/>
          <w:color w:val="000000"/>
          <w:sz w:val="28"/>
        </w:rPr>
        <w:t>。</w:t>
      </w:r>
    </w:p>
    <w:p>
      <w:pPr>
        <w:spacing w:before="10" w:after="10"/>
        <w:ind w:firstLine="640"/>
        <w:outlineLvl w:val="5"/>
      </w:pPr>
      <w:r>
        <w:rPr>
          <w:rFonts w:ascii="黑体" w:hAnsi="黑体" w:eastAsia="黑体" w:cs="黑体"/>
          <w:color w:val="000000"/>
          <w:sz w:val="32"/>
        </w:rPr>
        <w:t>三、机关运行经费安排情况</w:t>
      </w:r>
    </w:p>
    <w:p>
      <w:pPr>
        <w:pStyle w:val="31"/>
      </w:pPr>
      <w:r>
        <w:t>2022年，我</w:t>
      </w:r>
      <w:r>
        <w:rPr>
          <w:rFonts w:hint="eastAsia"/>
          <w:lang w:eastAsia="zh-CN"/>
        </w:rPr>
        <w:t>单位</w:t>
      </w:r>
      <w:r>
        <w:t>机关运行经费共计安排22.54万元，主要用于办公费、工会经费、福利费、残疾人保障金、公务交通补贴等日常运行支出。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w:t>
      </w:r>
      <w:r>
        <w:rPr>
          <w:rFonts w:hint="eastAsia"/>
          <w:lang w:eastAsia="zh-CN"/>
        </w:rPr>
        <w:t>单位</w:t>
      </w:r>
      <w:r>
        <w:t>未安排“三公”经费预算。</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1、审计工作经费绩效目标表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1.外聘人员保障审计工作开展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外聘人事代理人员数量</w:t>
            </w:r>
          </w:p>
        </w:tc>
        <w:tc>
          <w:tcPr>
            <w:tcW w:w="2835" w:type="dxa"/>
            <w:vAlign w:val="center"/>
          </w:tcPr>
          <w:p>
            <w:pPr>
              <w:pStyle w:val="26"/>
            </w:pPr>
            <w:r>
              <w:t>外聘人事代理人员数量</w:t>
            </w:r>
          </w:p>
        </w:tc>
        <w:tc>
          <w:tcPr>
            <w:tcW w:w="2551" w:type="dxa"/>
            <w:vAlign w:val="center"/>
          </w:tcPr>
          <w:p>
            <w:pPr>
              <w:pStyle w:val="26"/>
            </w:pPr>
            <w:r>
              <w:t>≥13个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工作考核合格率</w:t>
            </w:r>
          </w:p>
        </w:tc>
        <w:tc>
          <w:tcPr>
            <w:tcW w:w="2835" w:type="dxa"/>
            <w:vAlign w:val="center"/>
          </w:tcPr>
          <w:p>
            <w:pPr>
              <w:pStyle w:val="26"/>
            </w:pPr>
            <w:r>
              <w:t>工作考核合格率</w:t>
            </w:r>
          </w:p>
        </w:tc>
        <w:tc>
          <w:tcPr>
            <w:tcW w:w="2551" w:type="dxa"/>
            <w:vAlign w:val="center"/>
          </w:tcPr>
          <w:p>
            <w:pPr>
              <w:pStyle w:val="26"/>
            </w:pPr>
            <w:r>
              <w:t>100百分比</w:t>
            </w:r>
          </w:p>
        </w:tc>
        <w:tc>
          <w:tcPr>
            <w:tcW w:w="2268" w:type="dxa"/>
            <w:vAlign w:val="center"/>
          </w:tcPr>
          <w:p>
            <w:pPr>
              <w:pStyle w:val="26"/>
            </w:pPr>
            <w:r>
              <w:t>相关考核评价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工作完成及时率</w:t>
            </w:r>
          </w:p>
        </w:tc>
        <w:tc>
          <w:tcPr>
            <w:tcW w:w="2835" w:type="dxa"/>
            <w:vAlign w:val="center"/>
          </w:tcPr>
          <w:p>
            <w:pPr>
              <w:pStyle w:val="26"/>
            </w:pPr>
            <w:r>
              <w:t>工作完成及时率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人员费用成本</w:t>
            </w:r>
          </w:p>
        </w:tc>
        <w:tc>
          <w:tcPr>
            <w:tcW w:w="2835" w:type="dxa"/>
            <w:vAlign w:val="center"/>
          </w:tcPr>
          <w:p>
            <w:pPr>
              <w:pStyle w:val="26"/>
            </w:pPr>
            <w:r>
              <w:t>人员费用成本</w:t>
            </w:r>
          </w:p>
        </w:tc>
        <w:tc>
          <w:tcPr>
            <w:tcW w:w="2551" w:type="dxa"/>
            <w:vAlign w:val="center"/>
          </w:tcPr>
          <w:p>
            <w:pPr>
              <w:pStyle w:val="26"/>
            </w:pPr>
            <w:r>
              <w:t>60万元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完成率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被审单位满意率</w:t>
            </w:r>
          </w:p>
        </w:tc>
        <w:tc>
          <w:tcPr>
            <w:tcW w:w="2835" w:type="dxa"/>
            <w:vAlign w:val="center"/>
          </w:tcPr>
          <w:p>
            <w:pPr>
              <w:pStyle w:val="26"/>
            </w:pPr>
            <w:r>
              <w:t>被审单位满意度</w:t>
            </w:r>
          </w:p>
        </w:tc>
        <w:tc>
          <w:tcPr>
            <w:tcW w:w="2551" w:type="dxa"/>
            <w:vAlign w:val="center"/>
          </w:tcPr>
          <w:p>
            <w:pPr>
              <w:pStyle w:val="26"/>
            </w:pPr>
            <w:r>
              <w:t>100百分比</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2、审计业务专项经费绩效目标表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1.落实审计监督责任，按计划完成年度审计工作任务</w:t>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审计项目数量</w:t>
            </w:r>
          </w:p>
        </w:tc>
        <w:tc>
          <w:tcPr>
            <w:tcW w:w="2835" w:type="dxa"/>
            <w:vAlign w:val="center"/>
          </w:tcPr>
          <w:p>
            <w:pPr>
              <w:pStyle w:val="26"/>
            </w:pPr>
            <w:r>
              <w:t>全年完成审计项目的个数</w:t>
            </w:r>
          </w:p>
        </w:tc>
        <w:tc>
          <w:tcPr>
            <w:tcW w:w="2551" w:type="dxa"/>
            <w:vAlign w:val="center"/>
          </w:tcPr>
          <w:p>
            <w:pPr>
              <w:pStyle w:val="26"/>
            </w:pPr>
            <w:r>
              <w:t>≥20个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审计问题整改率</w:t>
            </w:r>
          </w:p>
        </w:tc>
        <w:tc>
          <w:tcPr>
            <w:tcW w:w="2835" w:type="dxa"/>
            <w:vAlign w:val="center"/>
          </w:tcPr>
          <w:p>
            <w:pPr>
              <w:pStyle w:val="26"/>
            </w:pPr>
            <w:r>
              <w:t>被审单位完成问题整改情况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审计项目完成及时率</w:t>
            </w:r>
          </w:p>
        </w:tc>
        <w:tc>
          <w:tcPr>
            <w:tcW w:w="2835" w:type="dxa"/>
            <w:vAlign w:val="center"/>
          </w:tcPr>
          <w:p>
            <w:pPr>
              <w:pStyle w:val="26"/>
            </w:pPr>
            <w:r>
              <w:t>按照计划审计项目完成及时率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审计业务成本</w:t>
            </w:r>
          </w:p>
        </w:tc>
        <w:tc>
          <w:tcPr>
            <w:tcW w:w="2835" w:type="dxa"/>
            <w:vAlign w:val="center"/>
          </w:tcPr>
          <w:p>
            <w:pPr>
              <w:pStyle w:val="26"/>
            </w:pPr>
            <w:r>
              <w:t>完成审计计划所发生的费用</w:t>
            </w:r>
          </w:p>
        </w:tc>
        <w:tc>
          <w:tcPr>
            <w:tcW w:w="2551" w:type="dxa"/>
            <w:vAlign w:val="center"/>
          </w:tcPr>
          <w:p>
            <w:pPr>
              <w:pStyle w:val="26"/>
            </w:pPr>
            <w:r>
              <w:t>75万元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被审计单位调账处理完成率</w:t>
            </w:r>
          </w:p>
        </w:tc>
        <w:tc>
          <w:tcPr>
            <w:tcW w:w="2835" w:type="dxa"/>
            <w:vAlign w:val="center"/>
          </w:tcPr>
          <w:p>
            <w:pPr>
              <w:pStyle w:val="26"/>
            </w:pPr>
            <w:r>
              <w:t>被审计单位调账处理完成情况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被审单位满意率</w:t>
            </w:r>
          </w:p>
        </w:tc>
        <w:tc>
          <w:tcPr>
            <w:tcW w:w="2835" w:type="dxa"/>
            <w:vAlign w:val="center"/>
          </w:tcPr>
          <w:p>
            <w:pPr>
              <w:pStyle w:val="26"/>
            </w:pPr>
            <w:r>
              <w:t>被审单位满意度</w:t>
            </w:r>
          </w:p>
        </w:tc>
        <w:tc>
          <w:tcPr>
            <w:tcW w:w="2551" w:type="dxa"/>
            <w:vAlign w:val="center"/>
          </w:tcPr>
          <w:p>
            <w:pPr>
              <w:pStyle w:val="26"/>
            </w:pPr>
            <w:r>
              <w:t>100百分比</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3、政府基建项目审计业务专项经费绩效目标表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1.落实审计监督责任，按计划完成年度审计工作任务</w:t>
            </w:r>
            <w:r>
              <w:tab/>
            </w:r>
            <w:r>
              <w:t>督促审计问题整改</w:t>
            </w:r>
            <w:r>
              <w:tab/>
            </w:r>
            <w:r>
              <w:t>出具审计评价和审计报告，为领导决策提供建议和服务</w:t>
            </w:r>
            <w:r>
              <w:tab/>
            </w:r>
            <w:r>
              <w:tab/>
            </w:r>
            <w:r>
              <w:tab/>
            </w:r>
            <w:r>
              <w:tab/>
            </w:r>
          </w:p>
          <w:p>
            <w:pPr>
              <w:pStyle w:val="26"/>
            </w:pPr>
            <w:r>
              <w:tab/>
            </w:r>
            <w:r>
              <w:tab/>
            </w:r>
            <w:r>
              <w:tab/>
            </w:r>
          </w:p>
          <w:p>
            <w:pPr>
              <w:pStyle w:val="26"/>
            </w:pP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审计项目数量</w:t>
            </w:r>
          </w:p>
        </w:tc>
        <w:tc>
          <w:tcPr>
            <w:tcW w:w="2835" w:type="dxa"/>
            <w:vAlign w:val="center"/>
          </w:tcPr>
          <w:p>
            <w:pPr>
              <w:pStyle w:val="26"/>
            </w:pPr>
            <w:r>
              <w:t>全年完成审计项目的个数</w:t>
            </w:r>
          </w:p>
        </w:tc>
        <w:tc>
          <w:tcPr>
            <w:tcW w:w="2551" w:type="dxa"/>
            <w:vAlign w:val="center"/>
          </w:tcPr>
          <w:p>
            <w:pPr>
              <w:pStyle w:val="26"/>
            </w:pPr>
            <w:r>
              <w:t>≥20个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审计问题整改率</w:t>
            </w:r>
          </w:p>
        </w:tc>
        <w:tc>
          <w:tcPr>
            <w:tcW w:w="2835" w:type="dxa"/>
            <w:vAlign w:val="center"/>
          </w:tcPr>
          <w:p>
            <w:pPr>
              <w:pStyle w:val="26"/>
            </w:pPr>
            <w:r>
              <w:t>被审单位完成问题整改情况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为按时完成审计档案归档的审计项目</w:t>
            </w:r>
          </w:p>
        </w:tc>
        <w:tc>
          <w:tcPr>
            <w:tcW w:w="2835" w:type="dxa"/>
            <w:vAlign w:val="center"/>
          </w:tcPr>
          <w:p>
            <w:pPr>
              <w:pStyle w:val="26"/>
            </w:pPr>
            <w:r>
              <w:t>按照计划审计项目归档完成及时率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委托审计费用</w:t>
            </w:r>
          </w:p>
        </w:tc>
        <w:tc>
          <w:tcPr>
            <w:tcW w:w="2835" w:type="dxa"/>
            <w:vAlign w:val="center"/>
          </w:tcPr>
          <w:p>
            <w:pPr>
              <w:pStyle w:val="26"/>
            </w:pPr>
            <w:r>
              <w:t>完成计划所发生的费用</w:t>
            </w:r>
          </w:p>
        </w:tc>
        <w:tc>
          <w:tcPr>
            <w:tcW w:w="2551" w:type="dxa"/>
            <w:vAlign w:val="center"/>
          </w:tcPr>
          <w:p>
            <w:pPr>
              <w:pStyle w:val="26"/>
            </w:pPr>
            <w:r>
              <w:t>458万元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被审计单位根据审计建议完成整改情况</w:t>
            </w:r>
          </w:p>
        </w:tc>
        <w:tc>
          <w:tcPr>
            <w:tcW w:w="2835" w:type="dxa"/>
            <w:vAlign w:val="center"/>
          </w:tcPr>
          <w:p>
            <w:pPr>
              <w:pStyle w:val="26"/>
            </w:pPr>
            <w:r>
              <w:t>被审计单位完成整改情况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委托单位满意率</w:t>
            </w:r>
          </w:p>
        </w:tc>
        <w:tc>
          <w:tcPr>
            <w:tcW w:w="2835" w:type="dxa"/>
            <w:vAlign w:val="center"/>
          </w:tcPr>
          <w:p>
            <w:pPr>
              <w:pStyle w:val="26"/>
            </w:pPr>
            <w:r>
              <w:t>委托单位满意度</w:t>
            </w:r>
          </w:p>
        </w:tc>
        <w:tc>
          <w:tcPr>
            <w:tcW w:w="2551" w:type="dxa"/>
            <w:vAlign w:val="center"/>
          </w:tcPr>
          <w:p>
            <w:pPr>
              <w:pStyle w:val="26"/>
            </w:pPr>
            <w:r>
              <w:t>100百分比</w:t>
            </w:r>
          </w:p>
        </w:tc>
        <w:tc>
          <w:tcPr>
            <w:tcW w:w="2268" w:type="dxa"/>
            <w:vAlign w:val="center"/>
          </w:tcPr>
          <w:p>
            <w:pPr>
              <w:pStyle w:val="26"/>
            </w:pPr>
            <w:r>
              <w:t>年度工作总结</w:t>
            </w:r>
          </w:p>
          <w:p>
            <w:pPr>
              <w:pStyle w:val="26"/>
            </w:pP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2022年，隆尧县审计局本级安排政府采购预算5.00万元。具体内容见下表。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319001隆尧县审计局本级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隆尧县审计局本级小计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审计业务专项经费</w:t>
            </w:r>
          </w:p>
        </w:tc>
        <w:tc>
          <w:tcPr>
            <w:tcW w:w="964" w:type="dxa"/>
            <w:vAlign w:val="center"/>
          </w:tcPr>
          <w:p>
            <w:pPr>
              <w:pStyle w:val="11"/>
            </w:pPr>
            <w:r>
              <w:t>75.00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审计业务专项经费</w:t>
            </w:r>
          </w:p>
        </w:tc>
        <w:tc>
          <w:tcPr>
            <w:tcW w:w="964" w:type="dxa"/>
            <w:vAlign w:val="center"/>
          </w:tcPr>
          <w:p>
            <w:pPr>
              <w:pStyle w:val="11"/>
            </w:pPr>
            <w:r>
              <w:t>75.00</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隆尧县审计局本级上年末固定资产金额为6</w:t>
      </w:r>
      <w:r>
        <w:rPr>
          <w:rFonts w:hint="eastAsia" w:eastAsia="方正仿宋_GBK"/>
          <w:color w:val="000000"/>
          <w:sz w:val="28"/>
          <w:lang w:val="en-US" w:eastAsia="zh-CN"/>
        </w:rPr>
        <w:t>6</w:t>
      </w:r>
      <w:r>
        <w:rPr>
          <w:rFonts w:eastAsia="方正仿宋_GBK"/>
          <w:color w:val="000000"/>
          <w:sz w:val="28"/>
        </w:rPr>
        <w:t>.19万元（详见下表）。本年度拟购置固定资产总额为5.00万元，已按要求列入政府采购预算，详见政府采购预算表。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319001隆尧县审计局本级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w:t>
            </w:r>
            <w:r>
              <w:rPr>
                <w:rFonts w:hint="eastAsia"/>
                <w:lang w:val="en-US" w:eastAsia="zh-CN"/>
              </w:rPr>
              <w:t>6</w:t>
            </w:r>
            <w:r>
              <w:t>.19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206</w:t>
            </w:r>
          </w:p>
        </w:tc>
        <w:tc>
          <w:tcPr>
            <w:tcW w:w="2835" w:type="dxa"/>
            <w:vAlign w:val="center"/>
          </w:tcPr>
          <w:p>
            <w:pPr>
              <w:pStyle w:val="11"/>
            </w:pPr>
            <w:r>
              <w:t>66.19</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小标宋简体">
    <w:altName w:val="宋体"/>
    <w:panose1 w:val="00000600000000000000"/>
    <w:charset w:val="86"/>
    <w:family w:val="auto"/>
    <w:pitch w:val="default"/>
    <w:sig w:usb0="00000000" w:usb1="00000000" w:usb2="00000012" w:usb3="00000000" w:csb0="00160001" w:csb1="1203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kyMGMxMzM0NDJiOTRmZmYyODczMmE5MTQ0YmZkZjYifQ=="/>
  </w:docVars>
  <w:rsids>
    <w:rsidRoot w:val="008B2821"/>
    <w:rsid w:val="008B2821"/>
    <w:rsid w:val="009A7F09"/>
    <w:rsid w:val="00BC4FCB"/>
    <w:rsid w:val="079B5016"/>
    <w:rsid w:val="0D796145"/>
    <w:rsid w:val="125C5F28"/>
    <w:rsid w:val="26DA110E"/>
    <w:rsid w:val="29DE62E4"/>
    <w:rsid w:val="323670E4"/>
    <w:rsid w:val="4302232B"/>
    <w:rsid w:val="53151437"/>
    <w:rsid w:val="56DC3CBF"/>
    <w:rsid w:val="5D4B45B0"/>
    <w:rsid w:val="6E31128B"/>
    <w:rsid w:val="762F4D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b990d678-4548-4b88-86a9-c3be32531798"/>
    <w:qFormat/>
    <w:uiPriority w:val="0"/>
    <w:rPr>
      <w:rFonts w:ascii="Times New Roman" w:hAnsi="Times New Roman" w:eastAsia="Times New Roman" w:cs="Times New Roman"/>
      <w:sz w:val="24"/>
      <w:szCs w:val="24"/>
      <w:lang w:val="en-US" w:eastAsia="uk-UA" w:bidi="ar-SA"/>
    </w:rPr>
  </w:style>
  <w:style w:type="paragraph" w:customStyle="1" w:styleId="25">
    <w:name w:val="单元格样式1_f625739e-41d7-4a0d-9ca0-6d7575db10a6"/>
    <w:basedOn w:val="1"/>
    <w:qFormat/>
    <w:uiPriority w:val="0"/>
    <w:pPr>
      <w:jc w:val="center"/>
    </w:pPr>
    <w:rPr>
      <w:rFonts w:ascii="方正书宋_GBK" w:hAnsi="方正书宋_GBK" w:eastAsia="方正书宋_GBK" w:cs="方正书宋_GBK"/>
      <w:b/>
      <w:sz w:val="21"/>
    </w:rPr>
  </w:style>
  <w:style w:type="paragraph" w:customStyle="1" w:styleId="26">
    <w:name w:val="单元格样式2_c030d66c-8279-4587-87dd-f6ffae91acec"/>
    <w:basedOn w:val="1"/>
    <w:qFormat/>
    <w:uiPriority w:val="0"/>
    <w:rPr>
      <w:rFonts w:ascii="方正书宋_GBK" w:hAnsi="方正书宋_GBK" w:eastAsia="方正书宋_GBK" w:cs="方正书宋_GBK"/>
      <w:sz w:val="21"/>
    </w:rPr>
  </w:style>
  <w:style w:type="paragraph" w:customStyle="1" w:styleId="27">
    <w:name w:val="单元格样式3_7858f46c-bada-4e9b-a3e8-810223004ddf"/>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2022-02-15T10:29:43Z</dcterms:created>
  <dcterms:modified xsi:type="dcterms:W3CDTF">2022-02-15T02:29:43Z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2022-02-15T10:29:41Z</dcterms:created>
  <dcterms:modified xsi:type="dcterms:W3CDTF">2022-02-15T02:29:41Z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2022-02-15T10:29:44Z</dcterms:created>
  <dcterms:modified xsi:type="dcterms:W3CDTF">2022-02-15T02:29:44Z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2022-02-15T10:29:41Z</dcterms:created>
  <dcterms:modified xsi:type="dcterms:W3CDTF">2022-02-15T02:29:41Z</dcterms:modified>
</cp:coreProperties>
</file>

<file path=customXml/itemProps1.xml><?xml version="1.0" encoding="utf-8"?>
<ds:datastoreItem xmlns:ds="http://schemas.openxmlformats.org/officeDocument/2006/customXml" ds:itemID="{BD10C372-96EC-4285-8208-66B834973C87}">
  <ds:schemaRefs/>
</ds:datastoreItem>
</file>

<file path=customXml/itemProps2.xml><?xml version="1.0" encoding="utf-8"?>
<ds:datastoreItem xmlns:ds="http://schemas.openxmlformats.org/officeDocument/2006/customXml" ds:itemID="{909376D1-5BAB-4D4E-BE0A-5476A08AC693}">
  <ds:schemaRefs/>
</ds:datastoreItem>
</file>

<file path=customXml/itemProps3.xml><?xml version="1.0" encoding="utf-8"?>
<ds:datastoreItem xmlns:ds="http://schemas.openxmlformats.org/officeDocument/2006/customXml" ds:itemID="{791FE11D-C5D3-44AC-B2CC-FD98B8888A00}">
  <ds:schemaRefs/>
</ds:datastoreItem>
</file>

<file path=customXml/itemProps4.xml><?xml version="1.0" encoding="utf-8"?>
<ds:datastoreItem xmlns:ds="http://schemas.openxmlformats.org/officeDocument/2006/customXml" ds:itemID="{863FE8B6-772C-4221-821B-E965392F6B91}">
  <ds:schemaRefs/>
</ds:datastoreItem>
</file>

<file path=customXml/itemProps5.xml><?xml version="1.0" encoding="utf-8"?>
<ds:datastoreItem xmlns:ds="http://schemas.openxmlformats.org/officeDocument/2006/customXml" ds:itemID="{CFD3C904-311E-4D3F-B57F-9F8186BB4ECB}">
  <ds:schemaRefs/>
</ds:datastoreItem>
</file>

<file path=customXml/itemProps6.xml><?xml version="1.0" encoding="utf-8"?>
<ds:datastoreItem xmlns:ds="http://schemas.openxmlformats.org/officeDocument/2006/customXml" ds:itemID="{50925560-F21E-40D8-AF5F-A1C8F02270F7}">
  <ds:schemaRefs/>
</ds:datastoreItem>
</file>

<file path=customXml/itemProps7.xml><?xml version="1.0" encoding="utf-8"?>
<ds:datastoreItem xmlns:ds="http://schemas.openxmlformats.org/officeDocument/2006/customXml" ds:itemID="{E713D6E2-F005-4F2F-BADB-74C286EAE139}">
  <ds:schemaRefs/>
</ds:datastoreItem>
</file>

<file path=customXml/itemProps8.xml><?xml version="1.0" encoding="utf-8"?>
<ds:datastoreItem xmlns:ds="http://schemas.openxmlformats.org/officeDocument/2006/customXml" ds:itemID="{9B92484A-01B0-4851-954F-8C28CF3B184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6551</Words>
  <Characters>7894</Characters>
  <Lines>151</Lines>
  <Paragraphs>42</Paragraphs>
  <TotalTime>6</TotalTime>
  <ScaleCrop>false</ScaleCrop>
  <LinksUpToDate>false</LinksUpToDate>
  <CharactersWithSpaces>8048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2022-02-15T02:36:00Z</dcterms:created>
  <dc:creator>lenovo</dc:creator>
  <cp:lastModifiedBy>Administrator</cp:lastModifiedBy>
  <dcterms:modified xsi:type="dcterms:W3CDTF">2023-09-04T09:36:15Z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29D96F18243E4F57BCDD9F249B11884A_13</vt:lpwstr>
  </property>
</Properties>
</file>