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both"/>
        <w:outlineLvl w:val="0"/>
        <w:rPr>
          <w:rFonts w:ascii="方正小标宋_GBK" w:hAnsi="方正小标宋_GBK" w:eastAsia="方正小标宋_GBK" w:cs="方正小标宋_GBK"/>
          <w:color w:val="000000"/>
          <w:sz w:val="72"/>
        </w:rPr>
      </w:pPr>
    </w:p>
    <w:p>
      <w:pPr>
        <w:jc w:val="center"/>
        <w:outlineLvl w:val="1"/>
        <w:rPr>
          <w:rFonts w:hint="eastAsia" w:ascii="方正小标宋_GBK" w:hAnsi="方正小标宋_GBK" w:eastAsia="方正小标宋_GBK" w:cs="方正小标宋_GBK"/>
          <w:color w:val="000000"/>
          <w:sz w:val="36"/>
          <w:lang w:eastAsia="zh-CN"/>
        </w:rPr>
      </w:pPr>
      <w:bookmarkStart w:id="0" w:name="_Toc_2_2_0000000001"/>
    </w:p>
    <w:p>
      <w:pPr>
        <w:jc w:val="center"/>
        <w:outlineLvl w:val="3"/>
        <w:rPr>
          <w:rFonts w:ascii="方正小标宋_GBK" w:hAnsi="方正小标宋_GBK" w:eastAsia="方正小标宋_GBK" w:cs="方正小标宋_GBK"/>
          <w:color w:val="000000"/>
          <w:sz w:val="44"/>
        </w:rPr>
      </w:pPr>
      <w:bookmarkStart w:id="1" w:name="_Toc_4_4_0000000019"/>
    </w:p>
    <w:p>
      <w:pPr>
        <w:jc w:val="center"/>
        <w:outlineLvl w:val="3"/>
        <w:rPr>
          <w:rFonts w:hint="eastAsia" w:ascii="方正小标宋_GBK" w:hAnsi="方正小标宋_GBK" w:eastAsia="方正小标宋_GBK" w:cs="方正小标宋_GBK"/>
          <w:color w:val="000000"/>
          <w:sz w:val="36"/>
          <w:lang w:eastAsia="zh-CN"/>
        </w:rPr>
      </w:pPr>
      <w:r>
        <w:rPr>
          <w:rFonts w:ascii="方正小标宋_GBK" w:hAnsi="方正小标宋_GBK" w:eastAsia="方正小标宋_GBK" w:cs="方正小标宋_GBK"/>
          <w:color w:val="000000"/>
          <w:sz w:val="44"/>
        </w:rPr>
        <w:t>一、隆尧县消防救援大队本级收支预算</w:t>
      </w:r>
      <w:bookmarkEnd w:id="1"/>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1784.84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1784.84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1784.84</w:t>
            </w:r>
          </w:p>
        </w:tc>
        <w:tc>
          <w:tcPr>
            <w:tcW w:w="4535" w:type="dxa"/>
            <w:vAlign w:val="center"/>
          </w:tcPr>
          <w:p>
            <w:pPr>
              <w:pStyle w:val="14"/>
            </w:pPr>
            <w:r>
              <w:t>本年支出合计</w:t>
            </w:r>
          </w:p>
        </w:tc>
        <w:tc>
          <w:tcPr>
            <w:tcW w:w="2126" w:type="dxa"/>
            <w:vAlign w:val="center"/>
          </w:tcPr>
          <w:p>
            <w:pPr>
              <w:pStyle w:val="15"/>
            </w:pPr>
            <w:r>
              <w:t>1784.84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1784.84</w:t>
            </w:r>
          </w:p>
        </w:tc>
        <w:tc>
          <w:tcPr>
            <w:tcW w:w="4535" w:type="dxa"/>
            <w:vAlign w:val="center"/>
          </w:tcPr>
          <w:p>
            <w:pPr>
              <w:pStyle w:val="14"/>
            </w:pPr>
            <w:r>
              <w:t>支出总计</w:t>
            </w:r>
          </w:p>
        </w:tc>
        <w:tc>
          <w:tcPr>
            <w:tcW w:w="2126" w:type="dxa"/>
            <w:vAlign w:val="center"/>
          </w:tcPr>
          <w:p>
            <w:pPr>
              <w:pStyle w:val="15"/>
            </w:pPr>
            <w:r>
              <w:t>1784.84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2"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1784.84</w:t>
            </w:r>
          </w:p>
        </w:tc>
        <w:tc>
          <w:tcPr>
            <w:tcW w:w="1134" w:type="dxa"/>
            <w:vAlign w:val="center"/>
          </w:tcPr>
          <w:p>
            <w:pPr>
              <w:pStyle w:val="15"/>
            </w:pPr>
            <w:r>
              <w:t>1784.84</w:t>
            </w:r>
          </w:p>
        </w:tc>
        <w:tc>
          <w:tcPr>
            <w:tcW w:w="1134" w:type="dxa"/>
            <w:vAlign w:val="center"/>
          </w:tcPr>
          <w:p>
            <w:pPr>
              <w:pStyle w:val="15"/>
            </w:pPr>
            <w:r>
              <w:t>1784.84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r>
              <w:t>1784.84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2240201</w:t>
            </w:r>
          </w:p>
        </w:tc>
        <w:tc>
          <w:tcPr>
            <w:tcW w:w="1559" w:type="dxa"/>
            <w:vAlign w:val="center"/>
          </w:tcPr>
          <w:p>
            <w:pPr>
              <w:pStyle w:val="12"/>
            </w:pPr>
            <w:r>
              <w:t>行政运行</w:t>
            </w:r>
          </w:p>
        </w:tc>
        <w:tc>
          <w:tcPr>
            <w:tcW w:w="1134" w:type="dxa"/>
            <w:vAlign w:val="center"/>
          </w:tcPr>
          <w:p>
            <w:pPr>
              <w:pStyle w:val="11"/>
            </w:pPr>
            <w:r>
              <w:t>1478.23</w:t>
            </w:r>
          </w:p>
        </w:tc>
        <w:tc>
          <w:tcPr>
            <w:tcW w:w="1134" w:type="dxa"/>
            <w:vAlign w:val="center"/>
          </w:tcPr>
          <w:p>
            <w:pPr>
              <w:pStyle w:val="11"/>
            </w:pPr>
            <w:r>
              <w:t>1478.23</w:t>
            </w:r>
          </w:p>
        </w:tc>
        <w:tc>
          <w:tcPr>
            <w:tcW w:w="1134" w:type="dxa"/>
            <w:vAlign w:val="center"/>
          </w:tcPr>
          <w:p>
            <w:pPr>
              <w:pStyle w:val="11"/>
            </w:pPr>
            <w:r>
              <w:t>1478.23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306.61</w:t>
            </w:r>
          </w:p>
        </w:tc>
        <w:tc>
          <w:tcPr>
            <w:tcW w:w="1134" w:type="dxa"/>
            <w:vAlign w:val="center"/>
          </w:tcPr>
          <w:p>
            <w:pPr>
              <w:pStyle w:val="11"/>
            </w:pPr>
            <w:r>
              <w:t>306.61</w:t>
            </w:r>
          </w:p>
        </w:tc>
        <w:tc>
          <w:tcPr>
            <w:tcW w:w="1134" w:type="dxa"/>
            <w:vAlign w:val="center"/>
          </w:tcPr>
          <w:p>
            <w:pPr>
              <w:pStyle w:val="11"/>
            </w:pPr>
            <w:r>
              <w:t>306.61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1784.84</w:t>
            </w:r>
          </w:p>
        </w:tc>
        <w:tc>
          <w:tcPr>
            <w:tcW w:w="1361" w:type="dxa"/>
            <w:vAlign w:val="center"/>
          </w:tcPr>
          <w:p>
            <w:pPr>
              <w:pStyle w:val="15"/>
            </w:pPr>
            <w:r>
              <w:t>8.68</w:t>
            </w:r>
          </w:p>
        </w:tc>
        <w:tc>
          <w:tcPr>
            <w:tcW w:w="1361" w:type="dxa"/>
            <w:vAlign w:val="center"/>
          </w:tcPr>
          <w:p>
            <w:pPr>
              <w:pStyle w:val="15"/>
            </w:pPr>
            <w:r>
              <w:t>1776.16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1784.84</w:t>
            </w:r>
          </w:p>
        </w:tc>
        <w:tc>
          <w:tcPr>
            <w:tcW w:w="1361" w:type="dxa"/>
            <w:vAlign w:val="center"/>
          </w:tcPr>
          <w:p>
            <w:pPr>
              <w:pStyle w:val="11"/>
            </w:pPr>
            <w:r>
              <w:t>8.68</w:t>
            </w:r>
          </w:p>
        </w:tc>
        <w:tc>
          <w:tcPr>
            <w:tcW w:w="1361" w:type="dxa"/>
            <w:vAlign w:val="center"/>
          </w:tcPr>
          <w:p>
            <w:pPr>
              <w:pStyle w:val="11"/>
            </w:pPr>
            <w:r>
              <w:t>1776.16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1784.84</w:t>
            </w:r>
          </w:p>
        </w:tc>
        <w:tc>
          <w:tcPr>
            <w:tcW w:w="1361" w:type="dxa"/>
            <w:vAlign w:val="center"/>
          </w:tcPr>
          <w:p>
            <w:pPr>
              <w:pStyle w:val="11"/>
            </w:pPr>
            <w:r>
              <w:t>8.68</w:t>
            </w:r>
          </w:p>
        </w:tc>
        <w:tc>
          <w:tcPr>
            <w:tcW w:w="1361" w:type="dxa"/>
            <w:vAlign w:val="center"/>
          </w:tcPr>
          <w:p>
            <w:pPr>
              <w:pStyle w:val="11"/>
            </w:pPr>
            <w:r>
              <w:t>1776.16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2240201</w:t>
            </w:r>
          </w:p>
        </w:tc>
        <w:tc>
          <w:tcPr>
            <w:tcW w:w="4535" w:type="dxa"/>
            <w:vAlign w:val="center"/>
          </w:tcPr>
          <w:p>
            <w:pPr>
              <w:pStyle w:val="12"/>
            </w:pPr>
            <w:r>
              <w:t>行政运行</w:t>
            </w:r>
          </w:p>
        </w:tc>
        <w:tc>
          <w:tcPr>
            <w:tcW w:w="1361" w:type="dxa"/>
            <w:vAlign w:val="center"/>
          </w:tcPr>
          <w:p>
            <w:pPr>
              <w:pStyle w:val="11"/>
            </w:pPr>
            <w:r>
              <w:t>1478.23</w:t>
            </w:r>
          </w:p>
        </w:tc>
        <w:tc>
          <w:tcPr>
            <w:tcW w:w="1361" w:type="dxa"/>
            <w:vAlign w:val="center"/>
          </w:tcPr>
          <w:p>
            <w:pPr>
              <w:pStyle w:val="11"/>
            </w:pPr>
            <w:r>
              <w:t>8.68</w:t>
            </w:r>
          </w:p>
        </w:tc>
        <w:tc>
          <w:tcPr>
            <w:tcW w:w="1361" w:type="dxa"/>
            <w:vAlign w:val="center"/>
          </w:tcPr>
          <w:p>
            <w:pPr>
              <w:pStyle w:val="11"/>
            </w:pPr>
            <w:r>
              <w:t>1469.55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306.61</w:t>
            </w:r>
          </w:p>
        </w:tc>
        <w:tc>
          <w:tcPr>
            <w:tcW w:w="1361" w:type="dxa"/>
            <w:vAlign w:val="center"/>
          </w:tcPr>
          <w:p>
            <w:pPr>
              <w:pStyle w:val="11"/>
            </w:pPr>
          </w:p>
        </w:tc>
        <w:tc>
          <w:tcPr>
            <w:tcW w:w="1361" w:type="dxa"/>
            <w:vAlign w:val="center"/>
          </w:tcPr>
          <w:p>
            <w:pPr>
              <w:pStyle w:val="11"/>
            </w:pPr>
            <w:r>
              <w:t>306.61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1784.84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1784.84</w:t>
            </w:r>
          </w:p>
        </w:tc>
        <w:tc>
          <w:tcPr>
            <w:tcW w:w="1474" w:type="dxa"/>
            <w:vAlign w:val="center"/>
          </w:tcPr>
          <w:p>
            <w:pPr>
              <w:pStyle w:val="11"/>
            </w:pPr>
            <w:r>
              <w:t>1784.84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1784.84</w:t>
            </w:r>
          </w:p>
        </w:tc>
        <w:tc>
          <w:tcPr>
            <w:tcW w:w="3402" w:type="dxa"/>
            <w:vAlign w:val="center"/>
          </w:tcPr>
          <w:p>
            <w:pPr>
              <w:pStyle w:val="14"/>
            </w:pPr>
            <w:r>
              <w:t>本年支出合计</w:t>
            </w:r>
          </w:p>
        </w:tc>
        <w:tc>
          <w:tcPr>
            <w:tcW w:w="1474" w:type="dxa"/>
            <w:vAlign w:val="center"/>
          </w:tcPr>
          <w:p>
            <w:pPr>
              <w:pStyle w:val="15"/>
            </w:pPr>
            <w:r>
              <w:t>1784.84</w:t>
            </w:r>
          </w:p>
        </w:tc>
        <w:tc>
          <w:tcPr>
            <w:tcW w:w="1474" w:type="dxa"/>
            <w:vAlign w:val="center"/>
          </w:tcPr>
          <w:p>
            <w:pPr>
              <w:pStyle w:val="15"/>
            </w:pPr>
            <w:r>
              <w:t>1784.84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1784.84</w:t>
            </w:r>
          </w:p>
        </w:tc>
        <w:tc>
          <w:tcPr>
            <w:tcW w:w="3402" w:type="dxa"/>
            <w:vAlign w:val="center"/>
          </w:tcPr>
          <w:p>
            <w:pPr>
              <w:pStyle w:val="14"/>
            </w:pPr>
            <w:r>
              <w:t>支出总计</w:t>
            </w:r>
          </w:p>
        </w:tc>
        <w:tc>
          <w:tcPr>
            <w:tcW w:w="1474" w:type="dxa"/>
            <w:vAlign w:val="center"/>
          </w:tcPr>
          <w:p>
            <w:pPr>
              <w:pStyle w:val="15"/>
            </w:pPr>
            <w:r>
              <w:t>1784.84</w:t>
            </w:r>
          </w:p>
        </w:tc>
        <w:tc>
          <w:tcPr>
            <w:tcW w:w="1474" w:type="dxa"/>
            <w:vAlign w:val="center"/>
          </w:tcPr>
          <w:p>
            <w:pPr>
              <w:pStyle w:val="15"/>
            </w:pPr>
            <w:r>
              <w:t>1784.84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1784.84</w:t>
            </w:r>
          </w:p>
        </w:tc>
        <w:tc>
          <w:tcPr>
            <w:tcW w:w="2551" w:type="dxa"/>
            <w:vAlign w:val="center"/>
          </w:tcPr>
          <w:p>
            <w:pPr>
              <w:pStyle w:val="15"/>
            </w:pPr>
            <w:r>
              <w:t>8.68</w:t>
            </w:r>
          </w:p>
        </w:tc>
        <w:tc>
          <w:tcPr>
            <w:tcW w:w="2551" w:type="dxa"/>
            <w:vAlign w:val="center"/>
          </w:tcPr>
          <w:p>
            <w:pPr>
              <w:pStyle w:val="15"/>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1784.84</w:t>
            </w:r>
          </w:p>
        </w:tc>
        <w:tc>
          <w:tcPr>
            <w:tcW w:w="2551" w:type="dxa"/>
            <w:vAlign w:val="center"/>
          </w:tcPr>
          <w:p>
            <w:pPr>
              <w:pStyle w:val="11"/>
            </w:pPr>
            <w:r>
              <w:t>8.68</w:t>
            </w:r>
          </w:p>
        </w:tc>
        <w:tc>
          <w:tcPr>
            <w:tcW w:w="2551" w:type="dxa"/>
            <w:vAlign w:val="center"/>
          </w:tcPr>
          <w:p>
            <w:pPr>
              <w:pStyle w:val="11"/>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1784.84</w:t>
            </w:r>
          </w:p>
        </w:tc>
        <w:tc>
          <w:tcPr>
            <w:tcW w:w="2551" w:type="dxa"/>
            <w:vAlign w:val="center"/>
          </w:tcPr>
          <w:p>
            <w:pPr>
              <w:pStyle w:val="11"/>
            </w:pPr>
            <w:r>
              <w:t>8.68</w:t>
            </w:r>
          </w:p>
        </w:tc>
        <w:tc>
          <w:tcPr>
            <w:tcW w:w="2551" w:type="dxa"/>
            <w:vAlign w:val="center"/>
          </w:tcPr>
          <w:p>
            <w:pPr>
              <w:pStyle w:val="11"/>
            </w:pPr>
            <w:r>
              <w:t>1776.16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2240201</w:t>
            </w:r>
          </w:p>
        </w:tc>
        <w:tc>
          <w:tcPr>
            <w:tcW w:w="4535" w:type="dxa"/>
            <w:vAlign w:val="center"/>
          </w:tcPr>
          <w:p>
            <w:pPr>
              <w:pStyle w:val="12"/>
            </w:pPr>
            <w:r>
              <w:t>行政运行</w:t>
            </w:r>
          </w:p>
        </w:tc>
        <w:tc>
          <w:tcPr>
            <w:tcW w:w="2551" w:type="dxa"/>
            <w:vAlign w:val="center"/>
          </w:tcPr>
          <w:p>
            <w:pPr>
              <w:pStyle w:val="11"/>
            </w:pPr>
            <w:r>
              <w:t>1478.23</w:t>
            </w:r>
          </w:p>
        </w:tc>
        <w:tc>
          <w:tcPr>
            <w:tcW w:w="2551" w:type="dxa"/>
            <w:vAlign w:val="center"/>
          </w:tcPr>
          <w:p>
            <w:pPr>
              <w:pStyle w:val="11"/>
            </w:pPr>
            <w:r>
              <w:t>8.68</w:t>
            </w:r>
          </w:p>
        </w:tc>
        <w:tc>
          <w:tcPr>
            <w:tcW w:w="2551" w:type="dxa"/>
            <w:vAlign w:val="center"/>
          </w:tcPr>
          <w:p>
            <w:pPr>
              <w:pStyle w:val="11"/>
            </w:pPr>
            <w:r>
              <w:t>1469.55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306.61</w:t>
            </w:r>
          </w:p>
        </w:tc>
        <w:tc>
          <w:tcPr>
            <w:tcW w:w="2551" w:type="dxa"/>
            <w:vAlign w:val="center"/>
          </w:tcPr>
          <w:p>
            <w:pPr>
              <w:pStyle w:val="11"/>
            </w:pPr>
          </w:p>
        </w:tc>
        <w:tc>
          <w:tcPr>
            <w:tcW w:w="2551" w:type="dxa"/>
            <w:vAlign w:val="center"/>
          </w:tcPr>
          <w:p>
            <w:pPr>
              <w:pStyle w:val="11"/>
            </w:pPr>
            <w:r>
              <w:t>306.61</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8.68</w:t>
            </w:r>
          </w:p>
        </w:tc>
        <w:tc>
          <w:tcPr>
            <w:tcW w:w="2551" w:type="dxa"/>
            <w:vAlign w:val="center"/>
          </w:tcPr>
          <w:p>
            <w:pPr>
              <w:pStyle w:val="15"/>
            </w:pPr>
            <w:r>
              <w:t>8.68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8"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9"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隆尧县消防救援大队2023年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jc w:val="center"/>
      </w:pPr>
      <w:r>
        <w:rPr>
          <w:rFonts w:ascii="方正小标宋_GBK" w:hAnsi="方正小标宋_GBK" w:eastAsia="方正小标宋_GBK" w:cs="方正小标宋_GBK"/>
          <w:color w:val="000000"/>
          <w:sz w:val="44"/>
        </w:rPr>
        <w:t>隆尧县消防救援大队2023年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按照《预算法》、《地方预决算公开操作规程》和《关于进一步推进预算公开工作的实施意见》规定，现将隆尧县消防救援大队2023年</w:t>
      </w:r>
      <w:r>
        <w:rPr>
          <w:rFonts w:hint="eastAsia" w:eastAsia="方正仿宋_GBK"/>
          <w:color w:val="000000"/>
          <w:sz w:val="28"/>
          <w:lang w:eastAsia="zh-CN"/>
        </w:rPr>
        <w:t>单位</w:t>
      </w:r>
      <w:r>
        <w:rPr>
          <w:rFonts w:eastAsia="方正仿宋_GBK"/>
          <w:color w:val="000000"/>
          <w:sz w:val="28"/>
        </w:rPr>
        <w:t>预算公开如下：</w:t>
      </w:r>
    </w:p>
    <w:p>
      <w:pPr>
        <w:spacing w:before="10" w:after="10" w:line="360" w:lineRule="auto"/>
        <w:ind w:firstLine="640"/>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0"/>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7"/>
      </w:pPr>
      <w:r>
        <w:t>(一)承担责任区消防安全宣传教育培训，普及消防知识;</w:t>
      </w:r>
    </w:p>
    <w:p>
      <w:pPr>
        <w:pStyle w:val="17"/>
      </w:pPr>
      <w:r>
        <w:t>(二)定期进行防火检查，督促有关单位和个人落实防火责任制，及时消除火灾隐患;</w:t>
      </w:r>
    </w:p>
    <w:p>
      <w:pPr>
        <w:pStyle w:val="17"/>
      </w:pPr>
      <w:r>
        <w:t>(三)建立防火检查档案，按照国家规定设置防火标志;</w:t>
      </w:r>
    </w:p>
    <w:p>
      <w:pPr>
        <w:pStyle w:val="17"/>
      </w:pPr>
      <w:r>
        <w:t>(四)掌握责任区域的道路、消防水源、消防安全重点单位、重点部位等情况，建立相应的消防业务资料档案;</w:t>
      </w:r>
    </w:p>
    <w:p>
      <w:pPr>
        <w:pStyle w:val="17"/>
      </w:pPr>
      <w:r>
        <w:t>(五)制定消防安全重点单位、重点部位的事故处置和灭火作战预案，定期组织演练;</w:t>
      </w:r>
    </w:p>
    <w:p>
      <w:pPr>
        <w:pStyle w:val="17"/>
      </w:pPr>
      <w:r>
        <w:t>(六)指导培训义务消防队;</w:t>
      </w:r>
    </w:p>
    <w:p>
      <w:pPr>
        <w:pStyle w:val="17"/>
      </w:pPr>
      <w:r>
        <w:t>(七)扑救火灾，保护火灾现场，协助有关</w:t>
      </w:r>
      <w:r>
        <w:rPr>
          <w:rFonts w:hint="eastAsia"/>
          <w:lang w:eastAsia="zh-CN"/>
        </w:rPr>
        <w:t>单位</w:t>
      </w:r>
      <w:r>
        <w:t>调查火灾原因、处理火灾事故;</w:t>
      </w:r>
    </w:p>
    <w:p>
      <w:pPr>
        <w:pStyle w:val="17"/>
      </w:pPr>
      <w:r>
        <w:t>(八)定期向消防救援机构报告消防工作情况;</w:t>
      </w:r>
    </w:p>
    <w:p>
      <w:pPr>
        <w:pStyle w:val="17"/>
      </w:pPr>
      <w:r>
        <w:t>(九)按规定应当履行的其他职责。</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隆尧县消防救援大队本级</w:t>
            </w:r>
          </w:p>
        </w:tc>
        <w:tc>
          <w:tcPr>
            <w:tcW w:w="1843" w:type="dxa"/>
            <w:vAlign w:val="center"/>
          </w:tcPr>
          <w:p>
            <w:pPr>
              <w:pStyle w:val="13"/>
            </w:pPr>
            <w:r>
              <w:t>行政</w:t>
            </w:r>
          </w:p>
        </w:tc>
        <w:tc>
          <w:tcPr>
            <w:tcW w:w="2126" w:type="dxa"/>
            <w:vAlign w:val="center"/>
          </w:tcPr>
          <w:p>
            <w:pPr>
              <w:pStyle w:val="13"/>
            </w:pPr>
            <w:r>
              <w:t>未定行政级别</w:t>
            </w:r>
          </w:p>
        </w:tc>
        <w:tc>
          <w:tcPr>
            <w:tcW w:w="3827" w:type="dxa"/>
            <w:vAlign w:val="center"/>
          </w:tcPr>
          <w:p>
            <w:pPr>
              <w:pStyle w:val="13"/>
            </w:pPr>
            <w:r>
              <w:t>财政拨款</w:t>
            </w:r>
          </w:p>
        </w:tc>
      </w:tr>
    </w:tbl>
    <w:p>
      <w:pPr>
        <w:spacing w:before="10" w:after="10" w:line="360" w:lineRule="auto"/>
        <w:ind w:firstLine="640"/>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预算的编制实行综合预算管理，即全部收入和支出都反映在预算中。隆尧县消防救援大队机关及所属事业单位的收支包含在</w:t>
      </w:r>
      <w:r>
        <w:rPr>
          <w:rFonts w:hint="eastAsia" w:eastAsia="方正仿宋_GBK"/>
          <w:color w:val="000000"/>
          <w:sz w:val="28"/>
          <w:lang w:eastAsia="zh-CN"/>
        </w:rPr>
        <w:t>单位</w:t>
      </w:r>
      <w:r>
        <w:rPr>
          <w:rFonts w:eastAsia="方正仿宋_GBK"/>
          <w:color w:val="000000"/>
          <w:sz w:val="28"/>
        </w:rPr>
        <w:t>预算中。</w:t>
      </w:r>
    </w:p>
    <w:p>
      <w:pPr>
        <w:pStyle w:val="18"/>
      </w:pPr>
      <w:r>
        <w:t>按照预算管理有关规定，目前我县</w:t>
      </w:r>
      <w:r>
        <w:rPr>
          <w:rFonts w:hint="eastAsia"/>
          <w:lang w:eastAsia="zh-CN"/>
        </w:rPr>
        <w:t>单位</w:t>
      </w:r>
      <w:r>
        <w:t>预算的编制实行综合预算管理，即全部收入和支出都反映在预算中。隆尧县消防救援大队的收支包含在</w:t>
      </w:r>
      <w:r>
        <w:rPr>
          <w:rFonts w:hint="eastAsia"/>
          <w:lang w:eastAsia="zh-CN"/>
        </w:rPr>
        <w:t>单位</w:t>
      </w:r>
      <w:r>
        <w:t>预算中。</w:t>
      </w:r>
    </w:p>
    <w:p>
      <w:pPr>
        <w:pStyle w:val="18"/>
      </w:pPr>
      <w:r>
        <w:t>1、收入说明</w:t>
      </w:r>
    </w:p>
    <w:p>
      <w:pPr>
        <w:pStyle w:val="18"/>
      </w:pPr>
      <w:r>
        <w:t>反映本</w:t>
      </w:r>
      <w:r>
        <w:rPr>
          <w:rFonts w:hint="eastAsia"/>
          <w:lang w:eastAsia="zh-CN"/>
        </w:rPr>
        <w:t>单位</w:t>
      </w:r>
      <w:r>
        <w:t>当年全部收入。2023年预算收入</w:t>
      </w:r>
      <w:r>
        <w:rPr>
          <w:rFonts w:hint="eastAsia"/>
          <w:lang w:val="en-US" w:eastAsia="zh-CN"/>
        </w:rPr>
        <w:t>1784.84</w:t>
      </w:r>
      <w:r>
        <w:t>万元，其中：一般公共预算收入1784.84万元，基金预算收入0万元，国有资本经营预算收入0万元，财政专户核拨收入0万元，单位资金收入0万元，上年结转结余0万元。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收支预算总表支出栏、基本支出表、项目支出表按经济分类和支出功能分类科目编制，反映隆尧县消防救援大队年度</w:t>
      </w:r>
      <w:r>
        <w:rPr>
          <w:rFonts w:hint="eastAsia"/>
          <w:lang w:eastAsia="zh-CN"/>
        </w:rPr>
        <w:t>单位</w:t>
      </w:r>
      <w:r>
        <w:t>预算中支出预算的总体情况。2023年支出预算1784.84万元，其中基本支出</w:t>
      </w:r>
      <w:r>
        <w:rPr>
          <w:rFonts w:hint="eastAsia"/>
          <w:lang w:val="en-US" w:eastAsia="zh-CN"/>
        </w:rPr>
        <w:t>8.68</w:t>
      </w:r>
      <w:r>
        <w:t>万元；项目支出1776.16万元，主要为涉密项目和预算内基建等。</w:t>
      </w:r>
    </w:p>
    <w:p>
      <w:pPr>
        <w:pStyle w:val="18"/>
      </w:pPr>
      <w:r>
        <w:t>3、比上年增减情况</w:t>
      </w:r>
    </w:p>
    <w:p>
      <w:pPr>
        <w:pStyle w:val="18"/>
      </w:pPr>
      <w:r>
        <w:t>2023年预算收支安排</w:t>
      </w:r>
      <w:r>
        <w:rPr>
          <w:rFonts w:hint="eastAsia"/>
          <w:lang w:val="en-US" w:eastAsia="zh-CN"/>
        </w:rPr>
        <w:t>1784.84</w:t>
      </w:r>
      <w:r>
        <w:t>万元，较2022年预算减少</w:t>
      </w:r>
      <w:r>
        <w:rPr>
          <w:rFonts w:hint="eastAsia"/>
          <w:lang w:val="en-US" w:eastAsia="zh-CN"/>
        </w:rPr>
        <w:t>105.88</w:t>
      </w:r>
      <w:r>
        <w:t>万元。</w:t>
      </w:r>
    </w:p>
    <w:p>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pPr>
        <w:pStyle w:val="19"/>
      </w:pPr>
      <w:r>
        <w:t>我</w:t>
      </w:r>
      <w:r>
        <w:rPr>
          <w:rFonts w:hint="eastAsia"/>
          <w:lang w:eastAsia="zh-CN"/>
        </w:rPr>
        <w:t>单位</w:t>
      </w:r>
      <w:r>
        <w:t>不涉及机关运行经费。</w:t>
      </w:r>
    </w:p>
    <w:p>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0"/>
      </w:pPr>
      <w:r>
        <w:t>2023年，我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财政拨款“三公”经费预算安排0万元，其中因公出国（境）费0万元；公务用车购置及运维费0万元（其中：公务用车购置费为0万元，公务用车运行维护费0万元)；公务接待费0万元。"三公"经费与2022年持平。</w:t>
      </w:r>
    </w:p>
    <w:p>
      <w:pPr>
        <w:spacing w:before="10" w:after="10" w:line="360" w:lineRule="auto"/>
        <w:ind w:firstLine="640"/>
        <w:outlineLvl w:val="2"/>
      </w:pPr>
      <w:bookmarkStart w:id="14" w:name="_Toc_3_3_0000000014"/>
      <w:r>
        <w:rPr>
          <w:rFonts w:ascii="黑体" w:hAnsi="黑体" w:eastAsia="黑体" w:cs="黑体"/>
          <w:color w:val="000000"/>
          <w:sz w:val="32"/>
        </w:rPr>
        <w:t>五、预算绩效信息</w:t>
      </w:r>
      <w:bookmarkEnd w:id="14"/>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pPr>
        <w:spacing w:line="500" w:lineRule="exact"/>
        <w:ind w:firstLine="560"/>
      </w:pPr>
      <w:r>
        <w:rPr>
          <w:rFonts w:eastAsia="方正仿宋_GBK"/>
          <w:color w:val="000000"/>
          <w:sz w:val="28"/>
        </w:rPr>
        <w:t>（二）分项绩效目标</w:t>
      </w:r>
    </w:p>
    <w:p>
      <w:pPr>
        <w:pStyle w:val="22"/>
      </w:pPr>
      <w:r>
        <w:t>1、保障所属区域人民生命财产的安全。</w:t>
      </w:r>
    </w:p>
    <w:p>
      <w:pPr>
        <w:pStyle w:val="22"/>
      </w:pPr>
      <w:r>
        <w:t>2、维护社会稳定，提高群众安全感和满意度。</w:t>
      </w:r>
    </w:p>
    <w:p>
      <w:pPr>
        <w:pStyle w:val="22"/>
      </w:pPr>
      <w:r>
        <w:t>3、加强队伍管理，提高队伍的综合救援能力。</w:t>
      </w:r>
    </w:p>
    <w:p>
      <w:pPr>
        <w:pStyle w:val="22"/>
      </w:pPr>
      <w:r>
        <w:t>4、实现全县经济社会发展稳定和谐、人民生活安全有序。</w:t>
      </w:r>
    </w:p>
    <w:p>
      <w:pPr>
        <w:pStyle w:val="22"/>
      </w:pPr>
      <w:r>
        <w:t>2023年度各类资金整体使用管理情况总体必须规范，相关制度逐渐完善，支出符合政策文件规定。进一步加强对国家财经法律法规的学习，切实管好、用好各项资金，为我县的发展和社会和谐稳定做出积极的贡献。</w:t>
      </w:r>
    </w:p>
    <w:p>
      <w:pPr>
        <w:spacing w:line="500" w:lineRule="exact"/>
        <w:ind w:firstLine="560"/>
      </w:pPr>
      <w:r>
        <w:rPr>
          <w:rFonts w:eastAsia="方正仿宋_GBK"/>
          <w:color w:val="000000"/>
          <w:sz w:val="28"/>
        </w:rPr>
        <w:t>（三）工作保障措施</w:t>
      </w:r>
    </w:p>
    <w:p>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pPr>
        <w:pStyle w:val="23"/>
      </w:pPr>
      <w:r>
        <w:t>3、做好绩效自评。按财政要求，组织</w:t>
      </w:r>
      <w:r>
        <w:rPr>
          <w:rFonts w:hint="eastAsia"/>
          <w:lang w:eastAsia="zh-CN"/>
        </w:rPr>
        <w:t>单位</w:t>
      </w:r>
      <w:r>
        <w:t>对上年度</w:t>
      </w:r>
      <w:r>
        <w:rPr>
          <w:rFonts w:hint="eastAsia"/>
          <w:lang w:eastAsia="zh-CN"/>
        </w:rPr>
        <w:t>单位</w:t>
      </w:r>
      <w:r>
        <w:t>预算绩效开展自评，在自评过程中，对发现的问题及时整改。将评价结果与下年度预算安排相结合，调整优化支出结构，提高财政资金使用效益。</w:t>
      </w:r>
    </w:p>
    <w:p>
      <w:pPr>
        <w:ind w:firstLine="560"/>
      </w:pPr>
      <w:r>
        <w:rPr>
          <w:rFonts w:ascii="方正仿宋_GBK" w:hAnsi="方正仿宋_GBK" w:eastAsia="方正仿宋_GBK" w:cs="方正仿宋_GBK"/>
          <w:b/>
          <w:color w:val="000000"/>
          <w:sz w:val="28"/>
        </w:rPr>
        <w:t>1、办案补助/被装购置费绩效目标表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1.完善被装统一</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人均发放率</w:t>
            </w:r>
          </w:p>
        </w:tc>
        <w:tc>
          <w:tcPr>
            <w:tcW w:w="2835" w:type="dxa"/>
            <w:vAlign w:val="center"/>
          </w:tcPr>
          <w:p>
            <w:pPr>
              <w:pStyle w:val="12"/>
              <w:rPr>
                <w:rFonts w:hint="default" w:ascii="方正书宋_GBK" w:hAnsi="方正书宋_GBK" w:eastAsia="方正书宋_GBK" w:cs="方正书宋_GBK"/>
                <w:sz w:val="21"/>
                <w:szCs w:val="24"/>
                <w:lang w:val="en-US" w:eastAsia="zh-CN" w:bidi="ar-SA"/>
              </w:rPr>
            </w:pPr>
            <w:r>
              <w:t>被装</w:t>
            </w:r>
            <w:r>
              <w:rPr>
                <w:rFonts w:hint="eastAsia"/>
                <w:lang w:val="en-US" w:eastAsia="zh-CN"/>
              </w:rPr>
              <w:t>发放情况</w:t>
            </w:r>
          </w:p>
        </w:tc>
        <w:tc>
          <w:tcPr>
            <w:tcW w:w="2551" w:type="dxa"/>
            <w:vAlign w:val="center"/>
          </w:tcPr>
          <w:p>
            <w:pPr>
              <w:pStyle w:val="12"/>
              <w:jc w:val="center"/>
              <w:rPr>
                <w:rFonts w:hint="default" w:eastAsia="方正书宋_GBK"/>
                <w:lang w:val="en-US" w:eastAsia="zh-CN"/>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rPr>
                <w:rFonts w:ascii="方正书宋_GBK" w:hAnsi="方正书宋_GBK" w:eastAsia="方正书宋_GBK" w:cs="方正书宋_GBK"/>
                <w:sz w:val="21"/>
                <w:szCs w:val="24"/>
                <w:lang w:val="en-US" w:eastAsia="uk-UA" w:bidi="ar-SA"/>
              </w:rPr>
            </w:pPr>
            <w:r>
              <w:t>专款专用率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rPr>
                <w:rFonts w:hint="eastAsia"/>
                <w:lang w:val="en-US" w:eastAsia="zh-CN"/>
              </w:rPr>
              <w:t>被装发放的及时性</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rPr>
                <w:rFonts w:hint="eastAsia"/>
                <w:lang w:val="en-US" w:eastAsia="zh-CN"/>
              </w:rPr>
              <w:t>预算使用占全年预算的比重</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被装购置成本控制在预算内</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满意情况</w:t>
            </w:r>
          </w:p>
        </w:tc>
        <w:tc>
          <w:tcPr>
            <w:tcW w:w="2835" w:type="dxa"/>
            <w:vAlign w:val="center"/>
          </w:tcPr>
          <w:p>
            <w:pPr>
              <w:pStyle w:val="12"/>
            </w:pPr>
            <w:r>
              <w:t>队员满意数量占总数的比例</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依据消防人员被装购置标准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2、冀财建【2022】244号/消防人员改革性奖励性补贴绩效目标表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1.减少骨干人员流失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提升消防人员收入</w:t>
            </w:r>
          </w:p>
        </w:tc>
        <w:tc>
          <w:tcPr>
            <w:tcW w:w="2835" w:type="dxa"/>
            <w:vAlign w:val="center"/>
          </w:tcPr>
          <w:p>
            <w:pPr>
              <w:pStyle w:val="12"/>
            </w:pPr>
            <w:r>
              <w:t>达到</w:t>
            </w:r>
            <w:bookmarkStart w:id="19" w:name="_GoBack"/>
            <w:bookmarkEnd w:id="19"/>
            <w:r>
              <w:t>省市文件通知关于消防人员工资福利待遇标准要求</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专款专用率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到位情况</w:t>
            </w:r>
          </w:p>
        </w:tc>
        <w:tc>
          <w:tcPr>
            <w:tcW w:w="2835" w:type="dxa"/>
            <w:vAlign w:val="center"/>
          </w:tcPr>
          <w:p>
            <w:pPr>
              <w:pStyle w:val="12"/>
            </w:pPr>
            <w:r>
              <w:t>按时到位</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重点工作完成率</w:t>
            </w:r>
          </w:p>
        </w:tc>
        <w:tc>
          <w:tcPr>
            <w:tcW w:w="2835" w:type="dxa"/>
            <w:vAlign w:val="center"/>
          </w:tcPr>
          <w:p>
            <w:pPr>
              <w:pStyle w:val="12"/>
            </w:pPr>
            <w:r>
              <w:t>重点工作完成情况</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t>≥95</w:t>
            </w:r>
            <w:r>
              <w:rPr>
                <w:rFonts w:hint="eastAsia" w:eastAsiaTheme="minorEastAsia"/>
                <w:lang w:eastAsia="zh-CN"/>
              </w:rPr>
              <w:t>%</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rPr>
                <w:rFonts w:hint="default" w:eastAsia="方正书宋_GBK"/>
                <w:color w:val="auto"/>
                <w:lang w:val="en-US" w:eastAsia="zh-CN"/>
              </w:rPr>
            </w:pPr>
            <w:r>
              <w:rPr>
                <w:color w:val="auto"/>
              </w:rPr>
              <w:t>资金使用效益</w:t>
            </w:r>
          </w:p>
        </w:tc>
        <w:tc>
          <w:tcPr>
            <w:tcW w:w="2835" w:type="dxa"/>
            <w:vAlign w:val="center"/>
          </w:tcPr>
          <w:p>
            <w:pPr>
              <w:pStyle w:val="12"/>
              <w:rPr>
                <w:color w:val="auto"/>
              </w:rPr>
            </w:pPr>
            <w:r>
              <w:rPr>
                <w:color w:val="auto"/>
              </w:rPr>
              <w:t>资金使用效益</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≥95%</w:t>
            </w:r>
          </w:p>
        </w:tc>
        <w:tc>
          <w:tcPr>
            <w:tcW w:w="2268" w:type="dxa"/>
            <w:vAlign w:val="center"/>
          </w:tcPr>
          <w:p>
            <w:pPr>
              <w:pStyle w:val="12"/>
            </w:pPr>
            <w:r>
              <w:t>冀财建【2022】244号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冀财建【2022】244号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3、器材设备购置经费绩效目标表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1.达到装备配备标准</w:t>
            </w:r>
          </w:p>
          <w:p>
            <w:pPr>
              <w:pStyle w:val="12"/>
            </w:pPr>
            <w:r>
              <w:t>2.增强队伍灭火救援攻坚能力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设备到位率</w:t>
            </w:r>
          </w:p>
        </w:tc>
        <w:tc>
          <w:tcPr>
            <w:tcW w:w="2835" w:type="dxa"/>
            <w:vAlign w:val="center"/>
          </w:tcPr>
          <w:p>
            <w:pPr>
              <w:pStyle w:val="12"/>
            </w:pPr>
            <w:r>
              <w:t>达到装备配备标准</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专款专用率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投入使用情况</w:t>
            </w:r>
          </w:p>
        </w:tc>
        <w:tc>
          <w:tcPr>
            <w:tcW w:w="2835" w:type="dxa"/>
            <w:vAlign w:val="center"/>
          </w:tcPr>
          <w:p>
            <w:pPr>
              <w:pStyle w:val="12"/>
            </w:pPr>
            <w:r>
              <w:t>正常执勤备战</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rPr>
                <w:rFonts w:hint="eastAsia"/>
                <w:lang w:eastAsia="zh-CN"/>
              </w:rPr>
              <w:t>项目</w:t>
            </w:r>
            <w:r>
              <w:t>资金的使用效率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应急救助率</w:t>
            </w:r>
          </w:p>
        </w:tc>
        <w:tc>
          <w:tcPr>
            <w:tcW w:w="2835" w:type="dxa"/>
            <w:vAlign w:val="center"/>
          </w:tcPr>
          <w:p>
            <w:pPr>
              <w:pStyle w:val="12"/>
            </w:pPr>
            <w:r>
              <w:t>投入执勤情况，提高应急救援水平</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省市《综合性消防救援队伍建设方案》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省市《综合性消防救援队伍建设方案》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1.提升工作人员积极性</w:t>
            </w:r>
          </w:p>
          <w:p>
            <w:pPr>
              <w:pStyle w:val="12"/>
            </w:pPr>
            <w:r>
              <w:t>2.提高消防人员待遇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2835" w:type="dxa"/>
            <w:vAlign w:val="center"/>
          </w:tcPr>
          <w:p>
            <w:pPr>
              <w:pStyle w:val="12"/>
            </w:pPr>
            <w:r>
              <w:t>实际完成数</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rPr>
                <w:rFonts w:hint="eastAsia"/>
                <w:lang w:val="en-US" w:eastAsia="zh-CN"/>
              </w:rPr>
              <w:t>按时发放</w:t>
            </w:r>
            <w:r>
              <w:t>率</w:t>
            </w:r>
          </w:p>
        </w:tc>
        <w:tc>
          <w:tcPr>
            <w:tcW w:w="2835" w:type="dxa"/>
            <w:vAlign w:val="center"/>
          </w:tcPr>
          <w:p>
            <w:pPr>
              <w:pStyle w:val="12"/>
            </w:pPr>
            <w:r>
              <w:rPr>
                <w:rFonts w:hint="eastAsia"/>
                <w:lang w:val="en-US" w:eastAsia="zh-CN"/>
              </w:rPr>
              <w:t>按时发放</w:t>
            </w:r>
            <w:r>
              <w:t>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rPr>
                <w:rFonts w:hint="eastAsia"/>
                <w:lang w:val="en-US" w:eastAsia="zh-CN"/>
              </w:rPr>
              <w:t>效率提高的情况</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highlight w:val="none"/>
                <w:lang w:val="en-US" w:eastAsia="zh-CN" w:bidi="ar-SA"/>
              </w:rPr>
              <w:t>≥20%</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工作人员满意数量占总数的比例</w:t>
            </w:r>
          </w:p>
        </w:tc>
        <w:tc>
          <w:tcPr>
            <w:tcW w:w="2551" w:type="dxa"/>
            <w:vAlign w:val="center"/>
          </w:tcPr>
          <w:p>
            <w:pPr>
              <w:pStyle w:val="12"/>
              <w:jc w:val="cente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冀财【2012】168号、邢政发【2016】5号、2020年银明县长第3812号、温县长批示、隆财预[2020]27号、关于调整专职消防人员工资标准、伙食补助费标准的请示及樊县长、财政局张局长的批示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5、剩余项目经费绩效目标表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1.保障基础设施完好有效</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训练服务设施覆盖率</w:t>
            </w:r>
          </w:p>
        </w:tc>
        <w:tc>
          <w:tcPr>
            <w:tcW w:w="2835" w:type="dxa"/>
            <w:vAlign w:val="center"/>
          </w:tcPr>
          <w:p>
            <w:pPr>
              <w:pStyle w:val="12"/>
            </w:pPr>
            <w:r>
              <w:t>训练服务设施覆盖率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t>=100%</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2835" w:type="dxa"/>
            <w:vAlign w:val="center"/>
          </w:tcPr>
          <w:p>
            <w:pPr>
              <w:pStyle w:val="12"/>
            </w:pPr>
            <w:r>
              <w:t>项目建设按期完成率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ind w:firstLine="0" w:firstLineChars="0"/>
            </w:pPr>
            <w:r>
              <w:rPr>
                <w:rFonts w:hint="eastAsia"/>
                <w:lang w:eastAsia="zh-CN"/>
              </w:rPr>
              <w:t>项目</w:t>
            </w:r>
            <w:r>
              <w:t>资金的使用效率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t>≥</w:t>
            </w:r>
            <w:r>
              <w:rPr>
                <w:rFonts w:hint="eastAsia"/>
                <w:lang w:val="en-US" w:eastAsia="zh-CN"/>
              </w:rPr>
              <w:t>95%</w:t>
            </w:r>
          </w:p>
        </w:tc>
        <w:tc>
          <w:tcPr>
            <w:tcW w:w="2268" w:type="dxa"/>
            <w:vAlign w:val="center"/>
          </w:tcPr>
          <w:p>
            <w:pPr>
              <w:pStyle w:val="12"/>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≥95%</w:t>
            </w:r>
          </w:p>
        </w:tc>
        <w:tc>
          <w:tcPr>
            <w:tcW w:w="2268" w:type="dxa"/>
            <w:vAlign w:val="center"/>
          </w:tcPr>
          <w:p>
            <w:pPr>
              <w:pStyle w:val="12"/>
            </w:pPr>
            <w:r>
              <w:t>结算审计报告和合同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6、消防车辆购置经费绩效目标表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1.达到消防车辆配备标准</w:t>
            </w:r>
          </w:p>
          <w:p>
            <w:pPr>
              <w:pStyle w:val="12"/>
            </w:pPr>
            <w:r>
              <w:t>2.有效缩短消防员出警时间，提升灾害事故处置能力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车辆到位率</w:t>
            </w:r>
          </w:p>
        </w:tc>
        <w:tc>
          <w:tcPr>
            <w:tcW w:w="2835" w:type="dxa"/>
            <w:vAlign w:val="center"/>
          </w:tcPr>
          <w:p>
            <w:pPr>
              <w:pStyle w:val="12"/>
            </w:pPr>
            <w:r>
              <w:t>达到车辆配备标准</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835" w:type="dxa"/>
            <w:vAlign w:val="center"/>
          </w:tcPr>
          <w:p>
            <w:pPr>
              <w:jc w:val="both"/>
            </w:pPr>
            <w:r>
              <w:rPr>
                <w:rFonts w:hint="eastAsia" w:ascii="方正书宋_GBK" w:hAnsi="方正书宋_GBK" w:eastAsia="方正书宋_GBK" w:cs="方正书宋_GBK"/>
                <w:sz w:val="21"/>
              </w:rPr>
              <w:t>专款专用率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rPr>
                <w:rFonts w:hint="eastAsia"/>
                <w:lang w:val="en-US" w:eastAsia="zh-CN"/>
              </w:rPr>
              <w:t>工作完成的及时性</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出警时间缩短率</w:t>
            </w:r>
          </w:p>
        </w:tc>
        <w:tc>
          <w:tcPr>
            <w:tcW w:w="2835" w:type="dxa"/>
            <w:vAlign w:val="center"/>
          </w:tcPr>
          <w:p>
            <w:pPr>
              <w:pStyle w:val="12"/>
            </w:pPr>
            <w:r>
              <w:t>出警时间缩短率，减少处置灾害事故时间</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hint="eastAsia"/>
              </w:rPr>
              <w:t>业务保障能力提升率</w:t>
            </w:r>
          </w:p>
        </w:tc>
        <w:tc>
          <w:tcPr>
            <w:tcW w:w="2835" w:type="dxa"/>
            <w:vAlign w:val="center"/>
          </w:tcPr>
          <w:p>
            <w:pPr>
              <w:pStyle w:val="12"/>
            </w:pPr>
            <w:r>
              <w:rPr>
                <w:rFonts w:hint="eastAsia"/>
                <w:lang w:val="en-US" w:eastAsia="zh-CN"/>
              </w:rPr>
              <w:t>消防车辆</w:t>
            </w:r>
            <w:r>
              <w:rPr>
                <w:rFonts w:hint="eastAsia"/>
              </w:rPr>
              <w:t>购置对业务保障能力的提升比率</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rPr>
                <w:highlight w:val="none"/>
              </w:rPr>
              <w:t>≥</w:t>
            </w:r>
            <w:r>
              <w:rPr>
                <w:rFonts w:hint="eastAsia"/>
                <w:highlight w:val="none"/>
                <w:lang w:val="en-US" w:eastAsia="zh-CN"/>
              </w:rPr>
              <w:t>20%</w:t>
            </w:r>
          </w:p>
        </w:tc>
        <w:tc>
          <w:tcPr>
            <w:tcW w:w="2268" w:type="dxa"/>
            <w:vAlign w:val="center"/>
          </w:tcPr>
          <w:p>
            <w:pPr>
              <w:pStyle w:val="12"/>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达到车辆配备标准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1.保障单位正常运转率</w:t>
            </w:r>
          </w:p>
          <w:p>
            <w:pPr>
              <w:pStyle w:val="12"/>
            </w:pPr>
            <w:r>
              <w:t>2.减少消除火灾隐患</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jc w:val="both"/>
            </w:pPr>
            <w:r>
              <w:rPr>
                <w:rFonts w:hint="eastAsia"/>
                <w:szCs w:val="21"/>
              </w:rPr>
              <w:t>资金到位率</w:t>
            </w:r>
          </w:p>
        </w:tc>
        <w:tc>
          <w:tcPr>
            <w:tcW w:w="2835" w:type="dxa"/>
            <w:vAlign w:val="center"/>
          </w:tcPr>
          <w:p>
            <w:pPr>
              <w:pStyle w:val="12"/>
              <w:jc w:val="both"/>
            </w:pPr>
            <w:r>
              <w:rPr>
                <w:rFonts w:hint="eastAsia"/>
                <w:szCs w:val="21"/>
              </w:rPr>
              <w:t>资金到位率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jc w:val="both"/>
            </w:pPr>
            <w:r>
              <w:rPr>
                <w:rFonts w:hint="eastAsia"/>
                <w:szCs w:val="21"/>
              </w:rPr>
              <w:t>专款专用率</w:t>
            </w:r>
          </w:p>
        </w:tc>
        <w:tc>
          <w:tcPr>
            <w:tcW w:w="2835" w:type="dxa"/>
            <w:vAlign w:val="center"/>
          </w:tcPr>
          <w:p>
            <w:pPr>
              <w:pStyle w:val="12"/>
              <w:jc w:val="both"/>
            </w:pPr>
            <w:r>
              <w:rPr>
                <w:rFonts w:hint="eastAsia"/>
                <w:szCs w:val="21"/>
              </w:rPr>
              <w:t>专款专用率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rPr>
                <w:rFonts w:hint="eastAsia"/>
                <w:lang w:val="en-US" w:eastAsia="zh-CN"/>
              </w:rPr>
              <w:t>工作完成的及时性</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hint="eastAsia"/>
              </w:rPr>
              <w:t>重点工作完成率</w:t>
            </w:r>
          </w:p>
        </w:tc>
        <w:tc>
          <w:tcPr>
            <w:tcW w:w="2835" w:type="dxa"/>
            <w:vAlign w:val="center"/>
          </w:tcPr>
          <w:p>
            <w:pPr>
              <w:pStyle w:val="12"/>
            </w:pPr>
            <w:r>
              <w:rPr>
                <w:rFonts w:hint="eastAsia"/>
              </w:rPr>
              <w:t>重点工作完成</w:t>
            </w:r>
            <w:r>
              <w:rPr>
                <w:rFonts w:hint="eastAsia"/>
                <w:lang w:val="en-US" w:eastAsia="zh-CN"/>
              </w:rPr>
              <w:t>情况</w:t>
            </w:r>
            <w:r>
              <w:rPr>
                <w:rFonts w:hint="eastAsia"/>
              </w:rPr>
              <w:t>占全部重点工作的比重</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项目完成率</w:t>
            </w:r>
          </w:p>
        </w:tc>
        <w:tc>
          <w:tcPr>
            <w:tcW w:w="2835" w:type="dxa"/>
            <w:vAlign w:val="center"/>
          </w:tcPr>
          <w:p>
            <w:pPr>
              <w:pStyle w:val="12"/>
              <w:rPr>
                <w:rFonts w:hint="default"/>
                <w:lang w:val="en-US"/>
              </w:rPr>
            </w:pPr>
            <w:r>
              <w:rPr>
                <w:rFonts w:hint="eastAsia"/>
                <w:lang w:val="en-US" w:eastAsia="zh-CN"/>
              </w:rPr>
              <w:t>项目完成程度</w:t>
            </w:r>
          </w:p>
        </w:tc>
        <w:tc>
          <w:tcPr>
            <w:tcW w:w="2551" w:type="dxa"/>
            <w:vAlign w:val="center"/>
          </w:tcPr>
          <w:p>
            <w:pPr>
              <w:pStyle w:val="12"/>
              <w:jc w:val="center"/>
              <w:rPr>
                <w:rFonts w:hint="default" w:ascii="方正书宋_GBK" w:hAnsi="方正书宋_GBK" w:eastAsia="方正书宋_GBK" w:cs="方正书宋_GBK"/>
                <w:sz w:val="21"/>
                <w:szCs w:val="24"/>
                <w:lang w:val="en-US" w:eastAsia="zh-CN" w:bidi="ar-SA"/>
              </w:rPr>
            </w:pPr>
            <w:r>
              <w:t>≥</w:t>
            </w:r>
            <w:r>
              <w:rPr>
                <w:rFonts w:hint="eastAsia"/>
                <w:lang w:val="en-US" w:eastAsia="zh-CN"/>
              </w:rPr>
              <w:t>95%</w:t>
            </w:r>
          </w:p>
        </w:tc>
        <w:tc>
          <w:tcPr>
            <w:tcW w:w="2268" w:type="dxa"/>
            <w:vAlign w:val="center"/>
          </w:tcPr>
          <w:p>
            <w:pPr>
              <w:pStyle w:val="12"/>
            </w:pPr>
            <w:r>
              <w:t>冀财【2012】168号、邢政发【2016】5号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w:t>
            </w:r>
          </w:p>
        </w:tc>
        <w:tc>
          <w:tcPr>
            <w:tcW w:w="2268" w:type="dxa"/>
            <w:vAlign w:val="center"/>
          </w:tcPr>
          <w:p>
            <w:pPr>
              <w:pStyle w:val="12"/>
            </w:pPr>
            <w:r>
              <w:t>冀财【2012】168号、邢政发【2016】5号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5"/>
      <w:r>
        <w:rPr>
          <w:rFonts w:ascii="黑体" w:hAnsi="黑体" w:eastAsia="黑体" w:cs="黑体"/>
          <w:color w:val="000000"/>
          <w:sz w:val="32"/>
        </w:rPr>
        <w:t>六、政府采购预算情况</w:t>
      </w:r>
      <w:bookmarkEnd w:id="15"/>
    </w:p>
    <w:p>
      <w:pPr>
        <w:spacing w:line="500" w:lineRule="exact"/>
        <w:ind w:firstLine="560"/>
      </w:pPr>
      <w:r>
        <w:rPr>
          <w:rFonts w:eastAsia="方正仿宋_GBK"/>
          <w:color w:val="000000"/>
          <w:sz w:val="28"/>
        </w:rPr>
        <w:t>2023年，隆尧县消防救援大队安排政府采购预算0.00万元。具体内容见下表。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6" w:name="_Toc_3_3_0000000016"/>
      <w:r>
        <w:rPr>
          <w:rFonts w:ascii="黑体" w:hAnsi="黑体" w:eastAsia="黑体" w:cs="黑体"/>
          <w:color w:val="000000"/>
          <w:sz w:val="32"/>
        </w:rPr>
        <w:t>七、国有资产信息</w:t>
      </w:r>
      <w:bookmarkEnd w:id="16"/>
    </w:p>
    <w:p>
      <w:pPr>
        <w:spacing w:line="500" w:lineRule="exact"/>
        <w:ind w:firstLine="560"/>
      </w:pPr>
      <w:r>
        <w:rPr>
          <w:rFonts w:eastAsia="方正仿宋_GBK"/>
          <w:color w:val="000000"/>
          <w:sz w:val="28"/>
        </w:rPr>
        <w:t>隆尧县消防救援大队（含所属单位）上年末固定资产金额为0.00万元（详见下表）。本年度拟购置固定资产总额为0.00万元，已按要求列入政府采购预算，详见政府采购预算表。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rPr>
                <w:rFonts w:hint="eastAsia"/>
                <w:lang w:eastAsia="zh-CN"/>
              </w:rPr>
              <w:t>903001隆尧县消防救援大队本级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spacing w:before="10" w:after="10"/>
        <w:ind w:firstLine="640"/>
        <w:outlineLvl w:val="2"/>
      </w:pPr>
      <w:bookmarkStart w:id="17" w:name="_Toc_3_3_0000000017"/>
      <w:r>
        <w:rPr>
          <w:rFonts w:ascii="黑体" w:hAnsi="黑体" w:eastAsia="黑体" w:cs="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pPr>
        <w:spacing w:line="500" w:lineRule="exact"/>
        <w:ind w:firstLine="560"/>
        <w:rPr>
          <w:rFonts w:hint="eastAsia" w:eastAsia="方正仿宋_GBK"/>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mRjNjc2ZjNjZGMzM2I1MTU5MWY4MWMxOTBlZmU4ZmEifQ=="/>
  </w:docVars>
  <w:rsids>
    <w:rsidRoot w:val="00793C22"/>
    <w:rsid w:val="000D76C8"/>
    <w:rsid w:val="00793C22"/>
    <w:rsid w:val="00C57BAC"/>
    <w:rsid w:val="00EA16FA"/>
    <w:rsid w:val="02006853"/>
    <w:rsid w:val="04715529"/>
    <w:rsid w:val="05257DE5"/>
    <w:rsid w:val="079A24B6"/>
    <w:rsid w:val="0E9C3734"/>
    <w:rsid w:val="0EE70D3E"/>
    <w:rsid w:val="114A252D"/>
    <w:rsid w:val="1C665AE4"/>
    <w:rsid w:val="1CF2284B"/>
    <w:rsid w:val="2A5E598A"/>
    <w:rsid w:val="5106506D"/>
    <w:rsid w:val="5B490954"/>
    <w:rsid w:val="5D522DB8"/>
    <w:rsid w:val="6ADA55BA"/>
    <w:rsid w:val="6CD43170"/>
    <w:rsid w:val="70093A1E"/>
    <w:rsid w:val="70CE50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2023-01-17T15:58:28Z</dcterms:created>
  <dcterms:modified xsi:type="dcterms:W3CDTF">2023-01-17T07:58:28Z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2023-01-17T15:58:30Z</dcterms:created>
  <dcterms:modified xsi:type="dcterms:W3CDTF">2023-01-17T07:58:30Z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2023-01-17T15:58:21Z</dcterms:created>
  <dcterms:modified xsi:type="dcterms:W3CDTF">2023-01-17T07:58:21Z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2023-01-17T15:58:27Z</dcterms:created>
  <dcterms:modified xsi:type="dcterms:W3CDTF">2023-01-17T07:58:27Z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Props1.xml><?xml version="1.0" encoding="utf-8"?>
<ds:datastoreItem xmlns:ds="http://schemas.openxmlformats.org/officeDocument/2006/customXml" ds:itemID="{1E0B5AEB-EEBF-4691-87E9-3181D968A795}">
  <ds:schemaRefs/>
</ds:datastoreItem>
</file>

<file path=customXml/itemProps10.xml><?xml version="1.0" encoding="utf-8"?>
<ds:datastoreItem xmlns:ds="http://schemas.openxmlformats.org/officeDocument/2006/customXml" ds:itemID="{81C9E9CD-06E3-4257-B15C-54A5103C7490}">
  <ds:schemaRefs/>
</ds:datastoreItem>
</file>

<file path=customXml/itemProps11.xml><?xml version="1.0" encoding="utf-8"?>
<ds:datastoreItem xmlns:ds="http://schemas.openxmlformats.org/officeDocument/2006/customXml" ds:itemID="{4753BAA7-037D-490D-98D9-ED8A7573BE41}">
  <ds:schemaRefs/>
</ds:datastoreItem>
</file>

<file path=customXml/itemProps12.xml><?xml version="1.0" encoding="utf-8"?>
<ds:datastoreItem xmlns:ds="http://schemas.openxmlformats.org/officeDocument/2006/customXml" ds:itemID="{E2CACF3C-BA04-44F8-A8DF-4C86ACD3BE87}">
  <ds:schemaRefs/>
</ds:datastoreItem>
</file>

<file path=customXml/itemProps13.xml><?xml version="1.0" encoding="utf-8"?>
<ds:datastoreItem xmlns:ds="http://schemas.openxmlformats.org/officeDocument/2006/customXml" ds:itemID="{5F3B289D-ED33-431D-8E66-DBF93DD0CD1F}">
  <ds:schemaRefs/>
</ds:datastoreItem>
</file>

<file path=customXml/itemProps14.xml><?xml version="1.0" encoding="utf-8"?>
<ds:datastoreItem xmlns:ds="http://schemas.openxmlformats.org/officeDocument/2006/customXml" ds:itemID="{1E6AD7F7-183A-43EE-9982-652F5692D3F3}">
  <ds:schemaRefs/>
</ds:datastoreItem>
</file>

<file path=customXml/itemProps15.xml><?xml version="1.0" encoding="utf-8"?>
<ds:datastoreItem xmlns:ds="http://schemas.openxmlformats.org/officeDocument/2006/customXml" ds:itemID="{ECCC7F6F-C9E7-46E5-AA74-C22A2E1B804A}">
  <ds:schemaRefs/>
</ds:datastoreItem>
</file>

<file path=customXml/itemProps16.xml><?xml version="1.0" encoding="utf-8"?>
<ds:datastoreItem xmlns:ds="http://schemas.openxmlformats.org/officeDocument/2006/customXml" ds:itemID="{92A380D7-C742-4C4A-9C35-B276CB36672C}">
  <ds:schemaRefs/>
</ds:datastoreItem>
</file>

<file path=customXml/itemProps17.xml><?xml version="1.0" encoding="utf-8"?>
<ds:datastoreItem xmlns:ds="http://schemas.openxmlformats.org/officeDocument/2006/customXml" ds:itemID="{ED4041C8-A1DE-48C5-824C-8C269FCC791C}">
  <ds:schemaRefs/>
</ds:datastoreItem>
</file>

<file path=customXml/itemProps18.xml><?xml version="1.0" encoding="utf-8"?>
<ds:datastoreItem xmlns:ds="http://schemas.openxmlformats.org/officeDocument/2006/customXml" ds:itemID="{8AAEBDA7-DE8E-4561-B0DE-A655F0E9DD4F}">
  <ds:schemaRefs/>
</ds:datastoreItem>
</file>

<file path=customXml/itemProps19.xml><?xml version="1.0" encoding="utf-8"?>
<ds:datastoreItem xmlns:ds="http://schemas.openxmlformats.org/officeDocument/2006/customXml" ds:itemID="{F97B4365-A7A1-4EB0-BE49-719E4A229BFC}">
  <ds:schemaRefs/>
</ds:datastoreItem>
</file>

<file path=customXml/itemProps2.xml><?xml version="1.0" encoding="utf-8"?>
<ds:datastoreItem xmlns:ds="http://schemas.openxmlformats.org/officeDocument/2006/customXml" ds:itemID="{624D7725-7DF7-46C7-905D-B1382F1E7894}">
  <ds:schemaRefs/>
</ds:datastoreItem>
</file>

<file path=customXml/itemProps20.xml><?xml version="1.0" encoding="utf-8"?>
<ds:datastoreItem xmlns:ds="http://schemas.openxmlformats.org/officeDocument/2006/customXml" ds:itemID="{A43BD2BF-E45C-4214-8BED-BE18D7D00AFC}">
  <ds:schemaRefs/>
</ds:datastoreItem>
</file>

<file path=customXml/itemProps21.xml><?xml version="1.0" encoding="utf-8"?>
<ds:datastoreItem xmlns:ds="http://schemas.openxmlformats.org/officeDocument/2006/customXml" ds:itemID="{57741763-4C9E-42FA-8D8C-1840E6691948}">
  <ds:schemaRefs/>
</ds:datastoreItem>
</file>

<file path=customXml/itemProps22.xml><?xml version="1.0" encoding="utf-8"?>
<ds:datastoreItem xmlns:ds="http://schemas.openxmlformats.org/officeDocument/2006/customXml" ds:itemID="{497E62ED-6188-4CC8-8091-0F8BBF00B54D}">
  <ds:schemaRefs/>
</ds:datastoreItem>
</file>

<file path=customXml/itemProps23.xml><?xml version="1.0" encoding="utf-8"?>
<ds:datastoreItem xmlns:ds="http://schemas.openxmlformats.org/officeDocument/2006/customXml" ds:itemID="{DB7EEAB2-13C9-4AA5-B572-83EFB646655B}">
  <ds:schemaRefs/>
</ds:datastoreItem>
</file>

<file path=customXml/itemProps24.xml><?xml version="1.0" encoding="utf-8"?>
<ds:datastoreItem xmlns:ds="http://schemas.openxmlformats.org/officeDocument/2006/customXml" ds:itemID="{53210B09-8532-4E0D-955E-D53EABB19A2F}">
  <ds:schemaRefs/>
</ds:datastoreItem>
</file>

<file path=customXml/itemProps25.xml><?xml version="1.0" encoding="utf-8"?>
<ds:datastoreItem xmlns:ds="http://schemas.openxmlformats.org/officeDocument/2006/customXml" ds:itemID="{D12A27D4-4FA6-41D5-96C3-D8A2BBE99FAC}">
  <ds:schemaRefs/>
</ds:datastoreItem>
</file>

<file path=customXml/itemProps26.xml><?xml version="1.0" encoding="utf-8"?>
<ds:datastoreItem xmlns:ds="http://schemas.openxmlformats.org/officeDocument/2006/customXml" ds:itemID="{35FB2236-2FAE-4CC0-B0BA-2370FE693101}">
  <ds:schemaRefs/>
</ds:datastoreItem>
</file>

<file path=customXml/itemProps27.xml><?xml version="1.0" encoding="utf-8"?>
<ds:datastoreItem xmlns:ds="http://schemas.openxmlformats.org/officeDocument/2006/customXml" ds:itemID="{5730FC8E-9C4A-4894-8649-31589AC9CFE7}">
  <ds:schemaRefs/>
</ds:datastoreItem>
</file>

<file path=customXml/itemProps28.xml><?xml version="1.0" encoding="utf-8"?>
<ds:datastoreItem xmlns:ds="http://schemas.openxmlformats.org/officeDocument/2006/customXml" ds:itemID="{F090E995-435A-4523-8806-35F8B50FD714}">
  <ds:schemaRefs/>
</ds:datastoreItem>
</file>

<file path=customXml/itemProps29.xml><?xml version="1.0" encoding="utf-8"?>
<ds:datastoreItem xmlns:ds="http://schemas.openxmlformats.org/officeDocument/2006/customXml" ds:itemID="{CB7AF644-E431-4FA1-92C8-09AE19D19C95}">
  <ds:schemaRefs/>
</ds:datastoreItem>
</file>

<file path=customXml/itemProps3.xml><?xml version="1.0" encoding="utf-8"?>
<ds:datastoreItem xmlns:ds="http://schemas.openxmlformats.org/officeDocument/2006/customXml" ds:itemID="{915E5C64-8D93-4254-AD68-01B1E55CE203}">
  <ds:schemaRefs/>
</ds:datastoreItem>
</file>

<file path=customXml/itemProps30.xml><?xml version="1.0" encoding="utf-8"?>
<ds:datastoreItem xmlns:ds="http://schemas.openxmlformats.org/officeDocument/2006/customXml" ds:itemID="{4208DAFA-F685-4BBB-B529-8A99C643F943}">
  <ds:schemaRefs/>
</ds:datastoreItem>
</file>

<file path=customXml/itemProps31.xml><?xml version="1.0" encoding="utf-8"?>
<ds:datastoreItem xmlns:ds="http://schemas.openxmlformats.org/officeDocument/2006/customXml" ds:itemID="{33874648-1F95-42B7-841C-DBBA2617C849}">
  <ds:schemaRefs/>
</ds:datastoreItem>
</file>

<file path=customXml/itemProps32.xml><?xml version="1.0" encoding="utf-8"?>
<ds:datastoreItem xmlns:ds="http://schemas.openxmlformats.org/officeDocument/2006/customXml" ds:itemID="{F03A2B88-F249-48C1-AD58-77798AAE7671}">
  <ds:schemaRefs/>
</ds:datastoreItem>
</file>

<file path=customXml/itemProps33.xml><?xml version="1.0" encoding="utf-8"?>
<ds:datastoreItem xmlns:ds="http://schemas.openxmlformats.org/officeDocument/2006/customXml" ds:itemID="{C195A57B-4C09-46BC-9D0A-C47B6F48ABC3}">
  <ds:schemaRefs/>
</ds:datastoreItem>
</file>

<file path=customXml/itemProps34.xml><?xml version="1.0" encoding="utf-8"?>
<ds:datastoreItem xmlns:ds="http://schemas.openxmlformats.org/officeDocument/2006/customXml" ds:itemID="{CC8083BE-0910-42E6-9416-C3037888378A}">
  <ds:schemaRefs/>
</ds:datastoreItem>
</file>

<file path=customXml/itemProps35.xml><?xml version="1.0" encoding="utf-8"?>
<ds:datastoreItem xmlns:ds="http://schemas.openxmlformats.org/officeDocument/2006/customXml" ds:itemID="{5C83F5C3-16D4-454C-AE25-1948F3FB4651}">
  <ds:schemaRefs/>
</ds:datastoreItem>
</file>

<file path=customXml/itemProps36.xml><?xml version="1.0" encoding="utf-8"?>
<ds:datastoreItem xmlns:ds="http://schemas.openxmlformats.org/officeDocument/2006/customXml" ds:itemID="{7E5F3113-B86A-4D29-8283-87304F77BA9C}">
  <ds:schemaRefs/>
</ds:datastoreItem>
</file>

<file path=customXml/itemProps37.xml><?xml version="1.0" encoding="utf-8"?>
<ds:datastoreItem xmlns:ds="http://schemas.openxmlformats.org/officeDocument/2006/customXml" ds:itemID="{24B8768D-67F1-4491-A731-4A20E1E55431}">
  <ds:schemaRefs/>
</ds:datastoreItem>
</file>

<file path=customXml/itemProps38.xml><?xml version="1.0" encoding="utf-8"?>
<ds:datastoreItem xmlns:ds="http://schemas.openxmlformats.org/officeDocument/2006/customXml" ds:itemID="{00ED510D-C0B2-4F10-B51B-65FA4E68FDE4}">
  <ds:schemaRefs/>
</ds:datastoreItem>
</file>

<file path=customXml/itemProps4.xml><?xml version="1.0" encoding="utf-8"?>
<ds:datastoreItem xmlns:ds="http://schemas.openxmlformats.org/officeDocument/2006/customXml" ds:itemID="{9391EB04-9ECA-4DDF-90D4-E54C9523C05A}">
  <ds:schemaRefs/>
</ds:datastoreItem>
</file>

<file path=customXml/itemProps5.xml><?xml version="1.0" encoding="utf-8"?>
<ds:datastoreItem xmlns:ds="http://schemas.openxmlformats.org/officeDocument/2006/customXml" ds:itemID="{CAC14AF1-0520-4289-8B4A-4B583F598F48}">
  <ds:schemaRefs/>
</ds:datastoreItem>
</file>

<file path=customXml/itemProps6.xml><?xml version="1.0" encoding="utf-8"?>
<ds:datastoreItem xmlns:ds="http://schemas.openxmlformats.org/officeDocument/2006/customXml" ds:itemID="{589C2E67-51A9-41D5-B4F1-4A524A6EA740}">
  <ds:schemaRefs/>
</ds:datastoreItem>
</file>

<file path=customXml/itemProps7.xml><?xml version="1.0" encoding="utf-8"?>
<ds:datastoreItem xmlns:ds="http://schemas.openxmlformats.org/officeDocument/2006/customXml" ds:itemID="{0C88635A-663B-4BA4-B09E-1C6C464F0827}">
  <ds:schemaRefs/>
</ds:datastoreItem>
</file>

<file path=customXml/itemProps8.xml><?xml version="1.0" encoding="utf-8"?>
<ds:datastoreItem xmlns:ds="http://schemas.openxmlformats.org/officeDocument/2006/customXml" ds:itemID="{3E56E521-54D5-45C5-B7C7-01653870655B}">
  <ds:schemaRefs/>
</ds:datastoreItem>
</file>

<file path=customXml/itemProps9.xml><?xml version="1.0" encoding="utf-8"?>
<ds:datastoreItem xmlns:ds="http://schemas.openxmlformats.org/officeDocument/2006/customXml" ds:itemID="{AAFF083E-CBE7-49F6-B863-8DBD671D865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7657</Words>
  <Characters>8694</Characters>
  <Lines>153</Lines>
  <Paragraphs>43</Paragraphs>
  <TotalTime>638</TotalTime>
  <ScaleCrop>false</ScaleCrop>
  <LinksUpToDate>false</LinksUpToDate>
  <CharactersWithSpaces>8826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2023-01-17T07:57:00Z</dcterms:created>
  <dc:creator>Administrator</dc:creator>
  <cp:lastModifiedBy>晶璞</cp:lastModifiedBy>
  <dcterms:modified xsi:type="dcterms:W3CDTF">2023-09-04T09:07:57Z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CCD63ED52AEF449F8BFB522728247E2A</vt:lpwstr>
  </property>
</Properties>
</file>