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jc w:val="center"/>
      </w:pP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pPr>
        <w:pStyle w:val="36"/>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5</w:t>
      </w:r>
      <w:r>
        <w:fldChar w:fldCharType="end"/>
      </w:r>
    </w:p>
    <w:p>
      <w:pPr>
        <w:pStyle w:val="36"/>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6</w:t>
      </w:r>
      <w:r>
        <w:fldChar w:fldCharType="end"/>
      </w:r>
    </w:p>
    <w:p>
      <w:pPr>
        <w:pStyle w:val="36"/>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7</w:t>
      </w:r>
      <w:r>
        <w:fldChar w:fldCharType="end"/>
      </w:r>
    </w:p>
    <w:p>
      <w:pPr>
        <w:pStyle w:val="36"/>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pPr>
        <w:pStyle w:val="36"/>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pPr>
        <w:pStyle w:val="36"/>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rPr>
          <w:rFonts w:hint="eastAsia"/>
          <w:lang w:val="en-US" w:eastAsia="zh-CN"/>
        </w:rPr>
        <w:t>1</w:t>
      </w:r>
      <w:r>
        <w:fldChar w:fldCharType="end"/>
      </w:r>
      <w:r>
        <w:rPr>
          <w:rFonts w:hint="eastAsia"/>
          <w:lang w:val="en-US" w:eastAsia="zh-CN"/>
        </w:rPr>
        <w:t>2</w:t>
      </w:r>
    </w:p>
    <w:p>
      <w:pPr>
        <w:pStyle w:val="36"/>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3</w:t>
      </w:r>
    </w:p>
    <w:p>
      <w:pPr>
        <w:pStyle w:val="36"/>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4</w:t>
      </w:r>
    </w:p>
    <w:p>
      <w:r>
        <w:fldChar w:fldCharType="end"/>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6"/>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5</w:t>
      </w:r>
    </w:p>
    <w:p>
      <w:pPr>
        <w:pStyle w:val="36"/>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6</w:t>
      </w:r>
    </w:p>
    <w:p>
      <w:pPr>
        <w:pStyle w:val="36"/>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pPr>
        <w:pStyle w:val="36"/>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36"/>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7</w:t>
      </w:r>
    </w:p>
    <w:p>
      <w:pPr>
        <w:pStyle w:val="36"/>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8</w:t>
      </w:r>
    </w:p>
    <w:p>
      <w:pPr>
        <w:pStyle w:val="36"/>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8</w:t>
      </w:r>
    </w:p>
    <w:p>
      <w:pPr>
        <w:pStyle w:val="36"/>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8</w:t>
      </w:r>
    </w:p>
    <w:p>
      <w:pPr>
        <w:pStyle w:val="36"/>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9</w:t>
      </w:r>
    </w:p>
    <w:p>
      <w:r>
        <w:fldChar w:fldCharType="end"/>
      </w:r>
    </w:p>
    <w:p>
      <w:pPr>
        <w:sectPr>
          <w:pgSz w:w="16840" w:h="11900" w:orient="landscape"/>
          <w:pgMar w:top="1587" w:right="1134" w:bottom="1361" w:left="1134" w:header="720" w:footer="720" w:gutter="0"/>
          <w:pgNumType w:start="1"/>
          <w:cols w:space="720" w:num="1"/>
        </w:sectPr>
      </w:pPr>
    </w:p>
    <w:p>
      <w:pPr>
        <w:jc w:val="center"/>
        <w:outlineLvl w:val="3"/>
      </w:pPr>
      <w:bookmarkStart w:id="0" w:name="_Toc_4_4_0000000019"/>
      <w:r>
        <w:rPr>
          <w:rFonts w:ascii="方正小标宋_GBK" w:hAnsi="方正小标宋_GBK" w:eastAsia="方正小标宋_GBK" w:cs="方正小标宋_GBK"/>
          <w:color w:val="000000"/>
          <w:sz w:val="44"/>
        </w:rPr>
        <w:t>一、隆尧县消防救援大队本级收支预算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903001隆尧县消防救援大队本级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1739.25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1739.25</w:t>
            </w:r>
          </w:p>
        </w:tc>
        <w:tc>
          <w:tcPr>
            <w:tcW w:w="4535" w:type="dxa"/>
            <w:vAlign w:val="center"/>
          </w:tcPr>
          <w:p>
            <w:pPr>
              <w:pStyle w:val="14"/>
            </w:pPr>
            <w:r>
              <w:t>本年支出合计</w:t>
            </w:r>
          </w:p>
        </w:tc>
        <w:tc>
          <w:tcPr>
            <w:tcW w:w="2126" w:type="dxa"/>
            <w:vAlign w:val="center"/>
          </w:tcPr>
          <w:p>
            <w:pPr>
              <w:pStyle w:val="15"/>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1739.25</w:t>
            </w:r>
          </w:p>
        </w:tc>
        <w:tc>
          <w:tcPr>
            <w:tcW w:w="4535" w:type="dxa"/>
            <w:vAlign w:val="center"/>
          </w:tcPr>
          <w:p>
            <w:pPr>
              <w:pStyle w:val="14"/>
            </w:pPr>
            <w:r>
              <w:t>支出总计</w:t>
            </w:r>
          </w:p>
        </w:tc>
        <w:tc>
          <w:tcPr>
            <w:tcW w:w="2126" w:type="dxa"/>
            <w:vAlign w:val="center"/>
          </w:tcPr>
          <w:p>
            <w:pPr>
              <w:pStyle w:val="15"/>
            </w:pPr>
            <w:r>
              <w:t>1739.25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903001隆尧县消防救援大队本级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1739.25</w:t>
            </w:r>
          </w:p>
        </w:tc>
        <w:tc>
          <w:tcPr>
            <w:tcW w:w="1134" w:type="dxa"/>
            <w:vAlign w:val="center"/>
          </w:tcPr>
          <w:p>
            <w:pPr>
              <w:pStyle w:val="15"/>
            </w:pPr>
            <w:r>
              <w:t>1739.25</w:t>
            </w:r>
          </w:p>
        </w:tc>
        <w:tc>
          <w:tcPr>
            <w:tcW w:w="1134" w:type="dxa"/>
            <w:vAlign w:val="center"/>
          </w:tcPr>
          <w:p>
            <w:pPr>
              <w:pStyle w:val="15"/>
            </w:pPr>
            <w:r>
              <w:t>1739.25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1739.25</w:t>
            </w:r>
          </w:p>
        </w:tc>
        <w:tc>
          <w:tcPr>
            <w:tcW w:w="1134" w:type="dxa"/>
            <w:vAlign w:val="center"/>
          </w:tcPr>
          <w:p>
            <w:pPr>
              <w:pStyle w:val="11"/>
            </w:pPr>
            <w:r>
              <w:t>1739.25</w:t>
            </w:r>
          </w:p>
        </w:tc>
        <w:tc>
          <w:tcPr>
            <w:tcW w:w="1134" w:type="dxa"/>
            <w:vAlign w:val="center"/>
          </w:tcPr>
          <w:p>
            <w:pPr>
              <w:pStyle w:val="11"/>
            </w:pPr>
            <w:r>
              <w:t>1739.25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22402</w:t>
            </w:r>
          </w:p>
        </w:tc>
        <w:tc>
          <w:tcPr>
            <w:tcW w:w="1559" w:type="dxa"/>
            <w:vAlign w:val="center"/>
          </w:tcPr>
          <w:p>
            <w:pPr>
              <w:pStyle w:val="12"/>
            </w:pPr>
            <w:r>
              <w:t>消防救援事务</w:t>
            </w:r>
          </w:p>
        </w:tc>
        <w:tc>
          <w:tcPr>
            <w:tcW w:w="1134" w:type="dxa"/>
            <w:vAlign w:val="center"/>
          </w:tcPr>
          <w:p>
            <w:pPr>
              <w:pStyle w:val="11"/>
            </w:pPr>
            <w:r>
              <w:t>1739.25</w:t>
            </w:r>
          </w:p>
        </w:tc>
        <w:tc>
          <w:tcPr>
            <w:tcW w:w="1134" w:type="dxa"/>
            <w:vAlign w:val="center"/>
          </w:tcPr>
          <w:p>
            <w:pPr>
              <w:pStyle w:val="11"/>
            </w:pPr>
            <w:r>
              <w:t>1739.25</w:t>
            </w:r>
          </w:p>
        </w:tc>
        <w:tc>
          <w:tcPr>
            <w:tcW w:w="1134" w:type="dxa"/>
            <w:vAlign w:val="center"/>
          </w:tcPr>
          <w:p>
            <w:pPr>
              <w:pStyle w:val="11"/>
            </w:pPr>
            <w:r>
              <w:t>1739.25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2240201</w:t>
            </w:r>
          </w:p>
        </w:tc>
        <w:tc>
          <w:tcPr>
            <w:tcW w:w="1559" w:type="dxa"/>
            <w:vAlign w:val="center"/>
          </w:tcPr>
          <w:p>
            <w:pPr>
              <w:pStyle w:val="12"/>
            </w:pPr>
            <w:r>
              <w:t>行政运行</w:t>
            </w:r>
          </w:p>
        </w:tc>
        <w:tc>
          <w:tcPr>
            <w:tcW w:w="1134" w:type="dxa"/>
            <w:vAlign w:val="center"/>
          </w:tcPr>
          <w:p>
            <w:pPr>
              <w:pStyle w:val="11"/>
            </w:pPr>
            <w:r>
              <w:t>1200.00</w:t>
            </w:r>
          </w:p>
        </w:tc>
        <w:tc>
          <w:tcPr>
            <w:tcW w:w="1134" w:type="dxa"/>
            <w:vAlign w:val="center"/>
          </w:tcPr>
          <w:p>
            <w:pPr>
              <w:pStyle w:val="11"/>
            </w:pPr>
            <w:r>
              <w:t>1200.00</w:t>
            </w:r>
          </w:p>
        </w:tc>
        <w:tc>
          <w:tcPr>
            <w:tcW w:w="1134" w:type="dxa"/>
            <w:vAlign w:val="center"/>
          </w:tcPr>
          <w:p>
            <w:pPr>
              <w:pStyle w:val="11"/>
            </w:pPr>
            <w:r>
              <w:t>1200.00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2240204</w:t>
            </w:r>
          </w:p>
        </w:tc>
        <w:tc>
          <w:tcPr>
            <w:tcW w:w="1559" w:type="dxa"/>
            <w:vAlign w:val="center"/>
          </w:tcPr>
          <w:p>
            <w:pPr>
              <w:pStyle w:val="12"/>
            </w:pPr>
            <w:r>
              <w:t>消防应急救援</w:t>
            </w:r>
          </w:p>
        </w:tc>
        <w:tc>
          <w:tcPr>
            <w:tcW w:w="1134" w:type="dxa"/>
            <w:vAlign w:val="center"/>
          </w:tcPr>
          <w:p>
            <w:pPr>
              <w:pStyle w:val="11"/>
            </w:pPr>
            <w:r>
              <w:t>539.25</w:t>
            </w:r>
          </w:p>
        </w:tc>
        <w:tc>
          <w:tcPr>
            <w:tcW w:w="1134" w:type="dxa"/>
            <w:vAlign w:val="center"/>
          </w:tcPr>
          <w:p>
            <w:pPr>
              <w:pStyle w:val="11"/>
            </w:pPr>
            <w:r>
              <w:t>539.25</w:t>
            </w:r>
          </w:p>
        </w:tc>
        <w:tc>
          <w:tcPr>
            <w:tcW w:w="1134" w:type="dxa"/>
            <w:vAlign w:val="center"/>
          </w:tcPr>
          <w:p>
            <w:pPr>
              <w:pStyle w:val="11"/>
            </w:pPr>
            <w:r>
              <w:t>539.25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903001隆尧县消防救援大队本级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1739.25</w:t>
            </w:r>
          </w:p>
        </w:tc>
        <w:tc>
          <w:tcPr>
            <w:tcW w:w="1361" w:type="dxa"/>
            <w:vAlign w:val="center"/>
          </w:tcPr>
          <w:p>
            <w:pPr>
              <w:pStyle w:val="15"/>
            </w:pPr>
          </w:p>
        </w:tc>
        <w:tc>
          <w:tcPr>
            <w:tcW w:w="1361" w:type="dxa"/>
            <w:vAlign w:val="center"/>
          </w:tcPr>
          <w:p>
            <w:pPr>
              <w:pStyle w:val="15"/>
            </w:pPr>
            <w:r>
              <w:t>1739.25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1739.25</w:t>
            </w:r>
          </w:p>
        </w:tc>
        <w:tc>
          <w:tcPr>
            <w:tcW w:w="1361" w:type="dxa"/>
            <w:vAlign w:val="center"/>
          </w:tcPr>
          <w:p>
            <w:pPr>
              <w:pStyle w:val="11"/>
            </w:pPr>
          </w:p>
        </w:tc>
        <w:tc>
          <w:tcPr>
            <w:tcW w:w="1361" w:type="dxa"/>
            <w:vAlign w:val="center"/>
          </w:tcPr>
          <w:p>
            <w:pPr>
              <w:pStyle w:val="11"/>
            </w:pPr>
            <w:r>
              <w:t>1739.25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22402</w:t>
            </w:r>
          </w:p>
        </w:tc>
        <w:tc>
          <w:tcPr>
            <w:tcW w:w="4535" w:type="dxa"/>
            <w:vAlign w:val="center"/>
          </w:tcPr>
          <w:p>
            <w:pPr>
              <w:pStyle w:val="12"/>
            </w:pPr>
            <w:r>
              <w:t>消防救援事务</w:t>
            </w:r>
          </w:p>
        </w:tc>
        <w:tc>
          <w:tcPr>
            <w:tcW w:w="1361" w:type="dxa"/>
            <w:vAlign w:val="center"/>
          </w:tcPr>
          <w:p>
            <w:pPr>
              <w:pStyle w:val="11"/>
            </w:pPr>
            <w:r>
              <w:t>1739.25</w:t>
            </w:r>
          </w:p>
        </w:tc>
        <w:tc>
          <w:tcPr>
            <w:tcW w:w="1361" w:type="dxa"/>
            <w:vAlign w:val="center"/>
          </w:tcPr>
          <w:p>
            <w:pPr>
              <w:pStyle w:val="11"/>
            </w:pPr>
          </w:p>
        </w:tc>
        <w:tc>
          <w:tcPr>
            <w:tcW w:w="1361" w:type="dxa"/>
            <w:vAlign w:val="center"/>
          </w:tcPr>
          <w:p>
            <w:pPr>
              <w:pStyle w:val="11"/>
            </w:pPr>
            <w:r>
              <w:t>1739.25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2240201</w:t>
            </w:r>
          </w:p>
        </w:tc>
        <w:tc>
          <w:tcPr>
            <w:tcW w:w="4535" w:type="dxa"/>
            <w:vAlign w:val="center"/>
          </w:tcPr>
          <w:p>
            <w:pPr>
              <w:pStyle w:val="12"/>
            </w:pPr>
            <w:r>
              <w:t>行政运行</w:t>
            </w:r>
          </w:p>
        </w:tc>
        <w:tc>
          <w:tcPr>
            <w:tcW w:w="1361" w:type="dxa"/>
            <w:vAlign w:val="center"/>
          </w:tcPr>
          <w:p>
            <w:pPr>
              <w:pStyle w:val="11"/>
            </w:pPr>
            <w:r>
              <w:t>1200.00</w:t>
            </w:r>
          </w:p>
        </w:tc>
        <w:tc>
          <w:tcPr>
            <w:tcW w:w="1361" w:type="dxa"/>
            <w:vAlign w:val="center"/>
          </w:tcPr>
          <w:p>
            <w:pPr>
              <w:pStyle w:val="11"/>
            </w:pPr>
          </w:p>
        </w:tc>
        <w:tc>
          <w:tcPr>
            <w:tcW w:w="1361" w:type="dxa"/>
            <w:vAlign w:val="center"/>
          </w:tcPr>
          <w:p>
            <w:pPr>
              <w:pStyle w:val="11"/>
            </w:pPr>
            <w:r>
              <w:t>1200.00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2240204</w:t>
            </w:r>
          </w:p>
        </w:tc>
        <w:tc>
          <w:tcPr>
            <w:tcW w:w="4535" w:type="dxa"/>
            <w:vAlign w:val="center"/>
          </w:tcPr>
          <w:p>
            <w:pPr>
              <w:pStyle w:val="12"/>
            </w:pPr>
            <w:r>
              <w:t>消防应急救援</w:t>
            </w:r>
          </w:p>
        </w:tc>
        <w:tc>
          <w:tcPr>
            <w:tcW w:w="1361" w:type="dxa"/>
            <w:vAlign w:val="center"/>
          </w:tcPr>
          <w:p>
            <w:pPr>
              <w:pStyle w:val="11"/>
            </w:pPr>
            <w:r>
              <w:t>539.25</w:t>
            </w:r>
          </w:p>
        </w:tc>
        <w:tc>
          <w:tcPr>
            <w:tcW w:w="1361" w:type="dxa"/>
            <w:vAlign w:val="center"/>
          </w:tcPr>
          <w:p>
            <w:pPr>
              <w:pStyle w:val="11"/>
            </w:pPr>
          </w:p>
        </w:tc>
        <w:tc>
          <w:tcPr>
            <w:tcW w:w="1361" w:type="dxa"/>
            <w:vAlign w:val="center"/>
          </w:tcPr>
          <w:p>
            <w:pPr>
              <w:pStyle w:val="11"/>
            </w:pPr>
            <w:r>
              <w:t>539.25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903001隆尧县消防救援大队本级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1739.25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1739.25</w:t>
            </w:r>
          </w:p>
        </w:tc>
        <w:tc>
          <w:tcPr>
            <w:tcW w:w="1474" w:type="dxa"/>
            <w:vAlign w:val="center"/>
          </w:tcPr>
          <w:p>
            <w:pPr>
              <w:pStyle w:val="11"/>
            </w:pPr>
            <w:r>
              <w:t>1739.25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1739.25</w:t>
            </w:r>
          </w:p>
        </w:tc>
        <w:tc>
          <w:tcPr>
            <w:tcW w:w="3402" w:type="dxa"/>
            <w:vAlign w:val="center"/>
          </w:tcPr>
          <w:p>
            <w:pPr>
              <w:pStyle w:val="14"/>
            </w:pPr>
            <w:r>
              <w:t>本年支出合计</w:t>
            </w:r>
          </w:p>
        </w:tc>
        <w:tc>
          <w:tcPr>
            <w:tcW w:w="1474" w:type="dxa"/>
            <w:vAlign w:val="center"/>
          </w:tcPr>
          <w:p>
            <w:pPr>
              <w:pStyle w:val="15"/>
            </w:pPr>
            <w:r>
              <w:t>1739.25</w:t>
            </w:r>
          </w:p>
        </w:tc>
        <w:tc>
          <w:tcPr>
            <w:tcW w:w="1474" w:type="dxa"/>
            <w:vAlign w:val="center"/>
          </w:tcPr>
          <w:p>
            <w:pPr>
              <w:pStyle w:val="15"/>
            </w:pPr>
            <w:r>
              <w:t>1739.25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1739.25</w:t>
            </w:r>
          </w:p>
        </w:tc>
        <w:tc>
          <w:tcPr>
            <w:tcW w:w="3402" w:type="dxa"/>
            <w:vAlign w:val="center"/>
          </w:tcPr>
          <w:p>
            <w:pPr>
              <w:pStyle w:val="14"/>
            </w:pPr>
            <w:r>
              <w:t>支出总计</w:t>
            </w:r>
          </w:p>
        </w:tc>
        <w:tc>
          <w:tcPr>
            <w:tcW w:w="1474" w:type="dxa"/>
            <w:vAlign w:val="center"/>
          </w:tcPr>
          <w:p>
            <w:pPr>
              <w:pStyle w:val="15"/>
            </w:pPr>
            <w:r>
              <w:t>1739.25</w:t>
            </w:r>
          </w:p>
        </w:tc>
        <w:tc>
          <w:tcPr>
            <w:tcW w:w="1474" w:type="dxa"/>
            <w:vAlign w:val="center"/>
          </w:tcPr>
          <w:p>
            <w:pPr>
              <w:pStyle w:val="15"/>
            </w:pPr>
            <w:r>
              <w:t>1739.25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1739.25</w:t>
            </w:r>
          </w:p>
        </w:tc>
        <w:tc>
          <w:tcPr>
            <w:tcW w:w="2551" w:type="dxa"/>
            <w:vAlign w:val="center"/>
          </w:tcPr>
          <w:p>
            <w:pPr>
              <w:pStyle w:val="15"/>
            </w:pPr>
          </w:p>
        </w:tc>
        <w:tc>
          <w:tcPr>
            <w:tcW w:w="2551" w:type="dxa"/>
            <w:vAlign w:val="center"/>
          </w:tcPr>
          <w:p>
            <w:pPr>
              <w:pStyle w:val="15"/>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1739.25</w:t>
            </w:r>
          </w:p>
        </w:tc>
        <w:tc>
          <w:tcPr>
            <w:tcW w:w="2551" w:type="dxa"/>
            <w:vAlign w:val="center"/>
          </w:tcPr>
          <w:p>
            <w:pPr>
              <w:pStyle w:val="11"/>
            </w:pPr>
          </w:p>
        </w:tc>
        <w:tc>
          <w:tcPr>
            <w:tcW w:w="2551" w:type="dxa"/>
            <w:vAlign w:val="center"/>
          </w:tcPr>
          <w:p>
            <w:pPr>
              <w:pStyle w:val="11"/>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22402</w:t>
            </w:r>
          </w:p>
        </w:tc>
        <w:tc>
          <w:tcPr>
            <w:tcW w:w="4535" w:type="dxa"/>
            <w:vAlign w:val="center"/>
          </w:tcPr>
          <w:p>
            <w:pPr>
              <w:pStyle w:val="12"/>
            </w:pPr>
            <w:r>
              <w:t>消防救援事务</w:t>
            </w:r>
          </w:p>
        </w:tc>
        <w:tc>
          <w:tcPr>
            <w:tcW w:w="2551" w:type="dxa"/>
            <w:vAlign w:val="center"/>
          </w:tcPr>
          <w:p>
            <w:pPr>
              <w:pStyle w:val="11"/>
            </w:pPr>
            <w:r>
              <w:t>1739.25</w:t>
            </w:r>
          </w:p>
        </w:tc>
        <w:tc>
          <w:tcPr>
            <w:tcW w:w="2551" w:type="dxa"/>
            <w:vAlign w:val="center"/>
          </w:tcPr>
          <w:p>
            <w:pPr>
              <w:pStyle w:val="11"/>
            </w:pPr>
          </w:p>
        </w:tc>
        <w:tc>
          <w:tcPr>
            <w:tcW w:w="2551" w:type="dxa"/>
            <w:vAlign w:val="center"/>
          </w:tcPr>
          <w:p>
            <w:pPr>
              <w:pStyle w:val="11"/>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2240201</w:t>
            </w:r>
          </w:p>
        </w:tc>
        <w:tc>
          <w:tcPr>
            <w:tcW w:w="4535" w:type="dxa"/>
            <w:vAlign w:val="center"/>
          </w:tcPr>
          <w:p>
            <w:pPr>
              <w:pStyle w:val="12"/>
            </w:pPr>
            <w:r>
              <w:t>行政运行</w:t>
            </w:r>
          </w:p>
        </w:tc>
        <w:tc>
          <w:tcPr>
            <w:tcW w:w="2551" w:type="dxa"/>
            <w:vAlign w:val="center"/>
          </w:tcPr>
          <w:p>
            <w:pPr>
              <w:pStyle w:val="11"/>
            </w:pPr>
            <w:r>
              <w:t>1200.00</w:t>
            </w:r>
          </w:p>
        </w:tc>
        <w:tc>
          <w:tcPr>
            <w:tcW w:w="2551" w:type="dxa"/>
            <w:vAlign w:val="center"/>
          </w:tcPr>
          <w:p>
            <w:pPr>
              <w:pStyle w:val="11"/>
            </w:pPr>
          </w:p>
        </w:tc>
        <w:tc>
          <w:tcPr>
            <w:tcW w:w="2551" w:type="dxa"/>
            <w:vAlign w:val="center"/>
          </w:tcPr>
          <w:p>
            <w:pPr>
              <w:pStyle w:val="11"/>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2240204</w:t>
            </w:r>
          </w:p>
        </w:tc>
        <w:tc>
          <w:tcPr>
            <w:tcW w:w="4535" w:type="dxa"/>
            <w:vAlign w:val="center"/>
          </w:tcPr>
          <w:p>
            <w:pPr>
              <w:pStyle w:val="12"/>
            </w:pPr>
            <w:r>
              <w:t>消防应急救援</w:t>
            </w:r>
          </w:p>
        </w:tc>
        <w:tc>
          <w:tcPr>
            <w:tcW w:w="2551" w:type="dxa"/>
            <w:vAlign w:val="center"/>
          </w:tcPr>
          <w:p>
            <w:pPr>
              <w:pStyle w:val="11"/>
            </w:pPr>
            <w:r>
              <w:t>539.25</w:t>
            </w:r>
          </w:p>
        </w:tc>
        <w:tc>
          <w:tcPr>
            <w:tcW w:w="2551" w:type="dxa"/>
            <w:vAlign w:val="center"/>
          </w:tcPr>
          <w:p>
            <w:pPr>
              <w:pStyle w:val="11"/>
            </w:pPr>
          </w:p>
        </w:tc>
        <w:tc>
          <w:tcPr>
            <w:tcW w:w="2551" w:type="dxa"/>
            <w:vAlign w:val="center"/>
          </w:tcPr>
          <w:p>
            <w:pPr>
              <w:pStyle w:val="11"/>
            </w:pPr>
            <w:r>
              <w:t>539.25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903001隆尧县消防救援大队本级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隆尧县消防救援大队本级2022年单位预算信息公开情况说明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按照《预算法》、《地方预决算公开操作规程》和《关于进一步推进预算公开工作的实施意见》规定，现将隆尧县消防救援大队本级2022年单位预算公开如下：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(一)承担责任区消防安全宣传教育培训工作,普及消防知识;</w:t>
      </w:r>
    </w:p>
    <w:p>
      <w:pPr>
        <w:pStyle w:val="29"/>
      </w:pPr>
      <w:r>
        <w:t>(二)定期进行防火检查,督促有关单位和个人落实防火责任制,及时消除火灾隐患;</w:t>
      </w:r>
    </w:p>
    <w:p>
      <w:pPr>
        <w:pStyle w:val="29"/>
      </w:pPr>
      <w:r>
        <w:t>(三)建立防火检查档案,按照国家规定设置防火标志;</w:t>
      </w:r>
    </w:p>
    <w:p>
      <w:pPr>
        <w:pStyle w:val="29"/>
      </w:pPr>
      <w:r>
        <w:t>(四)掌握责任区域的道路、消防水源 、消防安全重点单位、重点部位等情况，建立相应的消防业务资料档案；</w:t>
      </w:r>
    </w:p>
    <w:p>
      <w:pPr>
        <w:pStyle w:val="29"/>
      </w:pPr>
      <w:r>
        <w:t>（五）制定消防安全重点单位、重点部位的事故处置和灭火作战预案，定期组织演练；</w:t>
      </w:r>
    </w:p>
    <w:p>
      <w:pPr>
        <w:pStyle w:val="29"/>
      </w:pPr>
      <w:r>
        <w:t>（六）指导培训义务消防队；</w:t>
      </w:r>
    </w:p>
    <w:p>
      <w:pPr>
        <w:pStyle w:val="29"/>
      </w:pPr>
      <w:r>
        <w:t>（七）扑救火灾，保护火灾现场，协助有关部门调查火灾原因、处理火灾事故；</w:t>
      </w:r>
    </w:p>
    <w:p>
      <w:pPr>
        <w:pStyle w:val="29"/>
      </w:pPr>
      <w:r>
        <w:t>（八）定期向消防救援机构报告消防工作情况；</w:t>
      </w:r>
    </w:p>
    <w:p>
      <w:pPr>
        <w:pStyle w:val="29"/>
      </w:pPr>
      <w:r>
        <w:t>（九）按规定应当履行的其它职责。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隆尧县消防救援大队本级</w:t>
            </w:r>
          </w:p>
        </w:tc>
        <w:tc>
          <w:tcPr>
            <w:tcW w:w="1843" w:type="dxa"/>
            <w:vAlign w:val="center"/>
          </w:tcPr>
          <w:p>
            <w:pPr>
              <w:pStyle w:val="13"/>
            </w:pPr>
            <w:r>
              <w:t>行政</w:t>
            </w:r>
          </w:p>
        </w:tc>
        <w:tc>
          <w:tcPr>
            <w:tcW w:w="2126" w:type="dxa"/>
            <w:vAlign w:val="center"/>
          </w:tcPr>
          <w:p>
            <w:pPr>
              <w:pStyle w:val="13"/>
            </w:pPr>
            <w:r>
              <w:t>未定行政级别</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pPr>
        <w:pStyle w:val="30"/>
      </w:pPr>
      <w:r>
        <w:t>按照预算管理有关规定，目前我</w:t>
      </w:r>
      <w:r>
        <w:rPr>
          <w:rFonts w:hint="eastAsia"/>
          <w:lang w:val="en-US" w:eastAsia="zh-CN"/>
        </w:rPr>
        <w:t>县</w:t>
      </w:r>
      <w:r>
        <w:t>单位预算的编制实行综合预算管理，即全部收入和支出都反映在预算中。隆尧县消防救援大队的收支包含在单位预算中。</w:t>
      </w:r>
    </w:p>
    <w:p>
      <w:pPr>
        <w:pStyle w:val="30"/>
      </w:pPr>
      <w:r>
        <w:t>1、收入说明</w:t>
      </w:r>
    </w:p>
    <w:p>
      <w:pPr>
        <w:pStyle w:val="30"/>
      </w:pPr>
      <w:r>
        <w:t>反映本单位当年全部收入。2022年预算收入1739.25万元，其中：一般公共预算收入1739.25万元，基金预算收入0万元，财政专户核拨收入0万元，其他来源收入（单位资金）0万元，上年结转0万元。</w:t>
      </w:r>
    </w:p>
    <w:p>
      <w:pPr>
        <w:pStyle w:val="30"/>
      </w:pPr>
      <w:r>
        <w:t>2、支出说明</w:t>
      </w:r>
    </w:p>
    <w:p>
      <w:pPr>
        <w:pStyle w:val="30"/>
      </w:pPr>
      <w:r>
        <w:t>收支预算总表支出栏、基本支出表、项目支出表按经济分类和支出功能分类科目编制，反映隆尧县消防救援大队年度单位预算中支出预算的总体情况。2022年支出预算1739.25万元，其中消防人员及附加经费934万元、消防业务经费266万元；项目支出539.25万元主要为涉密项目和预算内基建等。</w:t>
      </w:r>
    </w:p>
    <w:p>
      <w:pPr>
        <w:pStyle w:val="30"/>
      </w:pPr>
      <w:r>
        <w:t>3、比上年增减情况</w:t>
      </w:r>
    </w:p>
    <w:p>
      <w:pPr>
        <w:pStyle w:val="30"/>
      </w:pPr>
      <w:r>
        <w:t>2022年预算收支安排1739.25万元，较2020年年初预算减少142.07万元，其中：消防人员及附加经费支出减少0.1万元，主要为减少人员经费支出；消防业务经费支出减少1.98万元，主要为减少业务经费支出；项目支出减少139.99万元（2021年安排地震救援模拟基地建设、消防站附属设施建设及指挥中心建设经费），主要为涉密项目和预算内基建等。</w:t>
      </w:r>
    </w:p>
    <w:p>
      <w:pPr>
        <w:spacing w:before="10" w:after="10"/>
        <w:ind w:firstLine="640"/>
        <w:outlineLvl w:val="5"/>
      </w:pPr>
      <w:r>
        <w:rPr>
          <w:rFonts w:ascii="黑体" w:hAnsi="黑体" w:eastAsia="黑体" w:cs="黑体"/>
          <w:color w:val="000000"/>
          <w:sz w:val="32"/>
        </w:rPr>
        <w:t>三、机关运行经费安排情况</w:t>
      </w:r>
    </w:p>
    <w:p>
      <w:pPr>
        <w:pStyle w:val="31"/>
      </w:pPr>
      <w:r>
        <w:t>2022年，我大队运行经费共计安排266万元，主要用于日常维修、办公用房水电费、办公用房取暖费、办公用房物业管理费等日常运行支出。</w:t>
      </w:r>
    </w:p>
    <w:p>
      <w:pPr>
        <w:pStyle w:val="31"/>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大队财政拨款“三公”经费预算安排0万元，其中因公出国（境）费0万元；公务用车购置及运维费0万元（其中：公务用车购置费为0万元，公务用车运维费0万元)；公务接待费0万元。"三公"经费与2021年持平。</w:t>
      </w:r>
    </w:p>
    <w:p>
      <w:pPr>
        <w:pStyle w:val="32"/>
      </w:pPr>
      <w:r>
        <w:t> </w:t>
      </w:r>
    </w:p>
    <w:p>
      <w:pPr>
        <w:pStyle w:val="32"/>
      </w:pP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1、2021年剩余项目经费绩效目标表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1.保障基础设施完好有效</w:t>
            </w:r>
          </w:p>
          <w:p>
            <w:pPr>
              <w:pStyle w:val="26"/>
            </w:pPr>
            <w:r>
              <w:t>2.提高消防指战员灾害事故的救援能力</w:t>
            </w:r>
          </w:p>
          <w:p>
            <w:pPr>
              <w:pStyle w:val="26"/>
            </w:pPr>
            <w:r>
              <w:t>3.增强队伍灭火救援攻坚能力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训练服务设施覆盖率</w:t>
            </w:r>
          </w:p>
        </w:tc>
        <w:tc>
          <w:tcPr>
            <w:tcW w:w="2835" w:type="dxa"/>
            <w:vAlign w:val="center"/>
          </w:tcPr>
          <w:p>
            <w:pPr>
              <w:pStyle w:val="26"/>
            </w:pPr>
            <w:r>
              <w:t>训练服务设施覆盖率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信息系统故障发生率</w:t>
            </w:r>
          </w:p>
        </w:tc>
        <w:tc>
          <w:tcPr>
            <w:tcW w:w="2835" w:type="dxa"/>
            <w:vAlign w:val="center"/>
          </w:tcPr>
          <w:p>
            <w:pPr>
              <w:pStyle w:val="26"/>
            </w:pPr>
            <w:r>
              <w:t>信息系统故障发生率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项目建设按期完成率</w:t>
            </w:r>
          </w:p>
        </w:tc>
        <w:tc>
          <w:tcPr>
            <w:tcW w:w="2835" w:type="dxa"/>
            <w:vAlign w:val="center"/>
          </w:tcPr>
          <w:p>
            <w:pPr>
              <w:pStyle w:val="26"/>
            </w:pPr>
            <w:r>
              <w:t>项目建设按期完成率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按总成本控制</w:t>
            </w:r>
          </w:p>
        </w:tc>
        <w:tc>
          <w:tcPr>
            <w:tcW w:w="2835" w:type="dxa"/>
            <w:vAlign w:val="center"/>
          </w:tcPr>
          <w:p>
            <w:pPr>
              <w:pStyle w:val="26"/>
            </w:pPr>
            <w:r>
              <w:t>按总成本控制</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成本节约</w:t>
            </w:r>
          </w:p>
        </w:tc>
        <w:tc>
          <w:tcPr>
            <w:tcW w:w="2835" w:type="dxa"/>
            <w:vAlign w:val="center"/>
          </w:tcPr>
          <w:p>
            <w:pPr>
              <w:pStyle w:val="26"/>
            </w:pPr>
            <w:r>
              <w:t>成本节约</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安全事故下降率（%）</w:t>
            </w:r>
          </w:p>
        </w:tc>
        <w:tc>
          <w:tcPr>
            <w:tcW w:w="2835" w:type="dxa"/>
            <w:vAlign w:val="center"/>
          </w:tcPr>
          <w:p>
            <w:pPr>
              <w:pStyle w:val="26"/>
            </w:pPr>
            <w:r>
              <w:t>安全事故下降率（%）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火灾受害控制率</w:t>
            </w:r>
          </w:p>
        </w:tc>
        <w:tc>
          <w:tcPr>
            <w:tcW w:w="2835" w:type="dxa"/>
            <w:vAlign w:val="center"/>
          </w:tcPr>
          <w:p>
            <w:pPr>
              <w:pStyle w:val="26"/>
            </w:pPr>
            <w:r>
              <w:t>火灾受害控制率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人数</w:t>
            </w:r>
          </w:p>
        </w:tc>
        <w:tc>
          <w:tcPr>
            <w:tcW w:w="2835" w:type="dxa"/>
            <w:vAlign w:val="center"/>
          </w:tcPr>
          <w:p>
            <w:pPr>
              <w:pStyle w:val="26"/>
            </w:pPr>
            <w:r>
              <w:t>人数</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100百分比</w:t>
            </w:r>
          </w:p>
        </w:tc>
        <w:tc>
          <w:tcPr>
            <w:tcW w:w="2268" w:type="dxa"/>
            <w:vAlign w:val="center"/>
          </w:tcPr>
          <w:p>
            <w:pPr>
              <w:pStyle w:val="26"/>
            </w:pPr>
            <w:r>
              <w:t>结算审计报告和合同</w:t>
            </w:r>
          </w:p>
        </w:tc>
      </w:tr>
    </w:tbl>
    <w:p>
      <w:pPr>
        <w:pStyle w:val="24"/>
      </w:pPr>
    </w:p>
    <w:p>
      <w:pPr>
        <w:pStyle w:val="24"/>
        <w:ind w:firstLine="560"/>
      </w:pPr>
      <w:r>
        <w:rPr>
          <w:rFonts w:ascii="方正仿宋_GBK" w:hAnsi="方正仿宋_GBK" w:eastAsia="方正仿宋_GBK" w:cs="方正仿宋_GBK"/>
          <w:b/>
          <w:color w:val="000000"/>
          <w:sz w:val="28"/>
        </w:rPr>
        <w:t>2、办案补助/被装购置绩效目标表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1.加强应急管理</w:t>
            </w:r>
          </w:p>
          <w:p>
            <w:pPr>
              <w:pStyle w:val="26"/>
            </w:pPr>
            <w:r>
              <w:t>2.完善被装统一</w:t>
            </w:r>
          </w:p>
          <w:p>
            <w:pPr>
              <w:pStyle w:val="26"/>
            </w:pPr>
            <w:r>
              <w:t>3.内务统一</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人均发放率</w:t>
            </w:r>
          </w:p>
        </w:tc>
        <w:tc>
          <w:tcPr>
            <w:tcW w:w="2835" w:type="dxa"/>
            <w:vAlign w:val="center"/>
          </w:tcPr>
          <w:p>
            <w:pPr>
              <w:pStyle w:val="26"/>
            </w:pPr>
            <w:r>
              <w:t>被装统一</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人均发放率</w:t>
            </w:r>
          </w:p>
        </w:tc>
        <w:tc>
          <w:tcPr>
            <w:tcW w:w="2835" w:type="dxa"/>
            <w:vAlign w:val="center"/>
          </w:tcPr>
          <w:p>
            <w:pPr>
              <w:pStyle w:val="26"/>
            </w:pPr>
            <w:r>
              <w:t>被装统一</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当年任务完成情况</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完成率</w:t>
            </w:r>
          </w:p>
        </w:tc>
        <w:tc>
          <w:tcPr>
            <w:tcW w:w="2835" w:type="dxa"/>
            <w:vAlign w:val="center"/>
          </w:tcPr>
          <w:p>
            <w:pPr>
              <w:pStyle w:val="26"/>
            </w:pPr>
            <w:r>
              <w:t>被装统一</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成本利用率</w:t>
            </w:r>
          </w:p>
        </w:tc>
        <w:tc>
          <w:tcPr>
            <w:tcW w:w="2835" w:type="dxa"/>
            <w:vAlign w:val="center"/>
          </w:tcPr>
          <w:p>
            <w:pPr>
              <w:pStyle w:val="26"/>
            </w:pPr>
            <w:r>
              <w:t>被装购置成本控制在预算内</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提升办公质量</w:t>
            </w:r>
          </w:p>
        </w:tc>
        <w:tc>
          <w:tcPr>
            <w:tcW w:w="2835" w:type="dxa"/>
            <w:vAlign w:val="center"/>
          </w:tcPr>
          <w:p>
            <w:pPr>
              <w:pStyle w:val="26"/>
            </w:pPr>
            <w:r>
              <w:t>提升办公质量</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推动绿色发展和绿色生活方式转变</w:t>
            </w:r>
          </w:p>
        </w:tc>
        <w:tc>
          <w:tcPr>
            <w:tcW w:w="2835" w:type="dxa"/>
            <w:vAlign w:val="center"/>
          </w:tcPr>
          <w:p>
            <w:pPr>
              <w:pStyle w:val="26"/>
            </w:pPr>
            <w:r>
              <w:t>推动绿色发展和绿色生活方式转变</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长期使用性</w:t>
            </w:r>
          </w:p>
        </w:tc>
        <w:tc>
          <w:tcPr>
            <w:tcW w:w="2835" w:type="dxa"/>
            <w:vAlign w:val="center"/>
          </w:tcPr>
          <w:p>
            <w:pPr>
              <w:pStyle w:val="26"/>
            </w:pPr>
            <w:r>
              <w:t>满足队员被装统一的需求</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满意情况</w:t>
            </w:r>
          </w:p>
        </w:tc>
        <w:tc>
          <w:tcPr>
            <w:tcW w:w="2835" w:type="dxa"/>
            <w:vAlign w:val="center"/>
          </w:tcPr>
          <w:p>
            <w:pPr>
              <w:pStyle w:val="26"/>
            </w:pPr>
            <w:r>
              <w:t>队员满意数量占总数的比例</w:t>
            </w:r>
          </w:p>
        </w:tc>
        <w:tc>
          <w:tcPr>
            <w:tcW w:w="2551" w:type="dxa"/>
            <w:vAlign w:val="center"/>
          </w:tcPr>
          <w:p>
            <w:pPr>
              <w:pStyle w:val="26"/>
            </w:pPr>
            <w:r>
              <w:t>100百分比</w:t>
            </w:r>
          </w:p>
        </w:tc>
        <w:tc>
          <w:tcPr>
            <w:tcW w:w="2268" w:type="dxa"/>
            <w:vAlign w:val="center"/>
          </w:tcPr>
          <w:p>
            <w:pPr>
              <w:pStyle w:val="26"/>
            </w:pPr>
            <w:r>
              <w:t>依据消防人员被装购置标准</w:t>
            </w:r>
          </w:p>
        </w:tc>
      </w:tr>
    </w:tbl>
    <w:p>
      <w:pPr>
        <w:pStyle w:val="24"/>
      </w:pPr>
    </w:p>
    <w:p>
      <w:pPr>
        <w:pStyle w:val="24"/>
        <w:ind w:firstLine="560"/>
      </w:pPr>
      <w:r>
        <w:rPr>
          <w:rFonts w:ascii="方正仿宋_GBK" w:hAnsi="方正仿宋_GBK" w:eastAsia="方正仿宋_GBK" w:cs="方正仿宋_GBK"/>
          <w:b/>
          <w:color w:val="000000"/>
          <w:sz w:val="28"/>
        </w:rPr>
        <w:t>3、基础设施建设维修项目绩效目标表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1.保障基础设施完好有效</w:t>
            </w:r>
          </w:p>
          <w:p>
            <w:pPr>
              <w:pStyle w:val="26"/>
            </w:pPr>
            <w:r>
              <w:t>2.接处警中基础设施使用情况良好</w:t>
            </w:r>
          </w:p>
          <w:p>
            <w:pPr>
              <w:pStyle w:val="26"/>
            </w:pPr>
            <w:r>
              <w:t>3.增强队伍灭火救援攻坚能力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完成率</w:t>
            </w:r>
          </w:p>
        </w:tc>
        <w:tc>
          <w:tcPr>
            <w:tcW w:w="2835" w:type="dxa"/>
            <w:vAlign w:val="center"/>
          </w:tcPr>
          <w:p>
            <w:pPr>
              <w:pStyle w:val="26"/>
            </w:pPr>
            <w:r>
              <w:t>接处警任务完成情况</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优良率</w:t>
            </w:r>
          </w:p>
        </w:tc>
        <w:tc>
          <w:tcPr>
            <w:tcW w:w="2835" w:type="dxa"/>
            <w:vAlign w:val="center"/>
          </w:tcPr>
          <w:p>
            <w:pPr>
              <w:pStyle w:val="26"/>
            </w:pPr>
            <w:r>
              <w:t>结项鉴定优秀等级项目数量占结项总数量的比例</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完好率</w:t>
            </w:r>
          </w:p>
        </w:tc>
        <w:tc>
          <w:tcPr>
            <w:tcW w:w="2835" w:type="dxa"/>
            <w:vAlign w:val="center"/>
          </w:tcPr>
          <w:p>
            <w:pPr>
              <w:pStyle w:val="26"/>
            </w:pPr>
            <w:r>
              <w:t>有效解决取水困难问题。</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使用率</w:t>
            </w:r>
          </w:p>
        </w:tc>
        <w:tc>
          <w:tcPr>
            <w:tcW w:w="2835" w:type="dxa"/>
            <w:vAlign w:val="center"/>
          </w:tcPr>
          <w:p>
            <w:pPr>
              <w:pStyle w:val="26"/>
            </w:pPr>
            <w:r>
              <w:t>达到城乡消防设施建设数量要求</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经济损失减少</w:t>
            </w:r>
          </w:p>
        </w:tc>
        <w:tc>
          <w:tcPr>
            <w:tcW w:w="2835" w:type="dxa"/>
            <w:vAlign w:val="center"/>
          </w:tcPr>
          <w:p>
            <w:pPr>
              <w:pStyle w:val="26"/>
            </w:pPr>
            <w:r>
              <w:t>有效减少城乡因灾害产生的各项经济损失</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使用情况</w:t>
            </w:r>
          </w:p>
        </w:tc>
        <w:tc>
          <w:tcPr>
            <w:tcW w:w="2835" w:type="dxa"/>
            <w:vAlign w:val="center"/>
          </w:tcPr>
          <w:p>
            <w:pPr>
              <w:pStyle w:val="26"/>
            </w:pPr>
            <w:r>
              <w:t>使用情况</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w:t>
            </w:r>
          </w:p>
        </w:tc>
        <w:tc>
          <w:tcPr>
            <w:tcW w:w="2835" w:type="dxa"/>
            <w:vAlign w:val="center"/>
          </w:tcPr>
          <w:p>
            <w:pPr>
              <w:pStyle w:val="26"/>
            </w:pPr>
            <w:r>
              <w:t>对城乡生态产生积极影响</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完好率</w:t>
            </w:r>
          </w:p>
        </w:tc>
        <w:tc>
          <w:tcPr>
            <w:tcW w:w="2835" w:type="dxa"/>
            <w:vAlign w:val="center"/>
          </w:tcPr>
          <w:p>
            <w:pPr>
              <w:pStyle w:val="26"/>
            </w:pPr>
            <w:r>
              <w:t>正常使用情况</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群众满意率</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依据基础设施建设维修标准</w:t>
            </w:r>
          </w:p>
        </w:tc>
      </w:tr>
    </w:tbl>
    <w:p>
      <w:pPr>
        <w:pStyle w:val="24"/>
      </w:pPr>
    </w:p>
    <w:p>
      <w:pPr>
        <w:pStyle w:val="24"/>
        <w:ind w:firstLine="560"/>
      </w:pPr>
      <w:r>
        <w:rPr>
          <w:rFonts w:ascii="方正仿宋_GBK" w:hAnsi="方正仿宋_GBK" w:eastAsia="方正仿宋_GBK" w:cs="方正仿宋_GBK"/>
          <w:b/>
          <w:color w:val="000000"/>
          <w:sz w:val="28"/>
        </w:rPr>
        <w:t>4、科普教育馆建设项目绩效目标表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1.保证科普教育馆设施完好有效</w:t>
            </w:r>
          </w:p>
          <w:p>
            <w:pPr>
              <w:pStyle w:val="26"/>
            </w:pPr>
            <w:r>
              <w:t>2.满足广大群众学习要求</w:t>
            </w:r>
          </w:p>
          <w:p>
            <w:pPr>
              <w:pStyle w:val="26"/>
            </w:pPr>
            <w:r>
              <w:t>3.提高消防指战员灾害事故的救援能力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器材到位率</w:t>
            </w:r>
          </w:p>
        </w:tc>
        <w:tc>
          <w:tcPr>
            <w:tcW w:w="2835" w:type="dxa"/>
            <w:vAlign w:val="center"/>
          </w:tcPr>
          <w:p>
            <w:pPr>
              <w:pStyle w:val="26"/>
            </w:pPr>
            <w:r>
              <w:t>器材按量到位情况</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器材质量标准</w:t>
            </w:r>
          </w:p>
        </w:tc>
        <w:tc>
          <w:tcPr>
            <w:tcW w:w="2835" w:type="dxa"/>
            <w:vAlign w:val="center"/>
          </w:tcPr>
          <w:p>
            <w:pPr>
              <w:pStyle w:val="26"/>
            </w:pPr>
            <w:r>
              <w:t>器材配备完好，无质量问题</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器材到位率</w:t>
            </w:r>
          </w:p>
        </w:tc>
        <w:tc>
          <w:tcPr>
            <w:tcW w:w="2835" w:type="dxa"/>
            <w:vAlign w:val="center"/>
          </w:tcPr>
          <w:p>
            <w:pPr>
              <w:pStyle w:val="26"/>
            </w:pPr>
            <w:r>
              <w:t>器材按时到位情况</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实际成本</w:t>
            </w:r>
          </w:p>
        </w:tc>
        <w:tc>
          <w:tcPr>
            <w:tcW w:w="2835" w:type="dxa"/>
            <w:vAlign w:val="center"/>
          </w:tcPr>
          <w:p>
            <w:pPr>
              <w:pStyle w:val="26"/>
            </w:pPr>
            <w:r>
              <w:t>项目实际成本</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综合利用率</w:t>
            </w:r>
          </w:p>
        </w:tc>
        <w:tc>
          <w:tcPr>
            <w:tcW w:w="2835" w:type="dxa"/>
            <w:vAlign w:val="center"/>
          </w:tcPr>
          <w:p>
            <w:pPr>
              <w:pStyle w:val="26"/>
            </w:pPr>
            <w:r>
              <w:t>器材长期有效利用</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群众受益率</w:t>
            </w:r>
          </w:p>
        </w:tc>
        <w:tc>
          <w:tcPr>
            <w:tcW w:w="2835" w:type="dxa"/>
            <w:vAlign w:val="center"/>
          </w:tcPr>
          <w:p>
            <w:pPr>
              <w:pStyle w:val="26"/>
            </w:pPr>
            <w:r>
              <w:t>群众受益率</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为生态文明提供技术</w:t>
            </w:r>
          </w:p>
        </w:tc>
        <w:tc>
          <w:tcPr>
            <w:tcW w:w="2835" w:type="dxa"/>
            <w:vAlign w:val="center"/>
          </w:tcPr>
          <w:p>
            <w:pPr>
              <w:pStyle w:val="26"/>
            </w:pPr>
            <w:r>
              <w:t>通过科普教育，提升群众生态文明观念</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使用率</w:t>
            </w:r>
          </w:p>
        </w:tc>
        <w:tc>
          <w:tcPr>
            <w:tcW w:w="2835" w:type="dxa"/>
            <w:vAlign w:val="center"/>
          </w:tcPr>
          <w:p>
            <w:pPr>
              <w:pStyle w:val="26"/>
            </w:pPr>
            <w:r>
              <w:t>长期有效使用</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100百分比</w:t>
            </w:r>
          </w:p>
        </w:tc>
        <w:tc>
          <w:tcPr>
            <w:tcW w:w="2268" w:type="dxa"/>
            <w:vAlign w:val="center"/>
          </w:tcPr>
          <w:p>
            <w:pPr>
              <w:pStyle w:val="26"/>
            </w:pPr>
            <w:r>
              <w:t>科普教育馆建设标准</w:t>
            </w:r>
          </w:p>
        </w:tc>
      </w:tr>
    </w:tbl>
    <w:p>
      <w:pPr>
        <w:pStyle w:val="24"/>
      </w:pPr>
    </w:p>
    <w:p>
      <w:pPr>
        <w:pStyle w:val="24"/>
        <w:ind w:firstLine="560"/>
      </w:pPr>
      <w:r>
        <w:rPr>
          <w:rFonts w:ascii="方正仿宋_GBK" w:hAnsi="方正仿宋_GBK" w:eastAsia="方正仿宋_GBK" w:cs="方正仿宋_GBK"/>
          <w:b/>
          <w:color w:val="000000"/>
          <w:sz w:val="28"/>
        </w:rPr>
        <w:t>5、器材设备购置项目绩效目标表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1.保障消防员在执勤战斗中的各项安全措施</w:t>
            </w:r>
          </w:p>
          <w:p>
            <w:pPr>
              <w:pStyle w:val="26"/>
            </w:pPr>
            <w:r>
              <w:t>2.达到装备配备标准</w:t>
            </w:r>
          </w:p>
          <w:p>
            <w:pPr>
              <w:pStyle w:val="26"/>
            </w:pPr>
            <w:r>
              <w:t>3.增强队伍灭火救援攻坚能力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设备到位率</w:t>
            </w:r>
          </w:p>
        </w:tc>
        <w:tc>
          <w:tcPr>
            <w:tcW w:w="2835" w:type="dxa"/>
            <w:vAlign w:val="center"/>
          </w:tcPr>
          <w:p>
            <w:pPr>
              <w:pStyle w:val="26"/>
            </w:pPr>
            <w:r>
              <w:t>达到装备配备标准</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设备完好率</w:t>
            </w:r>
          </w:p>
        </w:tc>
        <w:tc>
          <w:tcPr>
            <w:tcW w:w="2835" w:type="dxa"/>
            <w:vAlign w:val="center"/>
          </w:tcPr>
          <w:p>
            <w:pPr>
              <w:pStyle w:val="26"/>
            </w:pPr>
            <w:r>
              <w:t>达到装备配备标准</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投入使用情况</w:t>
            </w:r>
          </w:p>
        </w:tc>
        <w:tc>
          <w:tcPr>
            <w:tcW w:w="2835" w:type="dxa"/>
            <w:vAlign w:val="center"/>
          </w:tcPr>
          <w:p>
            <w:pPr>
              <w:pStyle w:val="26"/>
            </w:pPr>
            <w:r>
              <w:t>正常执勤备战</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项目实际支出控制率</w:t>
            </w:r>
          </w:p>
        </w:tc>
        <w:tc>
          <w:tcPr>
            <w:tcW w:w="2835" w:type="dxa"/>
            <w:vAlign w:val="center"/>
          </w:tcPr>
          <w:p>
            <w:pPr>
              <w:pStyle w:val="26"/>
            </w:pPr>
            <w:r>
              <w:t>项目实际支出是否控制在预算内</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群众经济损失减少</w:t>
            </w:r>
          </w:p>
        </w:tc>
        <w:tc>
          <w:tcPr>
            <w:tcW w:w="2835" w:type="dxa"/>
            <w:vAlign w:val="center"/>
          </w:tcPr>
          <w:p>
            <w:pPr>
              <w:pStyle w:val="26"/>
            </w:pPr>
            <w:r>
              <w:t>通过处置各类灾害，有效保证群众经济损失减少</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应急救助率</w:t>
            </w:r>
          </w:p>
        </w:tc>
        <w:tc>
          <w:tcPr>
            <w:tcW w:w="2835" w:type="dxa"/>
            <w:vAlign w:val="center"/>
          </w:tcPr>
          <w:p>
            <w:pPr>
              <w:pStyle w:val="26"/>
            </w:pPr>
            <w:r>
              <w:t>投入执勤情况，提高应急救援水平</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w:t>
            </w:r>
          </w:p>
        </w:tc>
        <w:tc>
          <w:tcPr>
            <w:tcW w:w="2835" w:type="dxa"/>
            <w:vAlign w:val="center"/>
          </w:tcPr>
          <w:p>
            <w:pPr>
              <w:pStyle w:val="26"/>
            </w:pPr>
            <w:r>
              <w:t>有效降低辖区生态受灾害影响情况</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长期使用性</w:t>
            </w:r>
          </w:p>
        </w:tc>
        <w:tc>
          <w:tcPr>
            <w:tcW w:w="2835" w:type="dxa"/>
            <w:vAlign w:val="center"/>
          </w:tcPr>
          <w:p>
            <w:pPr>
              <w:pStyle w:val="26"/>
            </w:pPr>
            <w:r>
              <w:t>长期保障人民群众生命财产安全</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达到消防站器材设备配备标准</w:t>
            </w:r>
          </w:p>
        </w:tc>
      </w:tr>
    </w:tbl>
    <w:p>
      <w:pPr>
        <w:pStyle w:val="24"/>
      </w:pPr>
    </w:p>
    <w:p>
      <w:pPr>
        <w:pStyle w:val="24"/>
        <w:ind w:firstLine="560"/>
      </w:pPr>
      <w:r>
        <w:rPr>
          <w:rFonts w:ascii="方正仿宋_GBK" w:hAnsi="方正仿宋_GBK" w:eastAsia="方正仿宋_GBK" w:cs="方正仿宋_GBK"/>
          <w:b/>
          <w:color w:val="000000"/>
          <w:sz w:val="28"/>
        </w:rPr>
        <w:t>6、人员及附加经费绩效目标表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1.减少骨干人员流失</w:t>
            </w:r>
          </w:p>
          <w:p>
            <w:pPr>
              <w:pStyle w:val="26"/>
            </w:pPr>
            <w:r>
              <w:t>2.提升人员工作积极性</w:t>
            </w:r>
          </w:p>
          <w:p>
            <w:pPr>
              <w:pStyle w:val="26"/>
            </w:pPr>
            <w:r>
              <w:t>3.提高消防人员待遇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提升消防人员收入</w:t>
            </w:r>
          </w:p>
        </w:tc>
        <w:tc>
          <w:tcPr>
            <w:tcW w:w="2835" w:type="dxa"/>
            <w:vAlign w:val="center"/>
          </w:tcPr>
          <w:p>
            <w:pPr>
              <w:pStyle w:val="26"/>
            </w:pPr>
            <w:r>
              <w:t>达到</w:t>
            </w:r>
            <w:bookmarkStart w:id="1" w:name="_GoBack"/>
            <w:bookmarkEnd w:id="1"/>
            <w:r>
              <w:t>省市文件通知关于消防人员工资福利待遇标准要求</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提高消防指挥员收入</w:t>
            </w:r>
          </w:p>
        </w:tc>
        <w:tc>
          <w:tcPr>
            <w:tcW w:w="2835" w:type="dxa"/>
            <w:vAlign w:val="center"/>
          </w:tcPr>
          <w:p>
            <w:pPr>
              <w:pStyle w:val="26"/>
            </w:pPr>
            <w:r>
              <w:t>有利于队伍稳定和减少人才流失</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到位情况</w:t>
            </w:r>
          </w:p>
        </w:tc>
        <w:tc>
          <w:tcPr>
            <w:tcW w:w="2835" w:type="dxa"/>
            <w:vAlign w:val="center"/>
          </w:tcPr>
          <w:p>
            <w:pPr>
              <w:pStyle w:val="26"/>
            </w:pPr>
            <w:r>
              <w:t>达到省市文件通知关于消防人员工资福利待遇标准要求</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到位情况</w:t>
            </w:r>
          </w:p>
        </w:tc>
        <w:tc>
          <w:tcPr>
            <w:tcW w:w="2835" w:type="dxa"/>
            <w:vAlign w:val="center"/>
          </w:tcPr>
          <w:p>
            <w:pPr>
              <w:pStyle w:val="26"/>
            </w:pPr>
            <w:r>
              <w:t>达到省市文件通知关于消防人员工资福利待遇标准要求</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增加消防指战员经济收入</w:t>
            </w:r>
          </w:p>
        </w:tc>
        <w:tc>
          <w:tcPr>
            <w:tcW w:w="2835" w:type="dxa"/>
            <w:vAlign w:val="center"/>
          </w:tcPr>
          <w:p>
            <w:pPr>
              <w:pStyle w:val="26"/>
            </w:pPr>
            <w:r>
              <w:t>消防指战员权益得到保障，稳定消防队伍，提升灭火救援战斗力。</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保护人民群众生命财产安全</w:t>
            </w:r>
          </w:p>
        </w:tc>
        <w:tc>
          <w:tcPr>
            <w:tcW w:w="2835" w:type="dxa"/>
            <w:vAlign w:val="center"/>
          </w:tcPr>
          <w:p>
            <w:pPr>
              <w:pStyle w:val="26"/>
            </w:pPr>
            <w:r>
              <w:t>有利于保障隆尧县辖区的消防安全</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生态影响力</w:t>
            </w:r>
          </w:p>
        </w:tc>
        <w:tc>
          <w:tcPr>
            <w:tcW w:w="2835" w:type="dxa"/>
            <w:vAlign w:val="center"/>
          </w:tcPr>
          <w:p>
            <w:pPr>
              <w:pStyle w:val="26"/>
            </w:pPr>
            <w:r>
              <w:t>保障辖区生态环境</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消防安全、队伍稳定</w:t>
            </w:r>
          </w:p>
        </w:tc>
        <w:tc>
          <w:tcPr>
            <w:tcW w:w="2835" w:type="dxa"/>
            <w:vAlign w:val="center"/>
          </w:tcPr>
          <w:p>
            <w:pPr>
              <w:pStyle w:val="26"/>
            </w:pPr>
            <w:r>
              <w:t>有利于队伍稳定和消防指战员权益得到保障</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工作人员满意数量占总数的比例。</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bl>
    <w:p>
      <w:pPr>
        <w:pStyle w:val="24"/>
      </w:pPr>
    </w:p>
    <w:p>
      <w:pPr>
        <w:pStyle w:val="24"/>
        <w:ind w:firstLine="560"/>
      </w:pPr>
      <w:r>
        <w:rPr>
          <w:rFonts w:ascii="方正仿宋_GBK" w:hAnsi="方正仿宋_GBK" w:eastAsia="方正仿宋_GBK" w:cs="方正仿宋_GBK"/>
          <w:b/>
          <w:color w:val="000000"/>
          <w:sz w:val="28"/>
        </w:rPr>
        <w:t>7、消防车辆购置项目绩效目标表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1.保障消防员出警时间的缩短，提升灾害事故处置</w:t>
            </w:r>
          </w:p>
          <w:p>
            <w:pPr>
              <w:pStyle w:val="26"/>
            </w:pPr>
            <w:r>
              <w:t>2.达到消防车辆配备标准</w:t>
            </w:r>
          </w:p>
          <w:p>
            <w:pPr>
              <w:pStyle w:val="26"/>
            </w:pPr>
            <w:r>
              <w:t>3.增强队伍灭火救援攻坚能力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车辆到位率</w:t>
            </w:r>
          </w:p>
        </w:tc>
        <w:tc>
          <w:tcPr>
            <w:tcW w:w="2835" w:type="dxa"/>
            <w:vAlign w:val="center"/>
          </w:tcPr>
          <w:p>
            <w:pPr>
              <w:pStyle w:val="26"/>
            </w:pPr>
            <w:r>
              <w:t>达到车辆配备标准</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车辆完好率</w:t>
            </w:r>
          </w:p>
        </w:tc>
        <w:tc>
          <w:tcPr>
            <w:tcW w:w="2835" w:type="dxa"/>
            <w:vAlign w:val="center"/>
          </w:tcPr>
          <w:p>
            <w:pPr>
              <w:pStyle w:val="26"/>
            </w:pPr>
            <w:r>
              <w:t>达到车辆配备标准</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投入使用情况</w:t>
            </w:r>
          </w:p>
        </w:tc>
        <w:tc>
          <w:tcPr>
            <w:tcW w:w="2835" w:type="dxa"/>
            <w:vAlign w:val="center"/>
          </w:tcPr>
          <w:p>
            <w:pPr>
              <w:pStyle w:val="26"/>
            </w:pPr>
            <w:r>
              <w:t>正常执勤备战</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w:t>
            </w:r>
          </w:p>
        </w:tc>
        <w:tc>
          <w:tcPr>
            <w:tcW w:w="2835" w:type="dxa"/>
            <w:vAlign w:val="center"/>
          </w:tcPr>
          <w:p>
            <w:pPr>
              <w:pStyle w:val="26"/>
            </w:pPr>
            <w:r>
              <w:t>资金成本</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出警时间缩短率</w:t>
            </w:r>
          </w:p>
        </w:tc>
        <w:tc>
          <w:tcPr>
            <w:tcW w:w="2835" w:type="dxa"/>
            <w:vAlign w:val="center"/>
          </w:tcPr>
          <w:p>
            <w:pPr>
              <w:pStyle w:val="26"/>
            </w:pPr>
            <w:r>
              <w:t>出警时间缩短率，减少处置灾害事故时间</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公共服务水平提升情况</w:t>
            </w:r>
          </w:p>
        </w:tc>
        <w:tc>
          <w:tcPr>
            <w:tcW w:w="2835" w:type="dxa"/>
            <w:vAlign w:val="center"/>
          </w:tcPr>
          <w:p>
            <w:pPr>
              <w:pStyle w:val="26"/>
            </w:pPr>
            <w:r>
              <w:t>公共服务水平提升情况</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利于生态环境改善</w:t>
            </w:r>
          </w:p>
        </w:tc>
        <w:tc>
          <w:tcPr>
            <w:tcW w:w="2835" w:type="dxa"/>
            <w:vAlign w:val="center"/>
          </w:tcPr>
          <w:p>
            <w:pPr>
              <w:pStyle w:val="26"/>
            </w:pPr>
            <w:r>
              <w:t>有利于当地生态环境的改善</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维护社会稳定</w:t>
            </w:r>
          </w:p>
        </w:tc>
        <w:tc>
          <w:tcPr>
            <w:tcW w:w="2835" w:type="dxa"/>
            <w:vAlign w:val="center"/>
          </w:tcPr>
          <w:p>
            <w:pPr>
              <w:pStyle w:val="26"/>
            </w:pPr>
            <w:r>
              <w:t>有效处置灾害事故，维护社会稳定</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100百分比</w:t>
            </w:r>
          </w:p>
        </w:tc>
        <w:tc>
          <w:tcPr>
            <w:tcW w:w="2268" w:type="dxa"/>
            <w:vAlign w:val="center"/>
          </w:tcPr>
          <w:p>
            <w:pPr>
              <w:pStyle w:val="26"/>
            </w:pPr>
            <w:r>
              <w:t>达到车辆配备标准</w:t>
            </w:r>
          </w:p>
        </w:tc>
      </w:tr>
    </w:tbl>
    <w:p>
      <w:pPr>
        <w:pStyle w:val="24"/>
      </w:pPr>
    </w:p>
    <w:p>
      <w:pPr>
        <w:pStyle w:val="24"/>
        <w:ind w:firstLine="560"/>
      </w:pPr>
      <w:r>
        <w:rPr>
          <w:rFonts w:ascii="方正仿宋_GBK" w:hAnsi="方正仿宋_GBK" w:eastAsia="方正仿宋_GBK" w:cs="方正仿宋_GBK"/>
          <w:b/>
          <w:color w:val="000000"/>
          <w:sz w:val="28"/>
        </w:rPr>
        <w:t>8、消防业务经费绩效目标表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1.减少消除火灾隐患</w:t>
            </w:r>
          </w:p>
          <w:p>
            <w:pPr>
              <w:pStyle w:val="26"/>
            </w:pPr>
            <w:r>
              <w:t>2.保障人民生命财产安全</w:t>
            </w:r>
          </w:p>
          <w:p>
            <w:pPr>
              <w:pStyle w:val="26"/>
            </w:pPr>
            <w:r>
              <w:t>3.保障单位正常运行率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保障单位正常运行率</w:t>
            </w:r>
          </w:p>
        </w:tc>
        <w:tc>
          <w:tcPr>
            <w:tcW w:w="2835" w:type="dxa"/>
            <w:vAlign w:val="center"/>
          </w:tcPr>
          <w:p>
            <w:pPr>
              <w:pStyle w:val="26"/>
            </w:pPr>
            <w:r>
              <w:t>保障单位正常运行</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消防宣传覆盖率</w:t>
            </w:r>
          </w:p>
        </w:tc>
        <w:tc>
          <w:tcPr>
            <w:tcW w:w="2835" w:type="dxa"/>
            <w:vAlign w:val="center"/>
          </w:tcPr>
          <w:p>
            <w:pPr>
              <w:pStyle w:val="26"/>
            </w:pPr>
            <w:r>
              <w:t>消防宣传</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当年消防正常任务完成情况</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正常办公、生活和执勤备战</w:t>
            </w:r>
          </w:p>
        </w:tc>
        <w:tc>
          <w:tcPr>
            <w:tcW w:w="2835" w:type="dxa"/>
            <w:vAlign w:val="center"/>
          </w:tcPr>
          <w:p>
            <w:pPr>
              <w:pStyle w:val="26"/>
            </w:pPr>
            <w:r>
              <w:t>正常办公、生活和执勤备战</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事故财产损失下降率</w:t>
            </w:r>
          </w:p>
        </w:tc>
        <w:tc>
          <w:tcPr>
            <w:tcW w:w="2835" w:type="dxa"/>
            <w:vAlign w:val="center"/>
          </w:tcPr>
          <w:p>
            <w:pPr>
              <w:pStyle w:val="26"/>
            </w:pPr>
            <w:r>
              <w:t>辖区因灾害事故财产损失下降</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在社会产生的重要影响，得到广大受众的充分认可。</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w:t>
            </w:r>
          </w:p>
        </w:tc>
        <w:tc>
          <w:tcPr>
            <w:tcW w:w="2835" w:type="dxa"/>
            <w:vAlign w:val="center"/>
          </w:tcPr>
          <w:p>
            <w:pPr>
              <w:pStyle w:val="26"/>
            </w:pPr>
            <w:r>
              <w:t>对辖区生态产生积极影响</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基本公共服务水平</w:t>
            </w:r>
          </w:p>
        </w:tc>
        <w:tc>
          <w:tcPr>
            <w:tcW w:w="2835" w:type="dxa"/>
            <w:vAlign w:val="center"/>
          </w:tcPr>
          <w:p>
            <w:pPr>
              <w:pStyle w:val="26"/>
            </w:pPr>
            <w:r>
              <w:t>挽回的经济损失</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bl>
    <w:p>
      <w:pPr>
        <w:pStyle w:val="24"/>
      </w:pPr>
    </w:p>
    <w:p>
      <w:pPr>
        <w:pStyle w:val="24"/>
        <w:ind w:firstLine="560"/>
      </w:pPr>
      <w:r>
        <w:rPr>
          <w:rFonts w:ascii="方正仿宋_GBK" w:hAnsi="方正仿宋_GBK" w:eastAsia="方正仿宋_GBK" w:cs="方正仿宋_GBK"/>
          <w:b/>
          <w:color w:val="000000"/>
          <w:sz w:val="28"/>
        </w:rPr>
        <w:t>9、消防站建设尾款绩效目标表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1.提升灾害事故处置能力</w:t>
            </w:r>
          </w:p>
          <w:p>
            <w:pPr>
              <w:pStyle w:val="26"/>
            </w:pPr>
            <w:r>
              <w:t>2.保障投入执勤</w:t>
            </w:r>
          </w:p>
          <w:p>
            <w:pPr>
              <w:pStyle w:val="26"/>
            </w:pPr>
            <w:r>
              <w:t>3.有效保障人民生命财产安全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服务覆盖人数</w:t>
            </w:r>
          </w:p>
        </w:tc>
        <w:tc>
          <w:tcPr>
            <w:tcW w:w="2835" w:type="dxa"/>
            <w:vAlign w:val="center"/>
          </w:tcPr>
          <w:p>
            <w:pPr>
              <w:pStyle w:val="26"/>
            </w:pPr>
            <w:r>
              <w:t>覆盖的常住人口数</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优良率</w:t>
            </w:r>
          </w:p>
        </w:tc>
        <w:tc>
          <w:tcPr>
            <w:tcW w:w="2835" w:type="dxa"/>
            <w:vAlign w:val="center"/>
          </w:tcPr>
          <w:p>
            <w:pPr>
              <w:pStyle w:val="26"/>
            </w:pPr>
            <w:r>
              <w:t>投入执勤情况</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工程进度完成情况</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利用率</w:t>
            </w:r>
          </w:p>
        </w:tc>
        <w:tc>
          <w:tcPr>
            <w:tcW w:w="2835" w:type="dxa"/>
            <w:vAlign w:val="center"/>
          </w:tcPr>
          <w:p>
            <w:pPr>
              <w:pStyle w:val="26"/>
            </w:pPr>
            <w:r>
              <w:t>正常生活、工作环境情况</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为人民群众减免经济损失数</w:t>
            </w:r>
          </w:p>
        </w:tc>
        <w:tc>
          <w:tcPr>
            <w:tcW w:w="2835" w:type="dxa"/>
            <w:vAlign w:val="center"/>
          </w:tcPr>
          <w:p>
            <w:pPr>
              <w:pStyle w:val="26"/>
            </w:pPr>
            <w:r>
              <w:t>为人民群众减免经济损失数</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应急救助率</w:t>
            </w:r>
          </w:p>
        </w:tc>
        <w:tc>
          <w:tcPr>
            <w:tcW w:w="2835" w:type="dxa"/>
            <w:vAlign w:val="center"/>
          </w:tcPr>
          <w:p>
            <w:pPr>
              <w:pStyle w:val="26"/>
            </w:pPr>
            <w:r>
              <w:t>投入执勤情况</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对辖区内生态影响</w:t>
            </w:r>
          </w:p>
        </w:tc>
        <w:tc>
          <w:tcPr>
            <w:tcW w:w="2835" w:type="dxa"/>
            <w:vAlign w:val="center"/>
          </w:tcPr>
          <w:p>
            <w:pPr>
              <w:pStyle w:val="26"/>
            </w:pPr>
            <w:r>
              <w:t>减少灾害事故对辖区内生态的影响</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长期使用性</w:t>
            </w:r>
          </w:p>
        </w:tc>
        <w:tc>
          <w:tcPr>
            <w:tcW w:w="2835" w:type="dxa"/>
            <w:vAlign w:val="center"/>
          </w:tcPr>
          <w:p>
            <w:pPr>
              <w:pStyle w:val="26"/>
            </w:pPr>
            <w:r>
              <w:t>长期保障人民群众对灾害事故避险的需求</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消防站建设标准</w:t>
            </w:r>
          </w:p>
        </w:tc>
      </w:tr>
    </w:tbl>
    <w:p>
      <w:pPr>
        <w:pStyle w:val="24"/>
      </w:pPr>
    </w:p>
    <w:p>
      <w:pPr>
        <w:pStyle w:val="24"/>
        <w:ind w:firstLine="560"/>
      </w:pPr>
      <w:r>
        <w:rPr>
          <w:rFonts w:ascii="方正仿宋_GBK" w:hAnsi="方正仿宋_GBK" w:eastAsia="方正仿宋_GBK" w:cs="方正仿宋_GBK"/>
          <w:b/>
          <w:color w:val="000000"/>
          <w:sz w:val="28"/>
        </w:rPr>
        <w:t>10、消防主题公园建设项目绩效目标表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1.公园建设按期完成并投入使用</w:t>
            </w:r>
          </w:p>
          <w:p>
            <w:pPr>
              <w:pStyle w:val="26"/>
            </w:pPr>
            <w:r>
              <w:t>2.保障公园基础设施完好有效</w:t>
            </w:r>
          </w:p>
          <w:p>
            <w:pPr>
              <w:pStyle w:val="26"/>
            </w:pPr>
            <w:r>
              <w:t>3.良好学习教育环境</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设备到位率</w:t>
            </w:r>
          </w:p>
        </w:tc>
        <w:tc>
          <w:tcPr>
            <w:tcW w:w="2835" w:type="dxa"/>
            <w:vAlign w:val="center"/>
          </w:tcPr>
          <w:p>
            <w:pPr>
              <w:pStyle w:val="26"/>
            </w:pPr>
            <w:r>
              <w:t>公园设备按量到位</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设备使用情况</w:t>
            </w:r>
          </w:p>
        </w:tc>
        <w:tc>
          <w:tcPr>
            <w:tcW w:w="2835" w:type="dxa"/>
            <w:vAlign w:val="center"/>
          </w:tcPr>
          <w:p>
            <w:pPr>
              <w:pStyle w:val="26"/>
            </w:pPr>
            <w:r>
              <w:t>设备满足使用要求</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公园投入使用情况</w:t>
            </w:r>
          </w:p>
        </w:tc>
        <w:tc>
          <w:tcPr>
            <w:tcW w:w="2835" w:type="dxa"/>
            <w:vAlign w:val="center"/>
          </w:tcPr>
          <w:p>
            <w:pPr>
              <w:pStyle w:val="26"/>
            </w:pPr>
            <w:r>
              <w:t>公园按期投入使用</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项目预算控制数</w:t>
            </w:r>
          </w:p>
        </w:tc>
        <w:tc>
          <w:tcPr>
            <w:tcW w:w="2835" w:type="dxa"/>
            <w:vAlign w:val="center"/>
          </w:tcPr>
          <w:p>
            <w:pPr>
              <w:pStyle w:val="26"/>
            </w:pPr>
            <w:r>
              <w:t>项目预算控制数</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项目工程完成情况</w:t>
            </w:r>
          </w:p>
        </w:tc>
        <w:tc>
          <w:tcPr>
            <w:tcW w:w="2835" w:type="dxa"/>
            <w:vAlign w:val="center"/>
          </w:tcPr>
          <w:p>
            <w:pPr>
              <w:pStyle w:val="26"/>
            </w:pPr>
            <w:r>
              <w:t>项目工程完成情况</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吸引观众、游客数</w:t>
            </w:r>
          </w:p>
        </w:tc>
        <w:tc>
          <w:tcPr>
            <w:tcW w:w="2835" w:type="dxa"/>
            <w:vAlign w:val="center"/>
          </w:tcPr>
          <w:p>
            <w:pPr>
              <w:pStyle w:val="26"/>
            </w:pPr>
            <w:r>
              <w:t>吸引观众、游客数</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促进生态文明建设，推动绿色发展</w:t>
            </w:r>
          </w:p>
        </w:tc>
        <w:tc>
          <w:tcPr>
            <w:tcW w:w="2835" w:type="dxa"/>
            <w:vAlign w:val="center"/>
          </w:tcPr>
          <w:p>
            <w:pPr>
              <w:pStyle w:val="26"/>
            </w:pPr>
            <w:r>
              <w:t>美化公园环境，促进生态文明建设</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项目建成效果</w:t>
            </w:r>
          </w:p>
        </w:tc>
        <w:tc>
          <w:tcPr>
            <w:tcW w:w="2835" w:type="dxa"/>
            <w:vAlign w:val="center"/>
          </w:tcPr>
          <w:p>
            <w:pPr>
              <w:pStyle w:val="26"/>
            </w:pPr>
            <w:r>
              <w:t>项目按期建成，对群众影响广泛</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群众对主题公园建设满意度</w:t>
            </w:r>
          </w:p>
        </w:tc>
        <w:tc>
          <w:tcPr>
            <w:tcW w:w="2551" w:type="dxa"/>
            <w:vAlign w:val="center"/>
          </w:tcPr>
          <w:p>
            <w:pPr>
              <w:pStyle w:val="26"/>
            </w:pPr>
            <w:r>
              <w:t>100百分比</w:t>
            </w:r>
          </w:p>
        </w:tc>
        <w:tc>
          <w:tcPr>
            <w:tcW w:w="2268" w:type="dxa"/>
            <w:vAlign w:val="center"/>
          </w:tcPr>
          <w:p>
            <w:pPr>
              <w:pStyle w:val="26"/>
            </w:pPr>
            <w:r>
              <w:t>消防主题公园建设依据</w:t>
            </w:r>
          </w:p>
        </w:tc>
      </w:tr>
    </w:tbl>
    <w:p>
      <w:pPr>
        <w:pStyle w:val="24"/>
      </w:pPr>
    </w:p>
    <w:p>
      <w:pPr>
        <w:pStyle w:val="24"/>
        <w:ind w:firstLine="560"/>
      </w:pPr>
      <w:r>
        <w:rPr>
          <w:rFonts w:ascii="方正仿宋_GBK" w:hAnsi="方正仿宋_GBK" w:eastAsia="方正仿宋_GBK" w:cs="方正仿宋_GBK"/>
          <w:b/>
          <w:color w:val="000000"/>
          <w:sz w:val="28"/>
        </w:rPr>
        <w:t>11、专项消防规划编制经费绩效目标表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1.确保按时完成编制规划</w:t>
            </w:r>
          </w:p>
          <w:p>
            <w:pPr>
              <w:pStyle w:val="26"/>
            </w:pPr>
            <w:r>
              <w:t>2.保障各乡镇人民生命财产安全</w:t>
            </w:r>
          </w:p>
          <w:p>
            <w:pPr>
              <w:pStyle w:val="26"/>
            </w:pPr>
            <w:r>
              <w:t>3.提升灾害事故处置能力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完成率</w:t>
            </w:r>
          </w:p>
        </w:tc>
        <w:tc>
          <w:tcPr>
            <w:tcW w:w="2835" w:type="dxa"/>
            <w:vAlign w:val="center"/>
          </w:tcPr>
          <w:p>
            <w:pPr>
              <w:pStyle w:val="26"/>
            </w:pPr>
            <w:r>
              <w:t>乡镇编制完成数量</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适用率</w:t>
            </w:r>
          </w:p>
        </w:tc>
        <w:tc>
          <w:tcPr>
            <w:tcW w:w="2835" w:type="dxa"/>
            <w:vAlign w:val="center"/>
          </w:tcPr>
          <w:p>
            <w:pPr>
              <w:pStyle w:val="26"/>
            </w:pPr>
            <w:r>
              <w:t>适用于乡镇消防事业</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按时完成规划编制</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控制在预算内</w:t>
            </w:r>
          </w:p>
        </w:tc>
        <w:tc>
          <w:tcPr>
            <w:tcW w:w="2835" w:type="dxa"/>
            <w:vAlign w:val="center"/>
          </w:tcPr>
          <w:p>
            <w:pPr>
              <w:pStyle w:val="26"/>
            </w:pPr>
            <w:r>
              <w:t>控制在预算内</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综合利用率</w:t>
            </w:r>
          </w:p>
        </w:tc>
        <w:tc>
          <w:tcPr>
            <w:tcW w:w="2835" w:type="dxa"/>
            <w:vAlign w:val="center"/>
          </w:tcPr>
          <w:p>
            <w:pPr>
              <w:pStyle w:val="26"/>
            </w:pPr>
            <w:r>
              <w:t xml:space="preserve">规划编制完成后的利用、使用情况 </w:t>
            </w:r>
          </w:p>
          <w:p>
            <w:pPr>
              <w:pStyle w:val="26"/>
            </w:pP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在社会产生的重要影响，得到广大受众的充分认可。</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w:t>
            </w:r>
          </w:p>
        </w:tc>
        <w:tc>
          <w:tcPr>
            <w:tcW w:w="2835" w:type="dxa"/>
            <w:vAlign w:val="center"/>
          </w:tcPr>
          <w:p>
            <w:pPr>
              <w:pStyle w:val="26"/>
            </w:pPr>
            <w:r>
              <w:t>对各乡镇生态产生积极影响</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长期影响力</w:t>
            </w:r>
          </w:p>
        </w:tc>
        <w:tc>
          <w:tcPr>
            <w:tcW w:w="2835" w:type="dxa"/>
            <w:vAlign w:val="center"/>
          </w:tcPr>
          <w:p>
            <w:pPr>
              <w:pStyle w:val="26"/>
            </w:pPr>
            <w:r>
              <w:t>对各乡镇安全产生长远的积极影响</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依据专项消防规划编制标准</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2022年，隆尧县消防救援大队本级安排政府采购预算0.00万元。具体内容见下表。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903001隆尧县消防救援大队本级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隆尧县消防救援大队本级上年末固定资产金额为0.00万元（详见下表）。本年度拟购置固定资产总额为0.00万元，已按要求列入政府采购预算，详见政府采购预算表。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903001隆尧县消防救援大队本级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w:t>
      </w:r>
      <w:r>
        <w:rPr>
          <w:rFonts w:hint="eastAsia" w:eastAsia="方正仿宋_GBK"/>
          <w:color w:val="000000"/>
          <w:sz w:val="28"/>
          <w:lang w:val="en-US" w:eastAsia="zh-CN"/>
        </w:rPr>
        <w:t>指单位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mRjNjc2ZjNjZGMzM2I1MTU5MWY4MWMxOTBlZmU4ZmEifQ=="/>
  </w:docVars>
  <w:rsids>
    <w:rsidRoot w:val="00AB22B6"/>
    <w:rsid w:val="00432747"/>
    <w:rsid w:val="00AB22B6"/>
    <w:rsid w:val="00E15F52"/>
    <w:rsid w:val="022843CB"/>
    <w:rsid w:val="13C2287D"/>
    <w:rsid w:val="196A7A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d3b83ae7-e360-44da-ac20-5e4845bc9065"/>
    <w:qFormat/>
    <w:uiPriority w:val="0"/>
    <w:rPr>
      <w:rFonts w:ascii="Times New Roman" w:hAnsi="Times New Roman" w:eastAsia="Times New Roman" w:cs="Times New Roman"/>
      <w:sz w:val="24"/>
      <w:szCs w:val="24"/>
      <w:lang w:val="en-US" w:eastAsia="uk-UA" w:bidi="ar-SA"/>
    </w:rPr>
  </w:style>
  <w:style w:type="paragraph" w:customStyle="1" w:styleId="25">
    <w:name w:val="单元格样式1_77ead0db-05b5-40d1-b1d4-e50a3c614daa"/>
    <w:basedOn w:val="1"/>
    <w:qFormat/>
    <w:uiPriority w:val="0"/>
    <w:pPr>
      <w:jc w:val="center"/>
    </w:pPr>
    <w:rPr>
      <w:rFonts w:ascii="方正书宋_GBK" w:hAnsi="方正书宋_GBK" w:eastAsia="方正书宋_GBK" w:cs="方正书宋_GBK"/>
      <w:b/>
      <w:sz w:val="21"/>
    </w:rPr>
  </w:style>
  <w:style w:type="paragraph" w:customStyle="1" w:styleId="26">
    <w:name w:val="单元格样式2_5bd5ac54-8573-4f91-8885-5a7cf288702d"/>
    <w:basedOn w:val="1"/>
    <w:qFormat/>
    <w:uiPriority w:val="0"/>
    <w:rPr>
      <w:rFonts w:ascii="方正书宋_GBK" w:hAnsi="方正书宋_GBK" w:eastAsia="方正书宋_GBK" w:cs="方正书宋_GBK"/>
      <w:sz w:val="21"/>
    </w:rPr>
  </w:style>
  <w:style w:type="paragraph" w:customStyle="1" w:styleId="27">
    <w:name w:val="单元格样式3_0f9419ea-2988-4f15-b767-398fdf82935a"/>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2022-02-15T10:32:45Z</dcterms:created>
  <dcterms:modified xsi:type="dcterms:W3CDTF">2022-02-15T02:32:45Z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2022-02-15T10:32:44Z</dcterms:created>
  <dcterms:modified xsi:type="dcterms:W3CDTF">2022-02-15T02:32:44Z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2022-02-15T10:32:47Z</dcterms:created>
  <dcterms:modified xsi:type="dcterms:W3CDTF">2022-02-15T02:32:47Z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2022-02-15T10:32:42Z</dcterms:created>
  <dcterms:modified xsi:type="dcterms:W3CDTF">2022-02-15T02:32:42Z</dcterms:modified>
</cp:coreProperties>
</file>

<file path=customXml/itemProps1.xml><?xml version="1.0" encoding="utf-8"?>
<ds:datastoreItem xmlns:ds="http://schemas.openxmlformats.org/officeDocument/2006/customXml" ds:itemID="{9600E87B-F1AF-447F-8F5A-415FDAB66339}">
  <ds:schemaRefs/>
</ds:datastoreItem>
</file>

<file path=customXml/itemProps2.xml><?xml version="1.0" encoding="utf-8"?>
<ds:datastoreItem xmlns:ds="http://schemas.openxmlformats.org/officeDocument/2006/customXml" ds:itemID="{90215809-0D6C-462E-80E3-8379A8BB521F}">
  <ds:schemaRefs/>
</ds:datastoreItem>
</file>

<file path=customXml/itemProps3.xml><?xml version="1.0" encoding="utf-8"?>
<ds:datastoreItem xmlns:ds="http://schemas.openxmlformats.org/officeDocument/2006/customXml" ds:itemID="{32B497A0-39F5-4EFC-8818-91DDC830723B}">
  <ds:schemaRefs/>
</ds:datastoreItem>
</file>

<file path=customXml/itemProps4.xml><?xml version="1.0" encoding="utf-8"?>
<ds:datastoreItem xmlns:ds="http://schemas.openxmlformats.org/officeDocument/2006/customXml" ds:itemID="{54CB22ED-6962-4042-B6BF-C362F89B1AF0}">
  <ds:schemaRefs/>
</ds:datastoreItem>
</file>

<file path=customXml/itemProps5.xml><?xml version="1.0" encoding="utf-8"?>
<ds:datastoreItem xmlns:ds="http://schemas.openxmlformats.org/officeDocument/2006/customXml" ds:itemID="{B939968A-3B28-4222-B177-39A4F824EF71}">
  <ds:schemaRefs/>
</ds:datastoreItem>
</file>

<file path=customXml/itemProps6.xml><?xml version="1.0" encoding="utf-8"?>
<ds:datastoreItem xmlns:ds="http://schemas.openxmlformats.org/officeDocument/2006/customXml" ds:itemID="{68BC218C-A9D4-4A1C-8959-38836C3B24DA}">
  <ds:schemaRefs/>
</ds:datastoreItem>
</file>

<file path=customXml/itemProps7.xml><?xml version="1.0" encoding="utf-8"?>
<ds:datastoreItem xmlns:ds="http://schemas.openxmlformats.org/officeDocument/2006/customXml" ds:itemID="{2A7E3085-B027-4D0F-8A47-5C99AAD54A4F}">
  <ds:schemaRefs/>
</ds:datastoreItem>
</file>

<file path=customXml/itemProps8.xml><?xml version="1.0" encoding="utf-8"?>
<ds:datastoreItem xmlns:ds="http://schemas.openxmlformats.org/officeDocument/2006/customXml" ds:itemID="{031031B2-9D8F-4084-B5C1-942D24BB3BD2}">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29</Pages>
  <Words>9586</Words>
  <Characters>10717</Characters>
  <Lines>195</Lines>
  <Paragraphs>55</Paragraphs>
  <TotalTime>15</TotalTime>
  <ScaleCrop>false</ScaleCrop>
  <LinksUpToDate>false</LinksUpToDate>
  <CharactersWithSpaces>10847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2022-02-15T02:32:00Z</dcterms:created>
  <dc:creator>Administrator</dc:creator>
  <cp:lastModifiedBy>晶璞</cp:lastModifiedBy>
  <dcterms:modified xsi:type="dcterms:W3CDTF">2023-09-04T09:13:30Z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84C39A200C454ACC92F41E6EC2F7DD17</vt:lpwstr>
  </property>
</Properties>
</file>