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bCs/>
          <w:color w:val="000000"/>
          <w:sz w:val="44"/>
          <w:szCs w:val="44"/>
        </w:rPr>
        <w:t>2022</w:t>
      </w:r>
      <w:r>
        <w:rPr>
          <w:rFonts w:hint="eastAsia" w:ascii="黑体" w:hAnsi="黑体" w:eastAsia="黑体" w:cs="黑体"/>
          <w:b/>
          <w:bCs/>
          <w:color w:val="000000"/>
          <w:sz w:val="44"/>
          <w:szCs w:val="44"/>
        </w:rPr>
        <w:t>年部门预算信息公开目录</w:t>
      </w:r>
      <w:bookmarkStart w:id="0" w:name="_GoBack"/>
      <w:bookmarkEnd w:id="0"/>
    </w:p>
    <w:p>
      <w:pPr>
        <w:jc w:val="center"/>
        <w:rPr>
          <w:rFonts w:eastAsia="Times New Roman"/>
        </w:rPr>
      </w:pPr>
      <w:r>
        <w:rPr>
          <w:rFonts w:ascii="黑体" w:hAnsi="黑体" w:eastAsia="黑体" w:cs="黑体"/>
          <w:b/>
          <w:bCs/>
          <w:color w:val="000000"/>
          <w:sz w:val="30"/>
          <w:szCs w:val="30"/>
        </w:rPr>
        <w:t xml:space="preserve"> </w:t>
      </w:r>
    </w:p>
    <w:p>
      <w:pPr>
        <w:jc w:val="center"/>
        <w:rPr>
          <w:rFonts w:eastAsia="Times New Roman"/>
        </w:rPr>
      </w:pPr>
    </w:p>
    <w:p>
      <w:pPr>
        <w:rPr>
          <w:rFonts w:eastAsia="Times New Roman"/>
        </w:rPr>
      </w:pPr>
      <w:r>
        <w:rPr>
          <w:rFonts w:hint="eastAsia" w:ascii="方正楷体_GBK" w:hAnsi="方正楷体_GBK" w:eastAsia="方正楷体_GBK" w:cs="方正楷体_GBK"/>
          <w:b/>
          <w:bCs/>
          <w:color w:val="000000"/>
          <w:sz w:val="28"/>
          <w:szCs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cs="方正仿宋_GBK"/>
        </w:rP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cs="方正仿宋_GBK"/>
        </w:rPr>
        <w:t>部门预算收入总表</w:t>
      </w:r>
      <w:r>
        <w:tab/>
      </w:r>
      <w:r>
        <w:fldChar w:fldCharType="begin"/>
      </w:r>
      <w:r>
        <w:instrText xml:space="preserve">PAGEREF _Toc_2_2_0000000002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rPr>
          <w:rFonts w:hint="eastAsia" w:cs="方正仿宋_GBK"/>
        </w:rPr>
        <w:t>部门预算支出总表</w:t>
      </w:r>
      <w:r>
        <w:tab/>
      </w:r>
      <w:r>
        <w:fldChar w:fldCharType="begin"/>
      </w:r>
      <w:r>
        <w:instrText xml:space="preserve">PAGEREF _Toc_2_2_0000000003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rPr>
          <w:rFonts w:hint="eastAsia" w:cs="方正仿宋_GBK"/>
        </w:rPr>
        <w:t>部门预算财政拨款收支总表</w:t>
      </w:r>
      <w:r>
        <w:tab/>
      </w:r>
      <w:r>
        <w:fldChar w:fldCharType="begin"/>
      </w:r>
      <w:r>
        <w:instrText xml:space="preserve">PAGEREF _Toc_2_2_0000000004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rPr>
          <w:rFonts w:hint="eastAsia" w:cs="方正仿宋_GBK"/>
        </w:rPr>
        <w:t>部门预算一般公共预算财政拨款支出表</w:t>
      </w:r>
      <w:r>
        <w:tab/>
      </w:r>
      <w:r>
        <w:fldChar w:fldCharType="begin"/>
      </w:r>
      <w:r>
        <w:instrText xml:space="preserve">PAGEREF _Toc_2_2_0000000005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rPr>
          <w:rFonts w:hint="eastAsia" w:cs="方正仿宋_GBK"/>
        </w:rPr>
        <w:t>部门预算一般公共预算财政拨款基本支出表</w:t>
      </w:r>
      <w:r>
        <w:tab/>
      </w:r>
      <w:r>
        <w:fldChar w:fldCharType="begin"/>
      </w:r>
      <w:r>
        <w:instrText xml:space="preserve">PAGEREF _Toc_2_2_0000000006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rPr>
          <w:rFonts w:hint="eastAsia" w:cs="方正仿宋_GBK"/>
        </w:rPr>
        <w:t>部门预算政府基金预算财政拨款支出表</w:t>
      </w:r>
      <w:r>
        <w:tab/>
      </w:r>
      <w:r>
        <w:fldChar w:fldCharType="begin"/>
      </w:r>
      <w:r>
        <w:instrText xml:space="preserve">PAGEREF _Toc_2_2_0000000007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rPr>
          <w:rFonts w:hint="eastAsia" w:cs="方正仿宋_GBK"/>
        </w:rPr>
        <w:t>部门预算国有资本经营预算财政拨款支出表</w:t>
      </w:r>
      <w:r>
        <w:tab/>
      </w:r>
      <w:r>
        <w:fldChar w:fldCharType="begin"/>
      </w:r>
      <w:r>
        <w:instrText xml:space="preserve">PAGEREF _Toc_2_2_0000000008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rPr>
          <w:rFonts w:hint="eastAsia" w:cs="方正仿宋_GBK"/>
        </w:rPr>
        <w:t>部门预算财政拨款</w:t>
      </w:r>
      <w:r>
        <w:t>“</w:t>
      </w:r>
      <w:r>
        <w:rPr>
          <w:rFonts w:hint="eastAsia" w:cs="方正仿宋_GBK"/>
        </w:rPr>
        <w:t>三公</w:t>
      </w:r>
      <w:r>
        <w:t>”</w:t>
      </w:r>
      <w:r>
        <w:rPr>
          <w:rFonts w:hint="eastAsia" w:cs="方正仿宋_GBK"/>
        </w:rPr>
        <w:t>经费支出表</w:t>
      </w:r>
      <w:r>
        <w:tab/>
      </w:r>
      <w:r>
        <w:fldChar w:fldCharType="begin"/>
      </w:r>
      <w:r>
        <w:instrText xml:space="preserve">PAGEREF _Toc_2_2_0000000009 \h</w:instrText>
      </w:r>
      <w:r>
        <w:fldChar w:fldCharType="separate"/>
      </w:r>
      <w:r>
        <w:t>2</w:t>
      </w:r>
      <w:r>
        <w:fldChar w:fldCharType="end"/>
      </w:r>
      <w:r>
        <w:fldChar w:fldCharType="end"/>
      </w:r>
    </w:p>
    <w:p>
      <w:r>
        <w:fldChar w:fldCharType="end"/>
      </w:r>
    </w:p>
    <w:p>
      <w:r>
        <w:rPr>
          <w:rFonts w:hint="eastAsia" w:ascii="方正楷体_GBK" w:hAnsi="方正楷体_GBK" w:eastAsia="方正楷体_GBK" w:cs="方正楷体_GBK"/>
          <w:b/>
          <w:bCs/>
          <w:color w:val="000000"/>
          <w:sz w:val="28"/>
          <w:szCs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cs="方正仿宋_GBK"/>
        </w:rPr>
        <w:t>一、部门职责及机构设置情况</w:t>
      </w:r>
      <w:r>
        <w:tab/>
      </w:r>
      <w:r>
        <w:fldChar w:fldCharType="begin"/>
      </w:r>
      <w:r>
        <w:instrText xml:space="preserve">PAGEREF _Toc_3_3_0000000010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rPr>
          <w:rFonts w:hint="eastAsia" w:cs="方正仿宋_GBK"/>
        </w:rPr>
        <w:t>二、部门预算安排的总体情况</w:t>
      </w:r>
      <w:r>
        <w:tab/>
      </w:r>
      <w:r>
        <w:fldChar w:fldCharType="begin"/>
      </w:r>
      <w:r>
        <w:instrText xml:space="preserve">PAGEREF _Toc_3_3_0000000011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rPr>
          <w:rFonts w:hint="eastAsia" w:cs="方正仿宋_GBK"/>
        </w:rPr>
        <w:t>三、机关运行经费安排情况</w:t>
      </w:r>
      <w:r>
        <w:tab/>
      </w:r>
      <w:r>
        <w:fldChar w:fldCharType="begin"/>
      </w:r>
      <w:r>
        <w:instrText xml:space="preserve">PAGEREF _Toc_3_3_0000000012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rPr>
          <w:rFonts w:hint="eastAsia" w:cs="方正仿宋_GBK"/>
        </w:rPr>
        <w:t>四、财政拨款</w:t>
      </w:r>
      <w:r>
        <w:t>“</w:t>
      </w:r>
      <w:r>
        <w:rPr>
          <w:rFonts w:hint="eastAsia" w:cs="方正仿宋_GBK"/>
        </w:rPr>
        <w:t>三公</w:t>
      </w:r>
      <w:r>
        <w:t>”</w:t>
      </w:r>
      <w:r>
        <w:rPr>
          <w:rFonts w:hint="eastAsia" w:cs="方正仿宋_GBK"/>
        </w:rPr>
        <w:t>经费预算情况及增减变化原因</w:t>
      </w:r>
      <w:r>
        <w:tab/>
      </w:r>
      <w:r>
        <w:fldChar w:fldCharType="begin"/>
      </w:r>
      <w:r>
        <w:instrText xml:space="preserve">PAGEREF _Toc_3_3_0000000013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rPr>
          <w:rFonts w:hint="eastAsia" w:cs="方正仿宋_GBK"/>
        </w:rPr>
        <w:t>五、预算绩效信息</w:t>
      </w:r>
      <w:r>
        <w:tab/>
      </w:r>
      <w:r>
        <w:fldChar w:fldCharType="begin"/>
      </w:r>
      <w:r>
        <w:instrText xml:space="preserve">PAGEREF _Toc_3_3_0000000014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rPr>
          <w:rFonts w:hint="eastAsia" w:cs="方正仿宋_GBK"/>
        </w:rPr>
        <w:t>六、政府采购预算情况</w:t>
      </w:r>
      <w:r>
        <w:tab/>
      </w:r>
      <w:r>
        <w:fldChar w:fldCharType="begin"/>
      </w:r>
      <w:r>
        <w:instrText xml:space="preserve">PAGEREF _Toc_3_3_0000000015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rPr>
          <w:rFonts w:hint="eastAsia" w:cs="方正仿宋_GBK"/>
        </w:rPr>
        <w:t>七、国有资产信息</w:t>
      </w:r>
      <w:r>
        <w:tab/>
      </w:r>
      <w:r>
        <w:fldChar w:fldCharType="begin"/>
      </w:r>
      <w:r>
        <w:instrText xml:space="preserve">PAGEREF _Toc_3_3_0000000016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rPr>
          <w:rFonts w:hint="eastAsia" w:cs="方正仿宋_GBK"/>
        </w:rPr>
        <w:t>八、名词解释</w:t>
      </w:r>
      <w:r>
        <w:tab/>
      </w:r>
      <w:r>
        <w:fldChar w:fldCharType="begin"/>
      </w:r>
      <w:r>
        <w:instrText xml:space="preserve">PAGEREF _Toc_3_3_0000000017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rPr>
          <w:rFonts w:hint="eastAsia" w:cs="方正仿宋_GBK"/>
        </w:rPr>
        <w:t>九、其他需要说明的事项</w:t>
      </w:r>
      <w:r>
        <w:tab/>
      </w:r>
      <w:r>
        <w:fldChar w:fldCharType="begin"/>
      </w:r>
      <w:r>
        <w:instrText xml:space="preserve">PAGEREF _Toc_3_3_0000000018 \h</w:instrText>
      </w:r>
      <w:r>
        <w:fldChar w:fldCharType="separate"/>
      </w:r>
      <w:r>
        <w:t>2</w:t>
      </w:r>
      <w:r>
        <w:fldChar w:fldCharType="end"/>
      </w:r>
      <w:r>
        <w:fldChar w:fldCharType="end"/>
      </w:r>
    </w:p>
    <w:p>
      <w:r>
        <w:fldChar w:fldCharType="end"/>
      </w:r>
    </w:p>
    <w:p>
      <w:pPr>
        <w:jc w:val="center"/>
        <w:sectPr>
          <w:pgSz w:w="16840" w:h="11900" w:orient="landscape"/>
          <w:pgMar w:top="1587" w:right="1134" w:bottom="1361" w:left="1134" w:header="720" w:footer="720" w:gutter="0"/>
          <w:pgNumType w:start="1"/>
          <w:cols w:space="720" w:num="1"/>
        </w:sectPr>
      </w:pPr>
    </w:p>
    <w:p>
      <w:pPr>
        <w:ind w:firstLine="5400" w:firstLineChars="1500"/>
        <w:jc w:val="both"/>
        <w:outlineLvl w:val="1"/>
      </w:pPr>
      <w:r>
        <w:rPr>
          <w:rFonts w:hint="eastAsia" w:ascii="方正小标宋_GBK" w:hAnsi="方正小标宋_GBK" w:eastAsia="方正小标宋_GBK" w:cs="方正小标宋_GBK"/>
          <w:color w:val="000000"/>
          <w:sz w:val="36"/>
          <w:szCs w:val="36"/>
        </w:rPr>
        <w:t>部门预算收支总表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default"/>
              </w:rPr>
              <w:t>975</w:t>
            </w:r>
            <w:r>
              <w:rPr>
                <w:rFonts w:hint="eastAsia"/>
              </w:rPr>
              <w:t>隆尧县供销合作社</w:t>
            </w:r>
          </w:p>
        </w:tc>
        <w:tc>
          <w:tcPr>
            <w:tcW w:w="2126" w:type="dxa"/>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6661" w:type="dxa"/>
            <w:gridSpan w:val="2"/>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6661" w:type="dxa"/>
            <w:gridSpan w:val="2"/>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收入</w:t>
            </w:r>
          </w:p>
        </w:tc>
        <w:tc>
          <w:tcPr>
            <w:tcW w:w="6661" w:type="dxa"/>
            <w:gridSpan w:val="2"/>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45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预算数</w:t>
            </w:r>
          </w:p>
        </w:tc>
        <w:tc>
          <w:tcPr>
            <w:tcW w:w="45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4535"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w:t>
            </w:r>
          </w:p>
        </w:tc>
        <w:tc>
          <w:tcPr>
            <w:tcW w:w="2126"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2</w:t>
            </w:r>
          </w:p>
        </w:tc>
        <w:tc>
          <w:tcPr>
            <w:tcW w:w="4535"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3</w:t>
            </w:r>
          </w:p>
        </w:tc>
        <w:tc>
          <w:tcPr>
            <w:tcW w:w="2126"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一、一般公共预算拨款收入</w:t>
            </w:r>
          </w:p>
        </w:tc>
        <w:tc>
          <w:tcPr>
            <w:tcW w:w="2126"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326.38</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一、一般公共服务支出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二、政府性基金预算拨款收入</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二、外交支出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三、国有资本经营预算拨款收入</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三、国防支出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四、财政专户管理资金收入</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四、公共安全支出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五、事业收入</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五、教育支出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6</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六、事业单位经营收入</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六、科学技术支出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七、上级补助收入</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七、文化旅游体育与传媒支出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8</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八、附属单位上缴收入</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八、社会保障和就业支出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42.60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9</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九、其他收入</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九、社会保险基金支出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十、卫生健康支出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十一、节能环保支出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十二、城乡社区支出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13</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十三、农林水支出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14</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十四、交通运输支出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15</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十五、资源勘探工业信息等支出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16</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十六、商业服务业等支出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17</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十七、金融支出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十八、援助其他地区支出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19</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十九、自然资源海洋气象等支出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20</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二十、住房保障支出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二十一、粮油物资储备支出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二十二、国有资本经营预算支出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23</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二十三、灾害防治及应急管理支出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二十四、预备费</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二十五、其他支出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26</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二十六、年初预留</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27</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二十七、转移性支出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28</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二十八、债务还本支出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二十九、债务付息支出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三十、债务发行费用支出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三十一、抗疫特别国债安排的支出</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32</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本年收入合计</w:t>
            </w:r>
          </w:p>
        </w:tc>
        <w:tc>
          <w:tcPr>
            <w:tcW w:w="2126"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本年支出合计</w:t>
            </w:r>
          </w:p>
        </w:tc>
        <w:tc>
          <w:tcPr>
            <w:tcW w:w="2126"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33</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上年结转结余</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年终结转结余</w:t>
            </w:r>
          </w:p>
        </w:tc>
        <w:tc>
          <w:tcPr>
            <w:tcW w:w="2126"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34</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收入总计</w:t>
            </w:r>
          </w:p>
        </w:tc>
        <w:tc>
          <w:tcPr>
            <w:tcW w:w="2126"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支出总计</w:t>
            </w:r>
          </w:p>
        </w:tc>
        <w:tc>
          <w:tcPr>
            <w:tcW w:w="2126"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szCs w:val="36"/>
        </w:rPr>
        <w:t>部门预算收入总表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default"/>
              </w:rPr>
              <w:t>975</w:t>
            </w:r>
            <w:r>
              <w:rPr>
                <w:rFonts w:hint="eastAsia"/>
              </w:rPr>
              <w:t>隆尧县供销合作社</w:t>
            </w:r>
          </w:p>
        </w:tc>
        <w:tc>
          <w:tcPr>
            <w:tcW w:w="3402" w:type="dxa"/>
            <w:gridSpan w:val="3"/>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669" w:type="dxa"/>
            <w:gridSpan w:val="5"/>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2551" w:type="dxa"/>
            <w:gridSpan w:val="2"/>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功能分类科目</w:t>
            </w:r>
          </w:p>
        </w:tc>
        <w:tc>
          <w:tcPr>
            <w:tcW w:w="1134"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9071" w:type="dxa"/>
            <w:gridSpan w:val="8"/>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本年收入</w:t>
            </w:r>
          </w:p>
        </w:tc>
        <w:tc>
          <w:tcPr>
            <w:tcW w:w="1134"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keepNext w:val="0"/>
              <w:keepLines w:val="0"/>
              <w:widowControl/>
              <w:suppressLineNumbers w:val="0"/>
              <w:spacing w:before="0" w:beforeAutospacing="0" w:after="0" w:afterAutospacing="0"/>
              <w:ind w:left="0" w:right="0"/>
              <w:rPr>
                <w:rFonts w:hint="default"/>
              </w:rPr>
            </w:pPr>
          </w:p>
        </w:tc>
        <w:tc>
          <w:tcPr>
            <w:tcW w:w="992"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w:t>
            </w:r>
            <w:r>
              <w:rPr>
                <w:rFonts w:hint="default"/>
              </w:rPr>
              <w:t xml:space="preserve">    </w:t>
            </w:r>
            <w:r>
              <w:rPr>
                <w:rFonts w:hint="eastAsia"/>
              </w:rPr>
              <w:t>编码</w:t>
            </w:r>
          </w:p>
        </w:tc>
        <w:tc>
          <w:tcPr>
            <w:tcW w:w="1559"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小计</w:t>
            </w:r>
          </w:p>
        </w:tc>
        <w:tc>
          <w:tcPr>
            <w:tcW w:w="113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财政拨款</w:t>
            </w:r>
            <w:r>
              <w:rPr>
                <w:rFonts w:hint="default"/>
              </w:rPr>
              <w:t xml:space="preserve"> </w:t>
            </w:r>
            <w:r>
              <w:rPr>
                <w:rFonts w:hint="eastAsia"/>
              </w:rPr>
              <w:t>收入</w:t>
            </w:r>
          </w:p>
        </w:tc>
        <w:tc>
          <w:tcPr>
            <w:tcW w:w="113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财政专户</w:t>
            </w:r>
            <w:r>
              <w:rPr>
                <w:rFonts w:hint="default"/>
              </w:rPr>
              <w:t xml:space="preserve"> </w:t>
            </w:r>
            <w:r>
              <w:rPr>
                <w:rFonts w:hint="eastAsia"/>
              </w:rPr>
              <w:t>收入</w:t>
            </w:r>
          </w:p>
        </w:tc>
        <w:tc>
          <w:tcPr>
            <w:tcW w:w="113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事业收入</w:t>
            </w:r>
          </w:p>
        </w:tc>
        <w:tc>
          <w:tcPr>
            <w:tcW w:w="113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经营收入</w:t>
            </w:r>
          </w:p>
        </w:tc>
        <w:tc>
          <w:tcPr>
            <w:tcW w:w="113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上级补助收入</w:t>
            </w:r>
          </w:p>
        </w:tc>
        <w:tc>
          <w:tcPr>
            <w:tcW w:w="113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附属单位上缴收入</w:t>
            </w:r>
          </w:p>
        </w:tc>
        <w:tc>
          <w:tcPr>
            <w:tcW w:w="113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其他收入</w:t>
            </w:r>
          </w:p>
        </w:tc>
        <w:tc>
          <w:tcPr>
            <w:tcW w:w="1134"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992"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w:t>
            </w:r>
          </w:p>
        </w:tc>
        <w:tc>
          <w:tcPr>
            <w:tcW w:w="1559"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2</w:t>
            </w:r>
          </w:p>
        </w:tc>
        <w:tc>
          <w:tcPr>
            <w:tcW w:w="113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3</w:t>
            </w:r>
          </w:p>
        </w:tc>
        <w:tc>
          <w:tcPr>
            <w:tcW w:w="113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4</w:t>
            </w:r>
          </w:p>
        </w:tc>
        <w:tc>
          <w:tcPr>
            <w:tcW w:w="113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5</w:t>
            </w:r>
          </w:p>
        </w:tc>
        <w:tc>
          <w:tcPr>
            <w:tcW w:w="113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6</w:t>
            </w:r>
          </w:p>
        </w:tc>
        <w:tc>
          <w:tcPr>
            <w:tcW w:w="113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7</w:t>
            </w:r>
          </w:p>
        </w:tc>
        <w:tc>
          <w:tcPr>
            <w:tcW w:w="113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8</w:t>
            </w:r>
          </w:p>
        </w:tc>
        <w:tc>
          <w:tcPr>
            <w:tcW w:w="113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9</w:t>
            </w:r>
          </w:p>
        </w:tc>
        <w:tc>
          <w:tcPr>
            <w:tcW w:w="113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10</w:t>
            </w:r>
          </w:p>
        </w:tc>
        <w:tc>
          <w:tcPr>
            <w:tcW w:w="113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11</w:t>
            </w:r>
          </w:p>
        </w:tc>
        <w:tc>
          <w:tcPr>
            <w:tcW w:w="113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w:t>
            </w:r>
          </w:p>
        </w:tc>
        <w:tc>
          <w:tcPr>
            <w:tcW w:w="992" w:type="dxa"/>
            <w:vAlign w:val="center"/>
          </w:tcPr>
          <w:p>
            <w:pPr>
              <w:pStyle w:val="19"/>
              <w:keepNext w:val="0"/>
              <w:keepLines w:val="0"/>
              <w:widowControl/>
              <w:suppressLineNumbers w:val="0"/>
              <w:spacing w:before="0" w:beforeAutospacing="0" w:after="0" w:afterAutospacing="0"/>
              <w:ind w:left="0" w:right="0"/>
              <w:rPr>
                <w:rFonts w:hint="default" w:cs="Times New Roman"/>
              </w:rPr>
            </w:pP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1134"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1134"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1134"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1134" w:type="dxa"/>
            <w:vAlign w:val="center"/>
          </w:tcPr>
          <w:p>
            <w:pPr>
              <w:pStyle w:val="18"/>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8"/>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8"/>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8"/>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8"/>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8"/>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8"/>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社会保障和就业支出</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42.60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42.60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42.60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20805</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行政事业单位养老支出</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29.64</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29.64</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29.64</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2080502</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事业单位离退休</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7.79</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7.79</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7.79</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2080505</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机关事业单位基本养老保险缴费支出</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21.85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21.85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21.85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6</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20807</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就业补助</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2080705</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公益性岗位补贴</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8</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210</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卫生健康支出</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9</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21011</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行政事业单位医疗</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2101102</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事业单位医疗</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11</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213</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农林水支出</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21301</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农业农村</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13</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2130124</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农村合作经济</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14</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商业服务业等支出</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15</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21602</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商业流通事务</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16</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2160217</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市场监测及信息管理</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5.00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5.00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5.00</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17</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2160250</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事业运行</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247.35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247.35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247.35</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221</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住房保障支出</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19</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22102</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住房改革支出</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20</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2210201</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住房公积金</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rPr>
            </w:pP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szCs w:val="36"/>
        </w:rPr>
        <w:t>部门预算支出总表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default"/>
              </w:rPr>
              <w:t>975</w:t>
            </w:r>
            <w:r>
              <w:rPr>
                <w:rFonts w:hint="eastAsia"/>
              </w:rPr>
              <w:t>隆尧县供销合作社</w:t>
            </w:r>
          </w:p>
        </w:tc>
        <w:tc>
          <w:tcPr>
            <w:tcW w:w="2721" w:type="dxa"/>
            <w:gridSpan w:val="2"/>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443" w:type="dxa"/>
            <w:gridSpan w:val="4"/>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5528" w:type="dxa"/>
            <w:gridSpan w:val="2"/>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功能分类科目</w:t>
            </w:r>
          </w:p>
        </w:tc>
        <w:tc>
          <w:tcPr>
            <w:tcW w:w="136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136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基本支出</w:t>
            </w:r>
          </w:p>
        </w:tc>
        <w:tc>
          <w:tcPr>
            <w:tcW w:w="136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项目支出</w:t>
            </w:r>
          </w:p>
        </w:tc>
        <w:tc>
          <w:tcPr>
            <w:tcW w:w="136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经营支出</w:t>
            </w:r>
          </w:p>
        </w:tc>
        <w:tc>
          <w:tcPr>
            <w:tcW w:w="136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上解上级</w:t>
            </w:r>
            <w:r>
              <w:rPr>
                <w:rFonts w:hint="default"/>
              </w:rPr>
              <w:t xml:space="preserve">     </w:t>
            </w:r>
            <w:r>
              <w:rPr>
                <w:rFonts w:hint="eastAsia"/>
              </w:rPr>
              <w:t>支出</w:t>
            </w:r>
          </w:p>
        </w:tc>
        <w:tc>
          <w:tcPr>
            <w:tcW w:w="136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992"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w:t>
            </w:r>
            <w:r>
              <w:rPr>
                <w:rFonts w:hint="default"/>
              </w:rPr>
              <w:t xml:space="preserve">    </w:t>
            </w:r>
            <w:r>
              <w:rPr>
                <w:rFonts w:hint="eastAsia"/>
              </w:rPr>
              <w:t>编码</w:t>
            </w:r>
          </w:p>
        </w:tc>
        <w:tc>
          <w:tcPr>
            <w:tcW w:w="45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1361" w:type="dxa"/>
            <w:vMerge w:val="continue"/>
          </w:tcPr>
          <w:p>
            <w:pPr>
              <w:keepNext w:val="0"/>
              <w:keepLines w:val="0"/>
              <w:widowControl/>
              <w:suppressLineNumbers w:val="0"/>
              <w:spacing w:before="0" w:beforeAutospacing="0" w:after="0" w:afterAutospacing="0"/>
              <w:ind w:left="0" w:right="0"/>
              <w:rPr>
                <w:rFonts w:hint="default"/>
              </w:rPr>
            </w:pPr>
          </w:p>
        </w:tc>
        <w:tc>
          <w:tcPr>
            <w:tcW w:w="1361" w:type="dxa"/>
            <w:vMerge w:val="continue"/>
          </w:tcPr>
          <w:p>
            <w:pPr>
              <w:keepNext w:val="0"/>
              <w:keepLines w:val="0"/>
              <w:widowControl/>
              <w:suppressLineNumbers w:val="0"/>
              <w:spacing w:before="0" w:beforeAutospacing="0" w:after="0" w:afterAutospacing="0"/>
              <w:ind w:left="0" w:right="0"/>
              <w:rPr>
                <w:rFonts w:hint="default"/>
              </w:rPr>
            </w:pPr>
          </w:p>
        </w:tc>
        <w:tc>
          <w:tcPr>
            <w:tcW w:w="1361" w:type="dxa"/>
            <w:vMerge w:val="continue"/>
          </w:tcPr>
          <w:p>
            <w:pPr>
              <w:keepNext w:val="0"/>
              <w:keepLines w:val="0"/>
              <w:widowControl/>
              <w:suppressLineNumbers w:val="0"/>
              <w:spacing w:before="0" w:beforeAutospacing="0" w:after="0" w:afterAutospacing="0"/>
              <w:ind w:left="0" w:right="0"/>
              <w:rPr>
                <w:rFonts w:hint="default"/>
              </w:rPr>
            </w:pPr>
          </w:p>
        </w:tc>
        <w:tc>
          <w:tcPr>
            <w:tcW w:w="1361" w:type="dxa"/>
            <w:vMerge w:val="continue"/>
          </w:tcPr>
          <w:p>
            <w:pPr>
              <w:keepNext w:val="0"/>
              <w:keepLines w:val="0"/>
              <w:widowControl/>
              <w:suppressLineNumbers w:val="0"/>
              <w:spacing w:before="0" w:beforeAutospacing="0" w:after="0" w:afterAutospacing="0"/>
              <w:ind w:left="0" w:right="0"/>
              <w:rPr>
                <w:rFonts w:hint="default"/>
              </w:rPr>
            </w:pPr>
          </w:p>
        </w:tc>
        <w:tc>
          <w:tcPr>
            <w:tcW w:w="1361" w:type="dxa"/>
            <w:vMerge w:val="continue"/>
          </w:tcPr>
          <w:p>
            <w:pPr>
              <w:keepNext w:val="0"/>
              <w:keepLines w:val="0"/>
              <w:widowControl/>
              <w:suppressLineNumbers w:val="0"/>
              <w:spacing w:before="0" w:beforeAutospacing="0" w:after="0" w:afterAutospacing="0"/>
              <w:ind w:left="0" w:right="0"/>
              <w:rPr>
                <w:rFonts w:hint="default"/>
              </w:rPr>
            </w:pPr>
          </w:p>
        </w:tc>
        <w:tc>
          <w:tcPr>
            <w:tcW w:w="1361"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992"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w:t>
            </w:r>
          </w:p>
        </w:tc>
        <w:tc>
          <w:tcPr>
            <w:tcW w:w="4535"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2</w:t>
            </w:r>
          </w:p>
        </w:tc>
        <w:tc>
          <w:tcPr>
            <w:tcW w:w="136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3</w:t>
            </w:r>
          </w:p>
        </w:tc>
        <w:tc>
          <w:tcPr>
            <w:tcW w:w="136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4</w:t>
            </w:r>
          </w:p>
        </w:tc>
        <w:tc>
          <w:tcPr>
            <w:tcW w:w="136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5</w:t>
            </w:r>
          </w:p>
        </w:tc>
        <w:tc>
          <w:tcPr>
            <w:tcW w:w="136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6</w:t>
            </w:r>
          </w:p>
        </w:tc>
        <w:tc>
          <w:tcPr>
            <w:tcW w:w="136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7</w:t>
            </w:r>
          </w:p>
        </w:tc>
        <w:tc>
          <w:tcPr>
            <w:tcW w:w="136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w:t>
            </w:r>
          </w:p>
        </w:tc>
        <w:tc>
          <w:tcPr>
            <w:tcW w:w="992" w:type="dxa"/>
            <w:vAlign w:val="center"/>
          </w:tcPr>
          <w:p>
            <w:pPr>
              <w:pStyle w:val="19"/>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1361"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1361"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305.42</w:t>
            </w:r>
          </w:p>
        </w:tc>
        <w:tc>
          <w:tcPr>
            <w:tcW w:w="1361"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20.96</w:t>
            </w:r>
          </w:p>
        </w:tc>
        <w:tc>
          <w:tcPr>
            <w:tcW w:w="1361" w:type="dxa"/>
            <w:vAlign w:val="center"/>
          </w:tcPr>
          <w:p>
            <w:pPr>
              <w:pStyle w:val="18"/>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8"/>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8"/>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社会保障和就业支出</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42.60</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29.64</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20805</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行政事业单位养老支出</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29.64</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29.64</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2080502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事业单位离退休</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7.79</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7.79</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2080505</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机关事业单位基本养老保险缴费支出</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21.85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21.85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6</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20807</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就业补助</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2080705</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公益性岗位补贴</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8</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210</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卫生健康支出</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9</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21011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行政事业单位医疗</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2101102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事业单位医疗</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11</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213</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农林水支出</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21301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农业农村</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13</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2130124</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农村合作经济</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14</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商业服务业等支出</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247.35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5.00</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15</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21602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商业流通事务</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247.35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5.00</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16</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2160217</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市场监测及信息管理</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5.00</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5.00</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17</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2160250</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事业运行</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247.35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247.35</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221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住房保障支出</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19</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22102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住房改革支出</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20</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2210201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住房公积金</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4"/>
              <w:keepNext w:val="0"/>
              <w:keepLines w:val="0"/>
              <w:widowControl/>
              <w:suppressLineNumbers w:val="0"/>
              <w:spacing w:before="0" w:beforeAutospacing="0" w:after="0" w:afterAutospacing="0"/>
              <w:ind w:left="0" w:right="0"/>
              <w:rPr>
                <w:rFonts w:hint="default"/>
              </w:rPr>
            </w:pP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szCs w:val="36"/>
        </w:rPr>
        <w:t>部门预算财政拨款收支总表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default"/>
              </w:rPr>
              <w:t>975</w:t>
            </w:r>
            <w:r>
              <w:rPr>
                <w:rFonts w:hint="eastAsia"/>
              </w:rPr>
              <w:t>隆尧县供销合作社</w:t>
            </w:r>
          </w:p>
        </w:tc>
        <w:tc>
          <w:tcPr>
            <w:tcW w:w="3402" w:type="dxa"/>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896" w:type="dxa"/>
            <w:gridSpan w:val="4"/>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4876" w:type="dxa"/>
            <w:gridSpan w:val="2"/>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收入</w:t>
            </w:r>
          </w:p>
        </w:tc>
        <w:tc>
          <w:tcPr>
            <w:tcW w:w="9298" w:type="dxa"/>
            <w:gridSpan w:val="5"/>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3402"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金额</w:t>
            </w:r>
          </w:p>
        </w:tc>
        <w:tc>
          <w:tcPr>
            <w:tcW w:w="3402"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一般公共预算财政拨款</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政府性基金预算财政</w:t>
            </w:r>
            <w:r>
              <w:rPr>
                <w:rFonts w:hint="default"/>
              </w:rPr>
              <w:t xml:space="preserve">    </w:t>
            </w:r>
            <w:r>
              <w:rPr>
                <w:rFonts w:hint="eastAsia"/>
              </w:rPr>
              <w:t>拨款</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3402"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w:t>
            </w:r>
          </w:p>
        </w:tc>
        <w:tc>
          <w:tcPr>
            <w:tcW w:w="147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2</w:t>
            </w:r>
          </w:p>
        </w:tc>
        <w:tc>
          <w:tcPr>
            <w:tcW w:w="3402"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3</w:t>
            </w:r>
          </w:p>
        </w:tc>
        <w:tc>
          <w:tcPr>
            <w:tcW w:w="147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4</w:t>
            </w:r>
          </w:p>
        </w:tc>
        <w:tc>
          <w:tcPr>
            <w:tcW w:w="147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5</w:t>
            </w:r>
          </w:p>
        </w:tc>
        <w:tc>
          <w:tcPr>
            <w:tcW w:w="147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6</w:t>
            </w:r>
          </w:p>
        </w:tc>
        <w:tc>
          <w:tcPr>
            <w:tcW w:w="1474"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一、一般公共预算拨款</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326.38</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一、一般公共服务支出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二、政府性基金预算拨款</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二、外交支出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三、国有资本经营预算拨款</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三、国防支出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四、公共安全支出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五、教育支出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6</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六、科学技术支出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七、文化旅游体育与传媒支出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8</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八、社会保障和就业支出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42.60</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42.60</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9</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九、社会保险基金支出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十、卫生健康支出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11</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十一、节能环保支出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十二、城乡社区支出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13</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十三、农林水支出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14</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十四、交通运输支出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15</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十五、资源勘探工业信息等支出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16</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十六、商业服务业等支出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17</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十七、金融支出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十八、援助其他地区支出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19</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十九、自然资源海洋气象等支出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20</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二十、住房保障支出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二十一、粮油物资储备支出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22</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二十二、国有资本经营预算支出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23</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二十三、灾害防治及应急管理支出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二十四、预备费</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二十五、其他支出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26</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二十六、年初预留</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27</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二十七、转移性支出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28</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二十八、债务还本支出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二十九、债务付息支出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三十、债务发行费用支出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31</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三十一、抗疫特别国债安排的支出</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32</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本年收入合计</w:t>
            </w:r>
          </w:p>
        </w:tc>
        <w:tc>
          <w:tcPr>
            <w:tcW w:w="1474"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本年支出合计</w:t>
            </w:r>
          </w:p>
        </w:tc>
        <w:tc>
          <w:tcPr>
            <w:tcW w:w="1474"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1474"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1474" w:type="dxa"/>
            <w:vAlign w:val="center"/>
          </w:tcPr>
          <w:p>
            <w:pPr>
              <w:pStyle w:val="18"/>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8"/>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33</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年初财政拨款结转和结余</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年末财政拨款结转和结余</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34</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一、一般公共预算拨款</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35</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二、政府性基金预算拨款</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36</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三、国有资本经营预算拨款</w:t>
            </w: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37</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收入总计</w:t>
            </w:r>
          </w:p>
        </w:tc>
        <w:tc>
          <w:tcPr>
            <w:tcW w:w="1474"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支出总计</w:t>
            </w:r>
          </w:p>
        </w:tc>
        <w:tc>
          <w:tcPr>
            <w:tcW w:w="1474"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1474"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1474" w:type="dxa"/>
            <w:vAlign w:val="center"/>
          </w:tcPr>
          <w:p>
            <w:pPr>
              <w:pStyle w:val="18"/>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8"/>
              <w:keepNext w:val="0"/>
              <w:keepLines w:val="0"/>
              <w:widowControl/>
              <w:suppressLineNumbers w:val="0"/>
              <w:spacing w:before="0" w:beforeAutospacing="0" w:after="0" w:afterAutospacing="0"/>
              <w:ind w:left="0" w:right="0"/>
              <w:rPr>
                <w:rFonts w:hint="default"/>
              </w:rPr>
            </w:pP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szCs w:val="36"/>
        </w:rPr>
        <w:t>部门预算一般公共预算财政拨款支出表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default"/>
              </w:rPr>
              <w:t>975</w:t>
            </w:r>
            <w:r>
              <w:rPr>
                <w:rFonts w:hint="eastAsia"/>
              </w:rPr>
              <w:t>隆尧县供销合作社</w:t>
            </w:r>
          </w:p>
        </w:tc>
        <w:tc>
          <w:tcPr>
            <w:tcW w:w="2551" w:type="dxa"/>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102" w:type="dxa"/>
            <w:gridSpan w:val="2"/>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5726" w:type="dxa"/>
            <w:gridSpan w:val="2"/>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功能分类科目</w:t>
            </w:r>
          </w:p>
        </w:tc>
        <w:tc>
          <w:tcPr>
            <w:tcW w:w="255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基本支出</w:t>
            </w:r>
          </w:p>
        </w:tc>
        <w:tc>
          <w:tcPr>
            <w:tcW w:w="255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119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科目编码</w:t>
            </w:r>
          </w:p>
        </w:tc>
        <w:tc>
          <w:tcPr>
            <w:tcW w:w="45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119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w:t>
            </w:r>
          </w:p>
        </w:tc>
        <w:tc>
          <w:tcPr>
            <w:tcW w:w="4535"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2</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3</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4</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w:t>
            </w:r>
          </w:p>
        </w:tc>
        <w:tc>
          <w:tcPr>
            <w:tcW w:w="1191" w:type="dxa"/>
            <w:vAlign w:val="center"/>
          </w:tcPr>
          <w:p>
            <w:pPr>
              <w:pStyle w:val="19"/>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326.38</w:t>
            </w:r>
          </w:p>
        </w:tc>
        <w:tc>
          <w:tcPr>
            <w:tcW w:w="2551"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305.42</w:t>
            </w:r>
          </w:p>
        </w:tc>
        <w:tc>
          <w:tcPr>
            <w:tcW w:w="2551"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社会保障和就业支出</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42.60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29.64</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20805</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行政事业单位养老支出</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29.64</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29.64</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2080502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事业单位离退休</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7.79</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7.79</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2080505</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机关事业单位基本养老保险缴费支出</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21.85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21.85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6</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20807</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就业补助</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2080705</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公益性岗位补贴</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8</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210</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卫生健康支出</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9</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21011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行政事业单位医疗</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2101102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事业单位医疗</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11</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213</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农林水支出</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21301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农业农村</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13</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2130124</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农村合作经济</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14</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商业服务业等支出</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247.35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15</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21602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商业流通事务</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252.35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247.35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16</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2160217</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市场监测及信息管理</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5.00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17</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2160250</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事业运行</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247.35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247.35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221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住房保障支出</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19</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22102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住房改革支出</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20</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2210201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住房公积金</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szCs w:val="36"/>
        </w:rPr>
        <w:t>部门预算一般公共预算财政拨款基本支出表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default"/>
              </w:rPr>
              <w:t>975</w:t>
            </w:r>
            <w:r>
              <w:rPr>
                <w:rFonts w:hint="eastAsia"/>
              </w:rPr>
              <w:t>隆尧县供销合作社</w:t>
            </w:r>
          </w:p>
        </w:tc>
        <w:tc>
          <w:tcPr>
            <w:tcW w:w="2551" w:type="dxa"/>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102" w:type="dxa"/>
            <w:gridSpan w:val="2"/>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5726" w:type="dxa"/>
            <w:gridSpan w:val="2"/>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支出部门经济分类科目</w:t>
            </w:r>
          </w:p>
        </w:tc>
        <w:tc>
          <w:tcPr>
            <w:tcW w:w="7654" w:type="dxa"/>
            <w:gridSpan w:val="3"/>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119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科目编码</w:t>
            </w:r>
          </w:p>
        </w:tc>
        <w:tc>
          <w:tcPr>
            <w:tcW w:w="45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255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人员经费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119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w:t>
            </w:r>
          </w:p>
        </w:tc>
        <w:tc>
          <w:tcPr>
            <w:tcW w:w="4535"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2</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3</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4</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w:t>
            </w:r>
          </w:p>
        </w:tc>
        <w:tc>
          <w:tcPr>
            <w:tcW w:w="1191" w:type="dxa"/>
            <w:vAlign w:val="center"/>
          </w:tcPr>
          <w:p>
            <w:pPr>
              <w:pStyle w:val="19"/>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305.42</w:t>
            </w:r>
          </w:p>
        </w:tc>
        <w:tc>
          <w:tcPr>
            <w:tcW w:w="2551"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283.29</w:t>
            </w:r>
          </w:p>
        </w:tc>
        <w:tc>
          <w:tcPr>
            <w:tcW w:w="2551"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工资福利支出</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263.52</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263.52</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30101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基本工资</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98.98</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98.98</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30102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津贴补贴</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73.11</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73.11</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30103</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奖金</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8.25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8.25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6</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30107</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绩效工资</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32.03</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32.03</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30108</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机关事业单位基本养老保险缴费</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21.85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21.85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8</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30110</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职工基本医疗保险缴费</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9</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30112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其他社会保障缴费</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0.85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0.85</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30113</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住房公积金</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11</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商品和服务支出</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22.13</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30201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办公费</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3.66</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13</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30205</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水费</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0.60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14</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30206</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电费</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2.70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15</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30207</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邮电费</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1.60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16</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30208</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取暖费</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2.00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17</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30239</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其他交通费用</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11.10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30299</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其他商品和服务支出</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0.47</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19</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303</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对个人和家庭的补助</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19.77</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19.77</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20</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30301</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离休费</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7.76</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7.76</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30302</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退休费</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9.71</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9.71</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22</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30305</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生活补助</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2.30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2.30</w:t>
            </w:r>
          </w:p>
        </w:tc>
        <w:tc>
          <w:tcPr>
            <w:tcW w:w="2551" w:type="dxa"/>
            <w:vAlign w:val="center"/>
          </w:tcPr>
          <w:p>
            <w:pPr>
              <w:pStyle w:val="14"/>
              <w:keepNext w:val="0"/>
              <w:keepLines w:val="0"/>
              <w:widowControl/>
              <w:suppressLineNumbers w:val="0"/>
              <w:spacing w:before="0" w:beforeAutospacing="0" w:after="0" w:afterAutospacing="0"/>
              <w:ind w:left="0" w:right="0"/>
              <w:rPr>
                <w:rFonts w:hint="default"/>
              </w:rPr>
            </w:pP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szCs w:val="36"/>
        </w:rPr>
        <w:t>部门预算政府基金预算财政拨款支出表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default"/>
              </w:rPr>
              <w:t>975</w:t>
            </w:r>
            <w:r>
              <w:rPr>
                <w:rFonts w:hint="eastAsia"/>
              </w:rPr>
              <w:t>隆尧县供销合作社</w:t>
            </w:r>
          </w:p>
        </w:tc>
        <w:tc>
          <w:tcPr>
            <w:tcW w:w="2551" w:type="dxa"/>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102" w:type="dxa"/>
            <w:gridSpan w:val="2"/>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5726" w:type="dxa"/>
            <w:gridSpan w:val="2"/>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功能分类科目</w:t>
            </w:r>
          </w:p>
        </w:tc>
        <w:tc>
          <w:tcPr>
            <w:tcW w:w="255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基本支出</w:t>
            </w:r>
          </w:p>
        </w:tc>
        <w:tc>
          <w:tcPr>
            <w:tcW w:w="255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119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科目编码</w:t>
            </w:r>
          </w:p>
        </w:tc>
        <w:tc>
          <w:tcPr>
            <w:tcW w:w="45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119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w:t>
            </w:r>
          </w:p>
        </w:tc>
        <w:tc>
          <w:tcPr>
            <w:tcW w:w="4535"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2</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3</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4</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191"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szCs w:val="21"/>
        </w:rPr>
        <w:t>注：无政府基金预算财政拨款预算，空表列示。</w:t>
      </w:r>
    </w:p>
    <w:p>
      <w:pPr>
        <w:jc w:val="center"/>
        <w:outlineLvl w:val="1"/>
      </w:pPr>
      <w:r>
        <w:rPr>
          <w:rFonts w:hint="eastAsia" w:ascii="方正小标宋_GBK" w:hAnsi="方正小标宋_GBK" w:eastAsia="方正小标宋_GBK" w:cs="方正小标宋_GBK"/>
          <w:color w:val="000000"/>
          <w:sz w:val="36"/>
          <w:szCs w:val="36"/>
        </w:rPr>
        <w:t>部门预算国有资本经营预算财政拨款支出表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default"/>
              </w:rPr>
              <w:t>975</w:t>
            </w:r>
            <w:r>
              <w:rPr>
                <w:rFonts w:hint="eastAsia"/>
              </w:rPr>
              <w:t>隆尧县供销合作社</w:t>
            </w:r>
          </w:p>
        </w:tc>
        <w:tc>
          <w:tcPr>
            <w:tcW w:w="2551" w:type="dxa"/>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102" w:type="dxa"/>
            <w:gridSpan w:val="2"/>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5726" w:type="dxa"/>
            <w:gridSpan w:val="2"/>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功能分类科目</w:t>
            </w:r>
          </w:p>
        </w:tc>
        <w:tc>
          <w:tcPr>
            <w:tcW w:w="255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基本支出</w:t>
            </w:r>
          </w:p>
        </w:tc>
        <w:tc>
          <w:tcPr>
            <w:tcW w:w="2551"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119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科目编码</w:t>
            </w:r>
          </w:p>
        </w:tc>
        <w:tc>
          <w:tcPr>
            <w:tcW w:w="45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119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w:t>
            </w:r>
          </w:p>
        </w:tc>
        <w:tc>
          <w:tcPr>
            <w:tcW w:w="4535"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2</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3</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4</w:t>
            </w:r>
          </w:p>
        </w:tc>
        <w:tc>
          <w:tcPr>
            <w:tcW w:w="255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191"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szCs w:val="21"/>
        </w:rPr>
        <w:t>注：无国有资本经营预算财政拨款预算，空表列示。</w:t>
      </w:r>
    </w:p>
    <w:p>
      <w:pPr>
        <w:jc w:val="center"/>
        <w:outlineLvl w:val="1"/>
      </w:pPr>
      <w:r>
        <w:rPr>
          <w:rFonts w:hint="eastAsia" w:ascii="方正小标宋_GBK" w:hAnsi="方正小标宋_GBK" w:eastAsia="方正小标宋_GBK" w:cs="方正小标宋_GBK"/>
          <w:color w:val="000000"/>
          <w:sz w:val="36"/>
          <w:szCs w:val="36"/>
        </w:rPr>
        <w:t>部门预算财政拨款“三公”经费支出表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default"/>
              </w:rPr>
              <w:t>975</w:t>
            </w:r>
            <w:r>
              <w:rPr>
                <w:rFonts w:hint="eastAsia"/>
              </w:rPr>
              <w:t>隆尧县供销合作社</w:t>
            </w:r>
          </w:p>
        </w:tc>
        <w:tc>
          <w:tcPr>
            <w:tcW w:w="2381" w:type="dxa"/>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4762" w:type="dxa"/>
            <w:gridSpan w:val="2"/>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3798"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9524" w:type="dxa"/>
            <w:gridSpan w:val="4"/>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资</w:t>
            </w:r>
            <w:r>
              <w:rPr>
                <w:rFonts w:hint="default"/>
              </w:rPr>
              <w:t xml:space="preserve"> </w:t>
            </w:r>
            <w:r>
              <w:rPr>
                <w:rFonts w:hint="eastAsia"/>
              </w:rPr>
              <w:t>金</w:t>
            </w:r>
            <w:r>
              <w:rPr>
                <w:rFonts w:hint="default"/>
              </w:rPr>
              <w:t xml:space="preserve"> </w:t>
            </w:r>
            <w:r>
              <w:rPr>
                <w:rFonts w:hint="eastAsia"/>
              </w:rPr>
              <w:t>性</w:t>
            </w:r>
            <w:r>
              <w:rPr>
                <w:rFonts w:hint="default"/>
              </w:rP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3798" w:type="dxa"/>
            <w:vMerge w:val="continue"/>
          </w:tcPr>
          <w:p>
            <w:pPr>
              <w:keepNext w:val="0"/>
              <w:keepLines w:val="0"/>
              <w:widowControl/>
              <w:suppressLineNumbers w:val="0"/>
              <w:spacing w:before="0" w:beforeAutospacing="0" w:after="0" w:afterAutospacing="0"/>
              <w:ind w:left="0" w:right="0"/>
              <w:rPr>
                <w:rFonts w:hint="default"/>
              </w:rPr>
            </w:pPr>
          </w:p>
        </w:tc>
        <w:tc>
          <w:tcPr>
            <w:tcW w:w="238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38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一般公共预算</w:t>
            </w:r>
            <w:r>
              <w:rPr>
                <w:rFonts w:hint="default"/>
              </w:rPr>
              <w:t xml:space="preserve">              </w:t>
            </w:r>
            <w:r>
              <w:rPr>
                <w:rFonts w:hint="eastAsia"/>
              </w:rPr>
              <w:t>财政拨款</w:t>
            </w:r>
          </w:p>
        </w:tc>
        <w:tc>
          <w:tcPr>
            <w:tcW w:w="238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政府性基金</w:t>
            </w:r>
            <w:r>
              <w:rPr>
                <w:rFonts w:hint="default"/>
              </w:rPr>
              <w:t xml:space="preserve">                  </w:t>
            </w:r>
            <w:r>
              <w:rPr>
                <w:rFonts w:hint="eastAsia"/>
              </w:rPr>
              <w:t>预算拨款</w:t>
            </w:r>
          </w:p>
        </w:tc>
        <w:tc>
          <w:tcPr>
            <w:tcW w:w="238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国有资本经营</w:t>
            </w:r>
            <w:r>
              <w:rPr>
                <w:rFonts w:hint="default"/>
              </w:rP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3798"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1</w:t>
            </w:r>
          </w:p>
        </w:tc>
        <w:tc>
          <w:tcPr>
            <w:tcW w:w="238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2</w:t>
            </w:r>
          </w:p>
        </w:tc>
        <w:tc>
          <w:tcPr>
            <w:tcW w:w="238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3</w:t>
            </w:r>
          </w:p>
        </w:tc>
        <w:tc>
          <w:tcPr>
            <w:tcW w:w="238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4</w:t>
            </w:r>
          </w:p>
        </w:tc>
        <w:tc>
          <w:tcPr>
            <w:tcW w:w="2381" w:type="dxa"/>
            <w:vAlign w:val="center"/>
          </w:tcPr>
          <w:p>
            <w:pPr>
              <w:pStyle w:val="13"/>
              <w:keepNext w:val="0"/>
              <w:keepLines w:val="0"/>
              <w:widowControl/>
              <w:suppressLineNumbers w:val="0"/>
              <w:spacing w:before="0" w:beforeAutospacing="0" w:after="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w:t>
            </w:r>
          </w:p>
        </w:tc>
        <w:tc>
          <w:tcPr>
            <w:tcW w:w="379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381" w:type="dxa"/>
            <w:vAlign w:val="center"/>
          </w:tcPr>
          <w:p>
            <w:pPr>
              <w:pStyle w:val="18"/>
              <w:keepNext w:val="0"/>
              <w:keepLines w:val="0"/>
              <w:widowControl/>
              <w:suppressLineNumbers w:val="0"/>
              <w:spacing w:before="0" w:beforeAutospacing="0" w:after="0" w:afterAutospacing="0"/>
              <w:ind w:left="0" w:right="0"/>
              <w:rPr>
                <w:rFonts w:hint="default" w:eastAsia="方正书宋_GBK" w:cs="Times New Roman"/>
                <w:lang w:val="en-US" w:eastAsia="zh-CN"/>
              </w:rPr>
            </w:pPr>
            <w:r>
              <w:rPr>
                <w:rFonts w:hint="eastAsia" w:cs="Times New Roman"/>
                <w:lang w:val="en-US" w:eastAsia="zh-CN"/>
              </w:rPr>
              <w:t>2.1</w:t>
            </w:r>
          </w:p>
        </w:tc>
        <w:tc>
          <w:tcPr>
            <w:tcW w:w="2381" w:type="dxa"/>
            <w:vAlign w:val="center"/>
          </w:tcPr>
          <w:p>
            <w:pPr>
              <w:pStyle w:val="18"/>
              <w:keepNext w:val="0"/>
              <w:keepLines w:val="0"/>
              <w:widowControl/>
              <w:suppressLineNumbers w:val="0"/>
              <w:spacing w:before="0" w:beforeAutospacing="0" w:after="0" w:afterAutospacing="0"/>
              <w:ind w:left="0" w:right="0"/>
              <w:rPr>
                <w:rFonts w:hint="default" w:eastAsia="方正书宋_GBK" w:cs="Times New Roman"/>
                <w:lang w:val="en-US" w:eastAsia="zh-CN"/>
              </w:rPr>
            </w:pPr>
            <w:r>
              <w:rPr>
                <w:rFonts w:hint="eastAsia" w:cs="Times New Roman"/>
                <w:lang w:val="en-US" w:eastAsia="zh-CN"/>
              </w:rPr>
              <w:t>2.1</w:t>
            </w:r>
          </w:p>
        </w:tc>
        <w:tc>
          <w:tcPr>
            <w:tcW w:w="2381" w:type="dxa"/>
            <w:vAlign w:val="center"/>
          </w:tcPr>
          <w:p>
            <w:pPr>
              <w:pStyle w:val="18"/>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8"/>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w:t>
            </w:r>
          </w:p>
        </w:tc>
        <w:tc>
          <w:tcPr>
            <w:tcW w:w="379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“三公”经费小计</w:t>
            </w: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w:t>
            </w:r>
          </w:p>
        </w:tc>
        <w:tc>
          <w:tcPr>
            <w:tcW w:w="379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一、因公出国（境）费</w:t>
            </w: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w:t>
            </w:r>
          </w:p>
        </w:tc>
        <w:tc>
          <w:tcPr>
            <w:tcW w:w="379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 xml:space="preserve">    </w:t>
            </w:r>
            <w:r>
              <w:rPr>
                <w:rFonts w:hint="eastAsia"/>
              </w:rPr>
              <w:t>其中：教学科研人员因公出国（境）费</w:t>
            </w: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w:t>
            </w:r>
          </w:p>
        </w:tc>
        <w:tc>
          <w:tcPr>
            <w:tcW w:w="379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 xml:space="preserve">          </w:t>
            </w:r>
            <w:r>
              <w:rPr>
                <w:rFonts w:hint="eastAsia"/>
              </w:rPr>
              <w:t>其他因公出国（境）费</w:t>
            </w: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6</w:t>
            </w:r>
          </w:p>
        </w:tc>
        <w:tc>
          <w:tcPr>
            <w:tcW w:w="379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二、公务用车购置及运维费</w:t>
            </w: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w:t>
            </w:r>
          </w:p>
        </w:tc>
        <w:tc>
          <w:tcPr>
            <w:tcW w:w="379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 xml:space="preserve">    </w:t>
            </w:r>
            <w:r>
              <w:rPr>
                <w:rFonts w:hint="eastAsia"/>
              </w:rPr>
              <w:t>其中：公务用车购置费</w:t>
            </w: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8</w:t>
            </w:r>
          </w:p>
        </w:tc>
        <w:tc>
          <w:tcPr>
            <w:tcW w:w="379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 xml:space="preserve">          </w:t>
            </w:r>
            <w:r>
              <w:rPr>
                <w:rFonts w:hint="eastAsia"/>
              </w:rPr>
              <w:t>公务用车运行维护费</w:t>
            </w: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9</w:t>
            </w:r>
          </w:p>
        </w:tc>
        <w:tc>
          <w:tcPr>
            <w:tcW w:w="379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三、公务接待费</w:t>
            </w: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w:t>
            </w:r>
          </w:p>
        </w:tc>
        <w:tc>
          <w:tcPr>
            <w:tcW w:w="379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四、会议费</w:t>
            </w:r>
          </w:p>
        </w:tc>
        <w:tc>
          <w:tcPr>
            <w:tcW w:w="238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0.80</w:t>
            </w:r>
          </w:p>
        </w:tc>
        <w:tc>
          <w:tcPr>
            <w:tcW w:w="238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0.80</w:t>
            </w:r>
          </w:p>
        </w:tc>
        <w:tc>
          <w:tcPr>
            <w:tcW w:w="2381" w:type="dxa"/>
            <w:vAlign w:val="center"/>
          </w:tcPr>
          <w:p>
            <w:pPr>
              <w:pStyle w:val="14"/>
              <w:keepNext w:val="0"/>
              <w:keepLines w:val="0"/>
              <w:widowControl/>
              <w:suppressLineNumbers w:val="0"/>
              <w:spacing w:before="0" w:beforeAutospacing="0" w:after="0" w:afterAutospacing="0"/>
              <w:ind w:left="0" w:right="0"/>
              <w:rPr>
                <w:rFonts w:hint="default"/>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11</w:t>
            </w:r>
          </w:p>
        </w:tc>
        <w:tc>
          <w:tcPr>
            <w:tcW w:w="379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五、培训费</w:t>
            </w:r>
          </w:p>
        </w:tc>
        <w:tc>
          <w:tcPr>
            <w:tcW w:w="238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1.30</w:t>
            </w:r>
          </w:p>
        </w:tc>
        <w:tc>
          <w:tcPr>
            <w:tcW w:w="2381"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1.30</w:t>
            </w:r>
          </w:p>
        </w:tc>
        <w:tc>
          <w:tcPr>
            <w:tcW w:w="2381" w:type="dxa"/>
            <w:vAlign w:val="center"/>
          </w:tcPr>
          <w:p>
            <w:pPr>
              <w:pStyle w:val="14"/>
              <w:keepNext w:val="0"/>
              <w:keepLines w:val="0"/>
              <w:widowControl/>
              <w:suppressLineNumbers w:val="0"/>
              <w:spacing w:before="0" w:beforeAutospacing="0" w:after="0" w:afterAutospacing="0"/>
              <w:ind w:left="0" w:right="0"/>
              <w:rPr>
                <w:rFonts w:hint="default"/>
              </w:rPr>
            </w:pPr>
          </w:p>
        </w:tc>
        <w:tc>
          <w:tcPr>
            <w:tcW w:w="2381" w:type="dxa"/>
            <w:vAlign w:val="center"/>
          </w:tcPr>
          <w:p>
            <w:pPr>
              <w:pStyle w:val="14"/>
              <w:keepNext w:val="0"/>
              <w:keepLines w:val="0"/>
              <w:widowControl/>
              <w:suppressLineNumbers w:val="0"/>
              <w:spacing w:before="0" w:beforeAutospacing="0" w:after="0" w:afterAutospacing="0"/>
              <w:ind w:left="0" w:right="0"/>
              <w:rPr>
                <w:rFonts w:hint="default"/>
              </w:rPr>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szCs w:val="21"/>
        </w:rPr>
        <w:t>第一部分</w:t>
      </w:r>
      <w:r>
        <w:rPr>
          <w:rFonts w:ascii="方正书宋_GBK" w:hAnsi="方正书宋_GBK" w:eastAsia="方正书宋_GBK" w:cs="方正书宋_GBK"/>
          <w:color w:val="FFFFFF"/>
          <w:sz w:val="21"/>
          <w:szCs w:val="21"/>
        </w:rPr>
        <w:t xml:space="preserve">  </w:t>
      </w:r>
      <w:r>
        <w:rPr>
          <w:rFonts w:hint="eastAsia" w:ascii="方正书宋_GBK" w:hAnsi="方正书宋_GBK" w:eastAsia="方正书宋_GBK" w:cs="方正书宋_GBK"/>
          <w:color w:val="FFFFFF"/>
          <w:sz w:val="21"/>
          <w:szCs w:val="21"/>
        </w:rPr>
        <w:t>隆尧县供销合作社</w:t>
      </w:r>
      <w:r>
        <w:rPr>
          <w:rFonts w:ascii="方正书宋_GBK" w:hAnsi="方正书宋_GBK" w:eastAsia="方正书宋_GBK" w:cs="方正书宋_GBK"/>
          <w:color w:val="FFFFFF"/>
          <w:sz w:val="21"/>
          <w:szCs w:val="21"/>
        </w:rPr>
        <w:t>2022</w:t>
      </w:r>
      <w:r>
        <w:rPr>
          <w:rFonts w:hint="eastAsia" w:ascii="方正书宋_GBK" w:hAnsi="方正书宋_GBK" w:eastAsia="方正书宋_GBK" w:cs="方正书宋_GBK"/>
          <w:color w:val="FFFFFF"/>
          <w:sz w:val="21"/>
          <w:szCs w:val="21"/>
        </w:rPr>
        <w:t>年部门预算信息公开情况说明</w:t>
      </w:r>
    </w:p>
    <w:p>
      <w:pPr>
        <w:jc w:val="center"/>
      </w:pPr>
      <w:r>
        <w:rPr>
          <w:rFonts w:hint="eastAsia" w:ascii="方正小标宋_GBK" w:hAnsi="方正小标宋_GBK" w:eastAsia="方正小标宋_GBK" w:cs="方正小标宋_GBK"/>
          <w:color w:val="000000"/>
          <w:sz w:val="44"/>
          <w:szCs w:val="44"/>
        </w:rPr>
        <w:t>隆尧县供销合作社</w:t>
      </w:r>
      <w:r>
        <w:rPr>
          <w:rFonts w:ascii="方正小标宋_GBK" w:hAnsi="方正小标宋_GBK" w:eastAsia="方正小标宋_GBK" w:cs="方正小标宋_GBK"/>
          <w:color w:val="000000"/>
          <w:sz w:val="44"/>
          <w:szCs w:val="44"/>
        </w:rPr>
        <w:t>2022</w:t>
      </w:r>
      <w:r>
        <w:rPr>
          <w:rFonts w:hint="eastAsia" w:ascii="方正小标宋_GBK" w:hAnsi="方正小标宋_GBK" w:eastAsia="方正小标宋_GBK" w:cs="方正小标宋_GBK"/>
          <w:color w:val="000000"/>
          <w:sz w:val="44"/>
          <w:szCs w:val="44"/>
        </w:rPr>
        <w:t>年部门预算信息公开情况说明</w:t>
      </w:r>
    </w:p>
    <w:p>
      <w:pPr>
        <w:spacing w:line="500" w:lineRule="exact"/>
        <w:ind w:firstLine="560"/>
      </w:pPr>
      <w:r>
        <w:rPr>
          <w:rFonts w:hint="eastAsia" w:eastAsia="方正仿宋_GBK" w:cs="方正仿宋_GBK"/>
          <w:color w:val="000000"/>
          <w:sz w:val="28"/>
          <w:szCs w:val="28"/>
        </w:rPr>
        <w:t>按照《预算法》、《地方预决算公开操作规程》和《关于进一步推进预算公开工作的实施意见》规定，现将隆尧县供销合作社</w:t>
      </w:r>
      <w:r>
        <w:rPr>
          <w:rFonts w:eastAsia="方正仿宋_GBK"/>
          <w:color w:val="000000"/>
          <w:sz w:val="28"/>
          <w:szCs w:val="28"/>
        </w:rPr>
        <w:t>2022</w:t>
      </w:r>
      <w:r>
        <w:rPr>
          <w:rFonts w:hint="eastAsia" w:eastAsia="方正仿宋_GBK" w:cs="方正仿宋_GBK"/>
          <w:color w:val="000000"/>
          <w:sz w:val="28"/>
          <w:szCs w:val="28"/>
        </w:rPr>
        <w:t>年部门预算公开如下：</w:t>
      </w:r>
    </w:p>
    <w:p>
      <w:pPr>
        <w:spacing w:before="10" w:after="10" w:line="360" w:lineRule="auto"/>
        <w:ind w:firstLine="640"/>
        <w:outlineLvl w:val="2"/>
      </w:pPr>
      <w:r>
        <w:rPr>
          <w:rFonts w:hint="eastAsia" w:ascii="黑体" w:hAnsi="黑体" w:eastAsia="黑体" w:cs="黑体"/>
          <w:color w:val="000000"/>
          <w:sz w:val="32"/>
          <w:szCs w:val="32"/>
        </w:rPr>
        <w:t>一、部门职责及机构设置情况</w:t>
      </w:r>
    </w:p>
    <w:p>
      <w:pPr>
        <w:ind w:firstLine="640"/>
      </w:pPr>
      <w:r>
        <w:rPr>
          <w:rFonts w:hint="eastAsia" w:ascii="方正楷体_GBK" w:hAnsi="方正楷体_GBK" w:eastAsia="方正楷体_GBK" w:cs="方正楷体_GBK"/>
          <w:b/>
          <w:bCs/>
          <w:color w:val="000000"/>
          <w:sz w:val="32"/>
          <w:szCs w:val="32"/>
        </w:rPr>
        <w:t>部门职责：</w:t>
      </w:r>
    </w:p>
    <w:p>
      <w:pPr>
        <w:pStyle w:val="20"/>
        <w:ind w:firstLine="700" w:firstLineChars="250"/>
      </w:pPr>
      <w:r>
        <w:rPr>
          <w:rFonts w:hint="eastAsia" w:cs="方正仿宋_GBK"/>
        </w:rPr>
        <w:t>（一）负责下属企业工作，对下属企业实行管理和指导，规范企业行为，负责下属企业的改制，维护国有资产的保值增值，推进建立现代化企业制度，指导企业管理人员的培训。</w:t>
      </w:r>
    </w:p>
    <w:p>
      <w:pPr>
        <w:pStyle w:val="20"/>
        <w:ind w:firstLine="700" w:firstLineChars="250"/>
      </w:pPr>
      <w:r>
        <w:rPr>
          <w:rFonts w:hint="eastAsia" w:cs="方正仿宋_GBK"/>
        </w:rPr>
        <w:t>（二）负责全县食用碘盐的管理，无碘盐，私盐稽查，规范使用碘盐市场建设。</w:t>
      </w:r>
    </w:p>
    <w:p>
      <w:pPr>
        <w:pStyle w:val="20"/>
        <w:ind w:firstLine="700" w:firstLineChars="250"/>
      </w:pPr>
      <w:r>
        <w:rPr>
          <w:rFonts w:hint="eastAsia" w:cs="方正仿宋_GBK"/>
        </w:rPr>
        <w:t>（三）负责全县烟花爆竹市场管理，会同公安、工商等部门查处非法烟花爆竹等不法行为。</w:t>
      </w:r>
    </w:p>
    <w:p>
      <w:pPr>
        <w:pStyle w:val="20"/>
        <w:ind w:firstLine="700" w:firstLineChars="250"/>
      </w:pPr>
      <w:r>
        <w:rPr>
          <w:rFonts w:hint="eastAsia" w:cs="方正仿宋_GBK"/>
        </w:rPr>
        <w:t>（四）负责全县废旧物资回收管理工作。</w:t>
      </w:r>
    </w:p>
    <w:p>
      <w:pPr>
        <w:pStyle w:val="20"/>
        <w:ind w:firstLine="840" w:firstLineChars="300"/>
      </w:pPr>
      <w:r>
        <w:t>(</w:t>
      </w:r>
      <w:r>
        <w:rPr>
          <w:rFonts w:hint="eastAsia" w:cs="方正仿宋_GBK"/>
        </w:rPr>
        <w:t>五）承办县政府交办的其他事项。</w:t>
      </w:r>
    </w:p>
    <w:p>
      <w:pPr>
        <w:ind w:firstLine="643" w:firstLineChars="200"/>
      </w:pPr>
      <w:r>
        <w:rPr>
          <w:rFonts w:hint="eastAsia" w:ascii="方正楷体_GBK" w:hAnsi="方正楷体_GBK" w:eastAsia="方正楷体_GBK" w:cs="方正楷体_GBK"/>
          <w:b/>
          <w:bCs/>
          <w:color w:val="000000"/>
          <w:sz w:val="32"/>
          <w:szCs w:val="32"/>
        </w:rPr>
        <w:t>机构设置：</w:t>
      </w:r>
    </w:p>
    <w:p>
      <w:pPr>
        <w:ind w:firstLine="5760" w:firstLineChars="1800"/>
        <w:jc w:val="both"/>
      </w:pPr>
      <w:r>
        <w:rPr>
          <w:rFonts w:hint="eastAsia" w:ascii="方正小标宋_GBK" w:hAnsi="方正小标宋_GBK" w:eastAsia="方正小标宋_GBK" w:cs="方正小标宋_GBK"/>
          <w:color w:val="000000"/>
          <w:sz w:val="32"/>
          <w:szCs w:val="32"/>
        </w:rPr>
        <w:t>部门机构设置情况</w:t>
      </w:r>
    </w:p>
    <w:tbl>
      <w:tblPr>
        <w:tblStyle w:val="7"/>
        <w:tblpPr w:leftFromText="180" w:rightFromText="180" w:vertAnchor="text" w:horzAnchor="page" w:tblpX="1824" w:tblpY="625"/>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0" w:hRule="atLeast"/>
          <w:tblHeader/>
        </w:trPr>
        <w:tc>
          <w:tcPr>
            <w:tcW w:w="5669"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单位名称</w:t>
            </w:r>
          </w:p>
        </w:tc>
        <w:tc>
          <w:tcPr>
            <w:tcW w:w="1843"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单位性质</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单位规格</w:t>
            </w:r>
          </w:p>
        </w:tc>
        <w:tc>
          <w:tcPr>
            <w:tcW w:w="3827"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0" w:hRule="atLeast"/>
        </w:trPr>
        <w:tc>
          <w:tcPr>
            <w:tcW w:w="566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隆尧县供销合作社本级</w:t>
            </w:r>
          </w:p>
        </w:tc>
        <w:tc>
          <w:tcPr>
            <w:tcW w:w="1843" w:type="dxa"/>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事业</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正科级</w:t>
            </w:r>
          </w:p>
        </w:tc>
        <w:tc>
          <w:tcPr>
            <w:tcW w:w="3827" w:type="dxa"/>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财政性资金基本保证</w:t>
            </w:r>
          </w:p>
        </w:tc>
      </w:tr>
    </w:tbl>
    <w:p>
      <w:pPr>
        <w:spacing w:before="10" w:after="10" w:line="360" w:lineRule="auto"/>
        <w:ind w:firstLine="640"/>
        <w:outlineLvl w:val="2"/>
        <w:rPr>
          <w:rFonts w:ascii="黑体" w:hAnsi="黑体" w:eastAsia="黑体"/>
          <w:color w:val="000000"/>
          <w:sz w:val="32"/>
          <w:szCs w:val="32"/>
          <w:lang w:eastAsia="zh-CN"/>
        </w:rPr>
      </w:pPr>
      <w:r>
        <w:rPr>
          <w:rFonts w:hint="eastAsia" w:ascii="黑体" w:hAnsi="黑体" w:eastAsia="黑体" w:cs="黑体"/>
          <w:color w:val="000000"/>
          <w:sz w:val="32"/>
          <w:szCs w:val="32"/>
        </w:rPr>
        <w:t>二、部门预算安排的总体情况</w:t>
      </w:r>
    </w:p>
    <w:p>
      <w:pPr>
        <w:spacing w:before="10" w:after="10" w:line="360" w:lineRule="auto"/>
        <w:ind w:firstLine="640"/>
        <w:outlineLvl w:val="2"/>
        <w:rPr>
          <w:rFonts w:hint="eastAsia" w:ascii="Times New Roman" w:hAnsi="Times New Roman" w:eastAsia="方正仿宋_GBK" w:cs="方正仿宋_GBK"/>
          <w:kern w:val="0"/>
          <w:sz w:val="28"/>
          <w:szCs w:val="28"/>
          <w:lang w:val="en-US" w:eastAsia="uk-UA" w:bidi="ar-SA"/>
        </w:rPr>
      </w:pPr>
      <w:r>
        <w:rPr>
          <w:rFonts w:hint="eastAsia" w:ascii="Times New Roman" w:hAnsi="Times New Roman" w:eastAsia="方正仿宋_GBK" w:cs="方正仿宋_GBK"/>
          <w:kern w:val="0"/>
          <w:sz w:val="28"/>
          <w:szCs w:val="28"/>
          <w:lang w:val="en-US" w:eastAsia="uk-UA" w:bidi="ar-SA"/>
        </w:rPr>
        <w:t>按照预算管理有关规定，目前我省部门预算的编制实行综合预算管理，即全部收入和支出都反映的预算中。隆尧县供销合作社的所有收支在部门预算中。</w:t>
      </w:r>
    </w:p>
    <w:p>
      <w:pPr>
        <w:pStyle w:val="21"/>
      </w:pPr>
      <w:r>
        <w:t>1</w:t>
      </w:r>
      <w:r>
        <w:rPr>
          <w:rFonts w:hint="eastAsia" w:cs="方正仿宋_GBK"/>
        </w:rPr>
        <w:t>、收入说明</w:t>
      </w:r>
    </w:p>
    <w:p>
      <w:pPr>
        <w:pStyle w:val="21"/>
      </w:pPr>
      <w:r>
        <w:rPr>
          <w:rFonts w:hint="eastAsia" w:cs="方正仿宋_GBK"/>
        </w:rPr>
        <w:t>反映本部门当年全部收入。</w:t>
      </w:r>
      <w:r>
        <w:t>2022</w:t>
      </w:r>
      <w:r>
        <w:rPr>
          <w:rFonts w:hint="eastAsia" w:cs="方正仿宋_GBK"/>
        </w:rPr>
        <w:t>年预算收入</w:t>
      </w:r>
      <w:r>
        <w:t>326.38</w:t>
      </w:r>
      <w:r>
        <w:rPr>
          <w:rFonts w:hint="eastAsia" w:cs="方正仿宋_GBK"/>
        </w:rPr>
        <w:t>万元，其中：一般公共预算收入</w:t>
      </w:r>
      <w:r>
        <w:t>326.38</w:t>
      </w:r>
      <w:r>
        <w:rPr>
          <w:rFonts w:hint="eastAsia" w:cs="方正仿宋_GBK"/>
        </w:rPr>
        <w:t>万元，基金预算收入</w:t>
      </w:r>
      <w:r>
        <w:t>0</w:t>
      </w:r>
      <w:r>
        <w:rPr>
          <w:rFonts w:hint="eastAsia" w:cs="方正仿宋_GBK"/>
        </w:rPr>
        <w:t>万元，财政专户核拨收入</w:t>
      </w:r>
      <w:r>
        <w:t>0</w:t>
      </w:r>
      <w:r>
        <w:rPr>
          <w:rFonts w:hint="eastAsia" w:cs="方正仿宋_GBK"/>
        </w:rPr>
        <w:t>万元，其他来源收入</w:t>
      </w:r>
      <w:r>
        <w:t>0</w:t>
      </w:r>
      <w:r>
        <w:rPr>
          <w:rFonts w:hint="eastAsia" w:cs="方正仿宋_GBK"/>
        </w:rPr>
        <w:t>万元。</w:t>
      </w:r>
    </w:p>
    <w:p>
      <w:pPr>
        <w:pStyle w:val="21"/>
      </w:pPr>
      <w:r>
        <w:t>2</w:t>
      </w:r>
      <w:r>
        <w:rPr>
          <w:rFonts w:hint="eastAsia" w:cs="方正仿宋_GBK"/>
        </w:rPr>
        <w:t>、支出说明</w:t>
      </w:r>
    </w:p>
    <w:p>
      <w:pPr>
        <w:pStyle w:val="21"/>
      </w:pPr>
      <w:r>
        <w:rPr>
          <w:rFonts w:hint="eastAsia" w:cs="方正仿宋_GBK"/>
        </w:rPr>
        <w:t>收支预算总表支出栏、基本支出表、项目支出表按经济分类和支出功能分类科目编制，反映隆尧县供销合作社</w:t>
      </w:r>
      <w:r>
        <w:rPr>
          <w:rFonts w:hint="eastAsia" w:cs="方正仿宋_GBK"/>
          <w:lang w:val="en-US" w:eastAsia="zh-CN"/>
        </w:rPr>
        <w:t>部门</w:t>
      </w:r>
      <w:r>
        <w:rPr>
          <w:rFonts w:hint="eastAsia" w:cs="方正仿宋_GBK"/>
        </w:rPr>
        <w:t>年度预算中支出预算的总体情况。</w:t>
      </w:r>
      <w:r>
        <w:t>202</w:t>
      </w:r>
      <w:r>
        <w:rPr>
          <w:lang w:eastAsia="zh-CN"/>
        </w:rPr>
        <w:t>2</w:t>
      </w:r>
      <w:r>
        <w:rPr>
          <w:rFonts w:hint="eastAsia" w:cs="方正仿宋_GBK"/>
        </w:rPr>
        <w:t>年部门支出预算为</w:t>
      </w:r>
      <w:r>
        <w:t>326.38</w:t>
      </w:r>
      <w:r>
        <w:rPr>
          <w:rFonts w:hint="eastAsia" w:cs="方正仿宋_GBK"/>
        </w:rPr>
        <w:t>万元，其中基本支出</w:t>
      </w:r>
      <w:r>
        <w:t>306.42</w:t>
      </w:r>
      <w:r>
        <w:rPr>
          <w:rFonts w:hint="eastAsia" w:cs="方正仿宋_GBK"/>
        </w:rPr>
        <w:t>万元，包括人员经费</w:t>
      </w:r>
      <w:r>
        <w:t>284.29</w:t>
      </w:r>
      <w:r>
        <w:rPr>
          <w:rFonts w:hint="eastAsia" w:cs="方正仿宋_GBK"/>
        </w:rPr>
        <w:t>万元和日常公用经费</w:t>
      </w:r>
      <w:r>
        <w:t>22.13</w:t>
      </w:r>
      <w:r>
        <w:rPr>
          <w:rFonts w:hint="eastAsia" w:cs="方正仿宋_GBK"/>
        </w:rPr>
        <w:t>万元；项目支出</w:t>
      </w:r>
      <w:r>
        <w:t>19.96</w:t>
      </w:r>
      <w:r>
        <w:rPr>
          <w:rFonts w:hint="eastAsia" w:cs="方正仿宋_GBK"/>
        </w:rPr>
        <w:t>万元，主要为合作组织培训经费支出</w:t>
      </w:r>
      <w:r>
        <w:t>3</w:t>
      </w:r>
      <w:r>
        <w:rPr>
          <w:rFonts w:hint="eastAsia" w:cs="方正仿宋_GBK"/>
        </w:rPr>
        <w:t>万元，农村产权交易市场支出</w:t>
      </w:r>
      <w:r>
        <w:t>5</w:t>
      </w:r>
      <w:r>
        <w:rPr>
          <w:rFonts w:hint="eastAsia" w:cs="方正仿宋_GBK"/>
        </w:rPr>
        <w:t>万元</w:t>
      </w:r>
      <w:r>
        <w:t>,</w:t>
      </w:r>
      <w:r>
        <w:rPr>
          <w:rFonts w:hint="eastAsia" w:cs="方正仿宋_GBK"/>
        </w:rPr>
        <w:t>退役军人</w:t>
      </w:r>
      <w:r>
        <w:rPr>
          <w:rFonts w:hint="eastAsia" w:cs="方正仿宋_GBK"/>
          <w:lang w:eastAsia="zh-CN"/>
        </w:rPr>
        <w:t>专</w:t>
      </w:r>
      <w:r>
        <w:rPr>
          <w:rFonts w:hint="eastAsia" w:cs="方正仿宋_GBK"/>
        </w:rPr>
        <w:t>岗</w:t>
      </w:r>
      <w:r>
        <w:t>12.96</w:t>
      </w:r>
      <w:r>
        <w:rPr>
          <w:rFonts w:hint="eastAsia" w:cs="方正仿宋_GBK"/>
        </w:rPr>
        <w:t>万元。</w:t>
      </w:r>
    </w:p>
    <w:p>
      <w:pPr>
        <w:pStyle w:val="21"/>
      </w:pPr>
      <w:r>
        <w:t>3</w:t>
      </w:r>
      <w:r>
        <w:rPr>
          <w:rFonts w:hint="eastAsia" w:cs="方正仿宋_GBK"/>
        </w:rPr>
        <w:t>、比上年增减情况</w:t>
      </w:r>
    </w:p>
    <w:p>
      <w:pPr>
        <w:pStyle w:val="21"/>
      </w:pPr>
      <w:r>
        <w:t>202</w:t>
      </w:r>
      <w:r>
        <w:rPr>
          <w:rFonts w:hint="eastAsia"/>
          <w:lang w:val="en-US" w:eastAsia="zh-CN"/>
        </w:rPr>
        <w:t>2</w:t>
      </w:r>
      <w:r>
        <w:rPr>
          <w:rFonts w:hint="eastAsia" w:cs="方正仿宋_GBK"/>
        </w:rPr>
        <w:t>年部门预算收支安排</w:t>
      </w:r>
      <w:r>
        <w:t>326.38</w:t>
      </w:r>
      <w:r>
        <w:rPr>
          <w:rFonts w:hint="eastAsia" w:cs="方正仿宋_GBK"/>
        </w:rPr>
        <w:t>万元，较</w:t>
      </w:r>
      <w:r>
        <w:t>2021</w:t>
      </w:r>
      <w:r>
        <w:rPr>
          <w:rFonts w:hint="eastAsia" w:cs="方正仿宋_GBK"/>
        </w:rPr>
        <w:t>年增加</w:t>
      </w:r>
      <w:r>
        <w:t>87.13</w:t>
      </w:r>
      <w:r>
        <w:rPr>
          <w:rFonts w:hint="eastAsia" w:cs="方正仿宋_GBK"/>
        </w:rPr>
        <w:t>万元，其中：基本支出增加</w:t>
      </w:r>
      <w:r>
        <w:t>74.43</w:t>
      </w:r>
      <w:r>
        <w:rPr>
          <w:rFonts w:hint="eastAsia" w:cs="方正仿宋_GBK"/>
        </w:rPr>
        <w:t>万元，主要是人员经费增加；项目支出增加</w:t>
      </w:r>
      <w:r>
        <w:t>12.7</w:t>
      </w:r>
      <w:r>
        <w:rPr>
          <w:rFonts w:hint="eastAsia" w:cs="方正仿宋_GBK"/>
        </w:rPr>
        <w:t>万元，主要是增加退役军人专岗。</w:t>
      </w:r>
    </w:p>
    <w:p>
      <w:pPr>
        <w:pStyle w:val="21"/>
        <w:rPr>
          <w:rFonts w:ascii="Vrinda" w:hAnsi="Vrinda" w:eastAsia="黑体"/>
          <w:sz w:val="30"/>
          <w:szCs w:val="30"/>
        </w:rPr>
      </w:pPr>
      <w:r>
        <w:rPr>
          <w:rFonts w:hint="eastAsia" w:ascii="Vrinda" w:eastAsia="黑体" w:cs="黑体"/>
          <w:sz w:val="30"/>
          <w:szCs w:val="30"/>
        </w:rPr>
        <w:t>三、机关运行经费安排情况</w:t>
      </w:r>
    </w:p>
    <w:p>
      <w:pPr>
        <w:pStyle w:val="21"/>
        <w:ind w:left="0" w:leftChars="0" w:firstLine="560" w:firstLineChars="200"/>
      </w:pPr>
      <w:r>
        <w:t>2022</w:t>
      </w:r>
      <w:r>
        <w:rPr>
          <w:rFonts w:hint="eastAsia" w:cs="方正仿宋_GBK"/>
        </w:rPr>
        <w:t>年，我部门机关运行经费共计安排</w:t>
      </w:r>
      <w:r>
        <w:t>11</w:t>
      </w:r>
      <w:r>
        <w:rPr>
          <w:rFonts w:hint="eastAsia" w:cs="方正仿宋_GBK"/>
        </w:rPr>
        <w:t>万元，主要用于保证机关正常运转的办公费、电费、水费、邮电费、福利费、工会经费、党活动经费等支出。</w:t>
      </w:r>
    </w:p>
    <w:p>
      <w:pPr>
        <w:pStyle w:val="21"/>
        <w:rPr>
          <w:rFonts w:eastAsia="黑体"/>
          <w:sz w:val="32"/>
          <w:szCs w:val="32"/>
        </w:rPr>
      </w:pPr>
      <w:r>
        <w:rPr>
          <w:rFonts w:hint="eastAsia" w:eastAsia="黑体" w:cs="黑体"/>
          <w:sz w:val="32"/>
          <w:szCs w:val="32"/>
        </w:rPr>
        <w:t>四、财政拨款</w:t>
      </w:r>
      <w:r>
        <w:rPr>
          <w:rFonts w:eastAsia="黑体"/>
          <w:sz w:val="32"/>
          <w:szCs w:val="32"/>
        </w:rPr>
        <w:t>“</w:t>
      </w:r>
      <w:r>
        <w:rPr>
          <w:rFonts w:hint="eastAsia" w:eastAsia="黑体" w:cs="黑体"/>
          <w:sz w:val="32"/>
          <w:szCs w:val="32"/>
        </w:rPr>
        <w:t>三公</w:t>
      </w:r>
      <w:r>
        <w:rPr>
          <w:rFonts w:eastAsia="黑体"/>
          <w:sz w:val="32"/>
          <w:szCs w:val="32"/>
        </w:rPr>
        <w:t>”</w:t>
      </w:r>
      <w:r>
        <w:rPr>
          <w:rFonts w:hint="eastAsia" w:eastAsia="黑体" w:cs="黑体"/>
          <w:sz w:val="32"/>
          <w:szCs w:val="32"/>
        </w:rPr>
        <w:t>经费预算情况及增减变化原因</w:t>
      </w:r>
    </w:p>
    <w:p>
      <w:pPr>
        <w:pStyle w:val="21"/>
      </w:pPr>
      <w:r>
        <w:t>2022</w:t>
      </w:r>
      <w:r>
        <w:rPr>
          <w:rFonts w:hint="eastAsia" w:cs="方正仿宋_GBK"/>
        </w:rPr>
        <w:t>年，我部门财政拨款</w:t>
      </w:r>
      <w:r>
        <w:t>“</w:t>
      </w:r>
      <w:r>
        <w:rPr>
          <w:rFonts w:hint="eastAsia" w:cs="方正仿宋_GBK"/>
        </w:rPr>
        <w:t>三公</w:t>
      </w:r>
      <w:r>
        <w:t>”</w:t>
      </w:r>
      <w:r>
        <w:rPr>
          <w:rFonts w:hint="eastAsia" w:cs="方正仿宋_GBK"/>
        </w:rPr>
        <w:t>经费预算安排</w:t>
      </w:r>
      <w:r>
        <w:t>0</w:t>
      </w:r>
      <w:r>
        <w:rPr>
          <w:rFonts w:hint="eastAsia" w:cs="方正仿宋_GBK"/>
        </w:rPr>
        <w:t>万元，其中：因公出国（境）费</w:t>
      </w:r>
      <w:r>
        <w:t>0</w:t>
      </w:r>
      <w:r>
        <w:rPr>
          <w:rFonts w:hint="eastAsia" w:cs="方正仿宋_GBK"/>
        </w:rPr>
        <w:t>万元；公务用车购置及运维费</w:t>
      </w:r>
      <w:r>
        <w:t>0</w:t>
      </w:r>
      <w:r>
        <w:rPr>
          <w:rFonts w:hint="eastAsia" w:cs="方正仿宋_GBK"/>
        </w:rPr>
        <w:t>万元（其中：公务用车购置费</w:t>
      </w:r>
      <w:r>
        <w:t>0</w:t>
      </w:r>
      <w:r>
        <w:rPr>
          <w:rFonts w:hint="eastAsia" w:cs="方正仿宋_GBK"/>
        </w:rPr>
        <w:t>万元，公务用车运行维护费</w:t>
      </w:r>
      <w:r>
        <w:t>0</w:t>
      </w:r>
      <w:r>
        <w:rPr>
          <w:rFonts w:hint="eastAsia" w:cs="方正仿宋_GBK"/>
        </w:rPr>
        <w:t>万元</w:t>
      </w:r>
      <w:r>
        <w:t>)</w:t>
      </w:r>
      <w:r>
        <w:rPr>
          <w:rFonts w:hint="eastAsia" w:cs="方正仿宋_GBK"/>
        </w:rPr>
        <w:t>；公务接待费</w:t>
      </w:r>
      <w:r>
        <w:t>0</w:t>
      </w:r>
      <w:r>
        <w:rPr>
          <w:rFonts w:hint="eastAsia" w:cs="方正仿宋_GBK"/>
        </w:rPr>
        <w:t>万元。</w:t>
      </w:r>
      <w:r>
        <w:t>“</w:t>
      </w:r>
      <w:r>
        <w:rPr>
          <w:rFonts w:hint="eastAsia" w:cs="方正仿宋_GBK"/>
        </w:rPr>
        <w:t>三公</w:t>
      </w:r>
      <w:r>
        <w:t>”</w:t>
      </w:r>
      <w:r>
        <w:rPr>
          <w:rFonts w:hint="eastAsia" w:cs="方正仿宋_GBK"/>
        </w:rPr>
        <w:t>经费与上年减少，因公车改革，取消公车。</w:t>
      </w:r>
    </w:p>
    <w:p>
      <w:pPr>
        <w:pStyle w:val="21"/>
        <w:rPr>
          <w:rFonts w:eastAsia="黑体"/>
          <w:sz w:val="32"/>
          <w:szCs w:val="32"/>
        </w:rPr>
      </w:pPr>
      <w:r>
        <w:rPr>
          <w:rFonts w:hint="eastAsia" w:eastAsia="黑体" w:cs="黑体"/>
          <w:sz w:val="32"/>
          <w:szCs w:val="32"/>
        </w:rPr>
        <w:t>五、预算绩效信息</w:t>
      </w:r>
    </w:p>
    <w:p>
      <w:pPr>
        <w:pStyle w:val="21"/>
        <w:rPr>
          <w:rFonts w:eastAsia="黑体"/>
          <w:sz w:val="32"/>
          <w:szCs w:val="32"/>
        </w:rPr>
      </w:pPr>
      <w:r>
        <w:rPr>
          <w:rFonts w:hint="eastAsia" w:eastAsia="黑体" w:cs="黑体"/>
          <w:sz w:val="32"/>
          <w:szCs w:val="32"/>
        </w:rPr>
        <w:t>第一部分</w:t>
      </w:r>
      <w:r>
        <w:rPr>
          <w:rFonts w:eastAsia="黑体"/>
          <w:sz w:val="32"/>
          <w:szCs w:val="32"/>
        </w:rPr>
        <w:t xml:space="preserve">  </w:t>
      </w:r>
      <w:r>
        <w:rPr>
          <w:rFonts w:hint="eastAsia" w:eastAsia="黑体" w:cs="黑体"/>
          <w:sz w:val="32"/>
          <w:szCs w:val="32"/>
        </w:rPr>
        <w:t>部门整体绩效目标</w:t>
      </w:r>
    </w:p>
    <w:p>
      <w:pPr>
        <w:pStyle w:val="21"/>
      </w:pPr>
      <w:r>
        <w:rPr>
          <w:rFonts w:hint="eastAsia" w:cs="方正仿宋_GBK"/>
        </w:rPr>
        <w:t>（一）总体绩效目标</w:t>
      </w:r>
    </w:p>
    <w:p>
      <w:pPr>
        <w:pStyle w:val="21"/>
        <w:ind w:firstLine="932" w:firstLineChars="333"/>
      </w:pPr>
      <w:r>
        <w:rPr>
          <w:rFonts w:hint="eastAsia" w:cs="方正仿宋_GBK"/>
        </w:rPr>
        <w:t>一、推进农村产权流转交易工作。</w:t>
      </w:r>
    </w:p>
    <w:p>
      <w:pPr>
        <w:pStyle w:val="21"/>
        <w:ind w:firstLine="932" w:firstLineChars="333"/>
      </w:pPr>
      <w:r>
        <w:rPr>
          <w:rFonts w:hint="eastAsia" w:cs="方正仿宋_GBK"/>
        </w:rPr>
        <w:t>二、继续推进基层供销社改革。</w:t>
      </w:r>
    </w:p>
    <w:p>
      <w:pPr>
        <w:pStyle w:val="21"/>
        <w:ind w:firstLine="932" w:firstLineChars="333"/>
      </w:pPr>
      <w:r>
        <w:rPr>
          <w:rFonts w:hint="eastAsia" w:cs="方正仿宋_GBK"/>
        </w:rPr>
        <w:t>三、开展农业技术培训。</w:t>
      </w:r>
    </w:p>
    <w:p>
      <w:pPr>
        <w:pStyle w:val="21"/>
        <w:ind w:firstLine="932" w:firstLineChars="333"/>
      </w:pPr>
      <w:r>
        <w:rPr>
          <w:rFonts w:hint="eastAsia" w:cs="方正仿宋_GBK"/>
        </w:rPr>
        <w:t>四、扩大农业规模化服务。</w:t>
      </w:r>
    </w:p>
    <w:p>
      <w:pPr>
        <w:pStyle w:val="21"/>
        <w:ind w:firstLine="932" w:firstLineChars="333"/>
      </w:pPr>
      <w:r>
        <w:rPr>
          <w:rFonts w:hint="eastAsia" w:cs="方正仿宋_GBK"/>
        </w:rPr>
        <w:t>五、加强社有资产管理。</w:t>
      </w:r>
    </w:p>
    <w:p>
      <w:pPr>
        <w:pStyle w:val="21"/>
      </w:pPr>
      <w:r>
        <w:rPr>
          <w:rFonts w:hint="eastAsia" w:cs="方正仿宋_GBK"/>
        </w:rPr>
        <w:t>（二）分项绩效目标</w:t>
      </w:r>
    </w:p>
    <w:p>
      <w:pPr>
        <w:pStyle w:val="21"/>
      </w:pPr>
      <w:r>
        <w:rPr>
          <w:rFonts w:hint="eastAsia" w:cs="方正仿宋_GBK"/>
        </w:rPr>
        <w:t>以深化供销社综合改革为契机，以夯基础、增实力、强服务为主线，发挥供销社的组织、人员、资产、网络优势，加强资产管理、健全经营体系、提升服务水平，增强服务乡村振兴的能力。</w:t>
      </w:r>
    </w:p>
    <w:p>
      <w:pPr>
        <w:pStyle w:val="21"/>
      </w:pPr>
      <w:r>
        <w:rPr>
          <w:lang w:eastAsia="zh-CN"/>
        </w:rPr>
        <w:t>1</w:t>
      </w:r>
      <w:r>
        <w:rPr>
          <w:rFonts w:hint="eastAsia" w:cs="方正仿宋_GBK"/>
        </w:rPr>
        <w:t>、推进农村产权流转交易工作。进一步扩大乡镇村农村产权服务站点覆盖面，加强农村产权服务人员理论和业务素质，加强农村产权流转交易宣传，推动农村产权流转交易应进必进、能进则进，实现产权交易额新突破（时间期限：</w:t>
      </w:r>
      <w:r>
        <w:t>2022</w:t>
      </w:r>
      <w:r>
        <w:rPr>
          <w:rFonts w:hint="eastAsia" w:cs="方正仿宋_GBK"/>
        </w:rPr>
        <w:t>年底）。</w:t>
      </w:r>
    </w:p>
    <w:p>
      <w:pPr>
        <w:pStyle w:val="21"/>
      </w:pPr>
      <w:r>
        <w:rPr>
          <w:lang w:eastAsia="zh-CN"/>
        </w:rPr>
        <w:t>2</w:t>
      </w:r>
      <w:r>
        <w:rPr>
          <w:rFonts w:hint="eastAsia" w:cs="方正仿宋_GBK"/>
        </w:rPr>
        <w:t>、继续推进基层供销社改革。按照组织机构健全、经营设施完善、服务功能广泛的要求，通过创新经营服务，增强基层供销社的综合实力，提升基层供销社形象，增加效益。（</w:t>
      </w:r>
      <w:r>
        <w:t>2022</w:t>
      </w:r>
      <w:r>
        <w:rPr>
          <w:rFonts w:hint="eastAsia" w:cs="方正仿宋_GBK"/>
        </w:rPr>
        <w:t>全年）。</w:t>
      </w:r>
    </w:p>
    <w:p>
      <w:pPr>
        <w:pStyle w:val="21"/>
      </w:pPr>
      <w:r>
        <w:rPr>
          <w:lang w:eastAsia="zh-CN"/>
        </w:rPr>
        <w:t>3</w:t>
      </w:r>
      <w:r>
        <w:rPr>
          <w:rFonts w:hint="eastAsia" w:cs="方正仿宋_GBK"/>
        </w:rPr>
        <w:t>、开展农业技术培训。利用好现有培训资源，使用好财政培训资金，紧贴农业生产实际需要，有针对性的举办农民培训班，全年培训农民超过</w:t>
      </w:r>
      <w:r>
        <w:t>1000</w:t>
      </w:r>
      <w:r>
        <w:rPr>
          <w:rFonts w:hint="eastAsia" w:cs="方正仿宋_GBK"/>
        </w:rPr>
        <w:t>人次（时间期限：全年）。</w:t>
      </w:r>
    </w:p>
    <w:p>
      <w:pPr>
        <w:pStyle w:val="21"/>
      </w:pPr>
      <w:r>
        <w:rPr>
          <w:lang w:eastAsia="zh-CN"/>
        </w:rPr>
        <w:t>4</w:t>
      </w:r>
      <w:r>
        <w:rPr>
          <w:rFonts w:hint="eastAsia" w:cs="方正仿宋_GBK"/>
        </w:rPr>
        <w:t>、扩大农业规模化服务。发挥供销社农资企业、规模型农民合作社的龙头作用，完成市社下达的土地托管半托管任务（时间期限：</w:t>
      </w:r>
      <w:r>
        <w:t>2022</w:t>
      </w:r>
      <w:r>
        <w:rPr>
          <w:rFonts w:hint="eastAsia" w:cs="方正仿宋_GBK"/>
        </w:rPr>
        <w:t>年底）。</w:t>
      </w:r>
    </w:p>
    <w:p>
      <w:pPr>
        <w:pStyle w:val="21"/>
      </w:pPr>
      <w:r>
        <w:rPr>
          <w:lang w:eastAsia="zh-CN"/>
        </w:rPr>
        <w:t>5</w:t>
      </w:r>
      <w:r>
        <w:rPr>
          <w:rFonts w:hint="eastAsia" w:cs="方正仿宋_GBK"/>
        </w:rPr>
        <w:t>、加强社有资产管理。完善资产购置、出租、合作审批流程，健全下属企业、基层社的财务监管，进一步提高供销社资产经营效益。同时，推动油棉二厂、固城供销社土地资产开发（时间期限：全年）。</w:t>
      </w:r>
    </w:p>
    <w:p>
      <w:pPr>
        <w:pStyle w:val="21"/>
      </w:pPr>
      <w:r>
        <w:rPr>
          <w:rFonts w:hint="eastAsia" w:cs="方正仿宋_GBK"/>
        </w:rPr>
        <w:t>（三）工作保障措施</w:t>
      </w:r>
    </w:p>
    <w:p>
      <w:pPr>
        <w:pStyle w:val="21"/>
      </w:pPr>
      <w:r>
        <w:t>1</w:t>
      </w:r>
      <w:r>
        <w:rPr>
          <w:rFonts w:hint="eastAsia" w:cs="方正仿宋_GBK"/>
        </w:rPr>
        <w:t>、加强制度建设。建立健全机关预算绩效管理制度，为全年预算绩效目标的实现奠定制度基础。</w:t>
      </w:r>
    </w:p>
    <w:p>
      <w:pPr>
        <w:pStyle w:val="21"/>
      </w:pPr>
      <w:r>
        <w:t>2</w:t>
      </w:r>
      <w:r>
        <w:rPr>
          <w:rFonts w:hint="eastAsia" w:cs="方正仿宋_GBK"/>
        </w:rPr>
        <w:t>、规范财务管理。进一步完善财务管理制度，通过科学编制预算、优化支出结构、加快政府采购、加快项目建设、及时拨付资金，确保经费支出进度达到规定标准。</w:t>
      </w:r>
    </w:p>
    <w:p>
      <w:pPr>
        <w:pStyle w:val="21"/>
      </w:pPr>
      <w:r>
        <w:t>3</w:t>
      </w:r>
      <w:r>
        <w:rPr>
          <w:rFonts w:hint="eastAsia" w:cs="方正仿宋_GBK"/>
        </w:rPr>
        <w:t>、加强内部监督。加强内部监督制度建设，对绩效运行、重大支出事项、资产处置及其他重要经济业务事项决策和执行进行监督，定期开展财务内部审计，确保财政资金使用安全合规。</w:t>
      </w:r>
    </w:p>
    <w:p>
      <w:pPr>
        <w:pStyle w:val="21"/>
      </w:pPr>
      <w:r>
        <w:t>4</w:t>
      </w:r>
      <w:r>
        <w:rPr>
          <w:rFonts w:hint="eastAsia" w:cs="方正仿宋_GBK"/>
        </w:rPr>
        <w:t>、加强绩效监控。积极开展绩效运行监控，发现问题及时采取措施，确保绩效目标如期保质实现。</w:t>
      </w:r>
    </w:p>
    <w:p>
      <w:pPr>
        <w:pStyle w:val="21"/>
      </w:pPr>
      <w:r>
        <w:t>5</w:t>
      </w:r>
      <w:r>
        <w:rPr>
          <w:rFonts w:hint="eastAsia" w:cs="方正仿宋_GBK"/>
        </w:rPr>
        <w:t>、做好绩效自评。按要求开展部门预算绩效自评和重点项目评价工作，对评价中发现的问题及时整改。</w:t>
      </w:r>
    </w:p>
    <w:p>
      <w:pPr>
        <w:pStyle w:val="21"/>
      </w:pPr>
      <w:r>
        <w:t>6</w:t>
      </w:r>
      <w:r>
        <w:rPr>
          <w:rFonts w:hint="eastAsia" w:cs="方正仿宋_GBK"/>
        </w:rPr>
        <w:t>、加强宣传培训。加强人员培训，加大宣传力度，强化预算绩效管理意识，促进预算绩效管理水平提升。</w:t>
      </w:r>
    </w:p>
    <w:p>
      <w:pPr>
        <w:pStyle w:val="21"/>
      </w:pPr>
    </w:p>
    <w:p>
      <w:pPr>
        <w:ind w:firstLine="640" w:firstLineChars="200"/>
      </w:pPr>
      <w:r>
        <w:rPr>
          <w:rFonts w:hint="eastAsia" w:ascii="Times New Roman" w:hAnsi="Times New Roman" w:eastAsia="黑体" w:cs="黑体"/>
          <w:kern w:val="0"/>
          <w:sz w:val="32"/>
          <w:szCs w:val="32"/>
          <w:lang w:val="en-US" w:eastAsia="uk-UA" w:bidi="ar-SA"/>
        </w:rPr>
        <w:t>第二部分  专项资金绩效目标</w:t>
      </w:r>
    </w:p>
    <w:p>
      <w:pPr>
        <w:pStyle w:val="21"/>
        <w:rPr>
          <w:rFonts w:eastAsia="黑体"/>
          <w:sz w:val="32"/>
          <w:szCs w:val="32"/>
        </w:rPr>
      </w:pPr>
      <w:r>
        <w:rPr>
          <w:rFonts w:hint="eastAsia" w:eastAsia="黑体" w:cs="黑体"/>
          <w:sz w:val="32"/>
          <w:szCs w:val="32"/>
        </w:rPr>
        <w:t>第</w:t>
      </w:r>
      <w:r>
        <w:rPr>
          <w:rFonts w:hint="eastAsia" w:eastAsia="黑体" w:cs="黑体"/>
          <w:sz w:val="32"/>
          <w:szCs w:val="32"/>
          <w:lang w:val="en-US" w:eastAsia="zh-CN"/>
        </w:rPr>
        <w:t>三</w:t>
      </w:r>
      <w:r>
        <w:rPr>
          <w:rFonts w:hint="eastAsia" w:eastAsia="黑体" w:cs="黑体"/>
          <w:sz w:val="32"/>
          <w:szCs w:val="32"/>
        </w:rPr>
        <w:t>部分</w:t>
      </w:r>
      <w:r>
        <w:rPr>
          <w:rFonts w:eastAsia="黑体"/>
          <w:sz w:val="32"/>
          <w:szCs w:val="32"/>
        </w:rPr>
        <w:t xml:space="preserve">  </w:t>
      </w:r>
      <w:r>
        <w:rPr>
          <w:rFonts w:hint="eastAsia" w:eastAsia="黑体" w:cs="黑体"/>
          <w:sz w:val="32"/>
          <w:szCs w:val="32"/>
        </w:rPr>
        <w:t>预算项目绩效目标</w:t>
      </w:r>
    </w:p>
    <w:p>
      <w:pPr>
        <w:rPr>
          <w:rFonts w:ascii="方正仿宋_GBK" w:hAnsi="方正仿宋_GBK" w:eastAsia="方正仿宋_GBK" w:cs="方正仿宋_GBK"/>
          <w:b/>
          <w:bCs/>
          <w:color w:val="000000"/>
          <w:sz w:val="28"/>
          <w:szCs w:val="28"/>
        </w:rPr>
      </w:pPr>
    </w:p>
    <w:p>
      <w:pPr>
        <w:ind w:firstLine="562" w:firstLineChars="200"/>
      </w:pPr>
      <w:r>
        <w:rPr>
          <w:rFonts w:ascii="方正仿宋_GBK" w:hAnsi="方正仿宋_GBK" w:eastAsia="方正仿宋_GBK" w:cs="方正仿宋_GBK"/>
          <w:b/>
          <w:bCs/>
          <w:color w:val="000000"/>
          <w:sz w:val="28"/>
          <w:szCs w:val="28"/>
        </w:rPr>
        <w:t>1</w:t>
      </w:r>
      <w:r>
        <w:rPr>
          <w:rFonts w:hint="eastAsia" w:ascii="方正仿宋_GBK" w:hAnsi="方正仿宋_GBK" w:eastAsia="方正仿宋_GBK" w:cs="方正仿宋_GBK"/>
          <w:b/>
          <w:bCs/>
          <w:color w:val="000000"/>
          <w:sz w:val="28"/>
          <w:szCs w:val="28"/>
        </w:rPr>
        <w:t>、合作组织培训经费绩效目标表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绩效目标</w:t>
            </w:r>
          </w:p>
        </w:tc>
        <w:tc>
          <w:tcPr>
            <w:tcW w:w="12756" w:type="dxa"/>
            <w:tcBorders>
              <w:top w:val="single" w:color="000000" w:sz="6" w:space="0"/>
              <w:bottom w:val="single" w:color="FFFFFF" w:sz="6" w:space="0"/>
            </w:tcBorders>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r>
              <w:rPr>
                <w:rFonts w:hint="eastAsia"/>
              </w:rPr>
              <w:t>目标内容</w:t>
            </w:r>
            <w:r>
              <w:rPr>
                <w:rFonts w:hint="default"/>
              </w:rPr>
              <w:t>1</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一级指标</w:t>
            </w:r>
          </w:p>
        </w:tc>
        <w:tc>
          <w:tcPr>
            <w:tcW w:w="2268"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二级指标</w:t>
            </w:r>
          </w:p>
        </w:tc>
        <w:tc>
          <w:tcPr>
            <w:tcW w:w="28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三级指标</w:t>
            </w:r>
          </w:p>
        </w:tc>
        <w:tc>
          <w:tcPr>
            <w:tcW w:w="28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绩效指标描述</w:t>
            </w:r>
          </w:p>
        </w:tc>
        <w:tc>
          <w:tcPr>
            <w:tcW w:w="255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指标值</w:t>
            </w:r>
          </w:p>
        </w:tc>
        <w:tc>
          <w:tcPr>
            <w:tcW w:w="2268"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产出指标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数量指标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合作组织培训人数</w:t>
            </w:r>
            <w:r>
              <w:rPr>
                <w:rFonts w:hint="default"/>
              </w:rPr>
              <w:t>400</w:t>
            </w:r>
            <w:r>
              <w:rPr>
                <w:rFonts w:hint="eastAsia"/>
              </w:rPr>
              <w:t>人</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合作组织培训人数</w:t>
            </w:r>
            <w:r>
              <w:rPr>
                <w:rFonts w:hint="default"/>
              </w:rPr>
              <w:t>400</w:t>
            </w:r>
            <w:r>
              <w:rPr>
                <w:rFonts w:hint="eastAsia"/>
              </w:rPr>
              <w:t>人</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400</w:t>
            </w:r>
            <w:r>
              <w:rPr>
                <w:rFonts w:hint="eastAsia"/>
              </w:rPr>
              <w:t>人</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质量指标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培训合格率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培训合格率</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80</w:t>
            </w:r>
            <w:r>
              <w:rPr>
                <w:rFonts w:hint="eastAsia"/>
              </w:rPr>
              <w:t>百分比</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时效指标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完成时间</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2022</w:t>
            </w:r>
            <w:r>
              <w:rPr>
                <w:rFonts w:hint="eastAsia"/>
              </w:rPr>
              <w:t>年</w:t>
            </w:r>
            <w:r>
              <w:rPr>
                <w:rFonts w:hint="default"/>
              </w:rPr>
              <w:t>11</w:t>
            </w:r>
            <w:r>
              <w:rPr>
                <w:rFonts w:hint="eastAsia"/>
              </w:rPr>
              <w:t>月完成</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百分比</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成本指标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人均培训成本</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人均</w:t>
            </w:r>
            <w:r>
              <w:rPr>
                <w:rFonts w:hint="default"/>
              </w:rPr>
              <w:t>75</w:t>
            </w:r>
            <w:r>
              <w:rPr>
                <w:rFonts w:hint="eastAsia"/>
              </w:rPr>
              <w:t>元</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75</w:t>
            </w:r>
            <w:r>
              <w:rPr>
                <w:rFonts w:hint="eastAsia"/>
              </w:rPr>
              <w:t>元</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效益指标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经济效益指标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促进农民增收</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促进农民增收</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5</w:t>
            </w:r>
            <w:r>
              <w:rPr>
                <w:rFonts w:hint="eastAsia"/>
              </w:rPr>
              <w:t>百分比</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满意度指标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服务对象满意度指标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受训人员满意度</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达到</w:t>
            </w:r>
            <w:r>
              <w:rPr>
                <w:rFonts w:hint="default"/>
              </w:rPr>
              <w:t>95%</w:t>
            </w:r>
            <w:r>
              <w:rPr>
                <w:rFonts w:hint="eastAsia"/>
              </w:rPr>
              <w:t>以上</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95</w:t>
            </w:r>
            <w:r>
              <w:rPr>
                <w:rFonts w:hint="eastAsia"/>
              </w:rPr>
              <w:t>百分比</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bl>
    <w:p>
      <w:pPr>
        <w:tabs>
          <w:tab w:val="left" w:pos="553"/>
        </w:tabs>
        <w:bidi w:val="0"/>
        <w:jc w:val="left"/>
        <w:rPr>
          <w:rFonts w:hint="eastAsia" w:eastAsia="宋体"/>
          <w:lang w:val="en-US" w:eastAsia="zh-CN"/>
        </w:r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2</w:t>
      </w:r>
      <w:r>
        <w:rPr>
          <w:rFonts w:hint="eastAsia" w:ascii="方正仿宋_GBK" w:hAnsi="方正仿宋_GBK" w:eastAsia="方正仿宋_GBK" w:cs="方正仿宋_GBK"/>
          <w:b/>
          <w:bCs/>
          <w:color w:val="000000"/>
          <w:sz w:val="28"/>
          <w:szCs w:val="28"/>
        </w:rPr>
        <w:t>、农村产权交易市场绩效目标表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top w:val="single" w:color="000000" w:sz="6" w:space="0"/>
              <w:bottom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绩效目标</w:t>
            </w:r>
          </w:p>
        </w:tc>
        <w:tc>
          <w:tcPr>
            <w:tcW w:w="12756" w:type="dxa"/>
            <w:tcBorders>
              <w:top w:val="single" w:color="000000" w:sz="6" w:space="0"/>
              <w:bottom w:val="single" w:color="FFFFFF" w:sz="6" w:space="0"/>
            </w:tcBorders>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r>
              <w:rPr>
                <w:rFonts w:hint="eastAsia"/>
              </w:rPr>
              <w:t>目标内容</w:t>
            </w:r>
            <w:r>
              <w:rPr>
                <w:rFonts w:hint="default"/>
              </w:rPr>
              <w:t>1</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一级指标</w:t>
            </w:r>
          </w:p>
        </w:tc>
        <w:tc>
          <w:tcPr>
            <w:tcW w:w="2268"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二级指标</w:t>
            </w:r>
          </w:p>
        </w:tc>
        <w:tc>
          <w:tcPr>
            <w:tcW w:w="28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三级指标</w:t>
            </w:r>
          </w:p>
        </w:tc>
        <w:tc>
          <w:tcPr>
            <w:tcW w:w="28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绩效指标描述</w:t>
            </w:r>
          </w:p>
        </w:tc>
        <w:tc>
          <w:tcPr>
            <w:tcW w:w="255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指标值</w:t>
            </w:r>
          </w:p>
        </w:tc>
        <w:tc>
          <w:tcPr>
            <w:tcW w:w="2268"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产出指标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数量指标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村级服务点</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健全村级服务点</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250</w:t>
            </w:r>
            <w:r>
              <w:rPr>
                <w:rFonts w:hint="eastAsia"/>
              </w:rPr>
              <w:t>个</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质量指标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达到标准</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达到标准</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时效指标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完成时间</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2022</w:t>
            </w:r>
            <w:r>
              <w:rPr>
                <w:rFonts w:hint="eastAsia"/>
              </w:rPr>
              <w:t>年底前</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成本指标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努力降低</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努力降低</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效益指标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经济效益指标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实现效益</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实现效益</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社会效益指标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较好</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体系不断完善</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可持续影响指标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较好</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可持续</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省、市社保准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满意度指标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服务对象满意度指标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较好</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较满意</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bl>
    <w:p>
      <w:pPr>
        <w:pStyle w:val="21"/>
        <w:ind w:left="0" w:leftChars="0" w:firstLine="0" w:firstLineChars="0"/>
        <w:sectPr>
          <w:pgSz w:w="16840" w:h="11900" w:orient="landscape"/>
          <w:pgMar w:top="1361" w:right="1020" w:bottom="1361" w:left="1020" w:header="720" w:footer="720" w:gutter="0"/>
          <w:cols w:space="720" w:num="1"/>
        </w:sectPr>
      </w:pPr>
    </w:p>
    <w:p>
      <w:pPr>
        <w:ind w:firstLine="560"/>
      </w:pPr>
      <w:r>
        <w:rPr>
          <w:rFonts w:ascii="方正仿宋_GBK" w:hAnsi="方正仿宋_GBK" w:eastAsia="方正仿宋_GBK" w:cs="方正仿宋_GBK"/>
          <w:b/>
          <w:bCs/>
          <w:color w:val="000000"/>
          <w:sz w:val="28"/>
          <w:szCs w:val="28"/>
        </w:rPr>
        <w:t>3</w:t>
      </w:r>
      <w:r>
        <w:rPr>
          <w:rFonts w:hint="eastAsia" w:ascii="方正仿宋_GBK" w:hAnsi="方正仿宋_GBK" w:eastAsia="方正仿宋_GBK" w:cs="方正仿宋_GBK"/>
          <w:b/>
          <w:bCs/>
          <w:color w:val="000000"/>
          <w:sz w:val="28"/>
          <w:szCs w:val="28"/>
        </w:rPr>
        <w:t>、退役军人专岗绩效目标表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绩效目标</w:t>
            </w:r>
          </w:p>
        </w:tc>
        <w:tc>
          <w:tcPr>
            <w:tcW w:w="12756" w:type="dxa"/>
            <w:tcBorders>
              <w:top w:val="single" w:color="000000" w:sz="6" w:space="0"/>
              <w:bottom w:val="single" w:color="FFFFFF" w:sz="6" w:space="0"/>
            </w:tcBorders>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r>
              <w:rPr>
                <w:rFonts w:hint="eastAsia"/>
              </w:rPr>
              <w:t>目标内容</w:t>
            </w:r>
            <w:r>
              <w:rPr>
                <w:rFonts w:hint="default"/>
              </w:rPr>
              <w:t>1</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一级指标</w:t>
            </w:r>
          </w:p>
        </w:tc>
        <w:tc>
          <w:tcPr>
            <w:tcW w:w="2268"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二级指标</w:t>
            </w:r>
          </w:p>
        </w:tc>
        <w:tc>
          <w:tcPr>
            <w:tcW w:w="28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三级指标</w:t>
            </w:r>
          </w:p>
        </w:tc>
        <w:tc>
          <w:tcPr>
            <w:tcW w:w="28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绩效指标描述</w:t>
            </w:r>
          </w:p>
        </w:tc>
        <w:tc>
          <w:tcPr>
            <w:tcW w:w="2551"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指标值</w:t>
            </w:r>
          </w:p>
        </w:tc>
        <w:tc>
          <w:tcPr>
            <w:tcW w:w="2268"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产出指标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数量指标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发放退役军人专岗工资人数</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发放退役军人专岗工资人数</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7</w:t>
            </w:r>
            <w:r>
              <w:rPr>
                <w:rFonts w:hint="eastAsia"/>
              </w:rPr>
              <w:t>人</w:t>
            </w:r>
          </w:p>
        </w:tc>
        <w:tc>
          <w:tcPr>
            <w:tcW w:w="2268" w:type="dxa"/>
            <w:vAlign w:val="center"/>
          </w:tcPr>
          <w:p>
            <w:pPr>
              <w:pStyle w:val="15"/>
              <w:keepNext w:val="0"/>
              <w:keepLines w:val="0"/>
              <w:widowControl/>
              <w:suppressLineNumbers w:val="0"/>
              <w:spacing w:before="0" w:beforeAutospacing="0" w:after="0" w:afterAutospacing="0"/>
              <w:ind w:left="0" w:leftChars="0" w:right="0" w:rightChars="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质量指标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发放完成率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按月发放</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12</w:t>
            </w:r>
            <w:r>
              <w:rPr>
                <w:rFonts w:hint="eastAsia"/>
              </w:rPr>
              <w:t>月</w:t>
            </w:r>
          </w:p>
        </w:tc>
        <w:tc>
          <w:tcPr>
            <w:tcW w:w="2268" w:type="dxa"/>
            <w:vAlign w:val="center"/>
          </w:tcPr>
          <w:p>
            <w:pPr>
              <w:pStyle w:val="15"/>
              <w:keepNext w:val="0"/>
              <w:keepLines w:val="0"/>
              <w:widowControl/>
              <w:suppressLineNumbers w:val="0"/>
              <w:spacing w:before="0" w:beforeAutospacing="0" w:after="0" w:afterAutospacing="0"/>
              <w:ind w:left="0" w:leftChars="0" w:right="0" w:rightChars="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时效指标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按时发放工资</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按时发放工资</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12</w:t>
            </w:r>
            <w:r>
              <w:rPr>
                <w:rFonts w:hint="eastAsia"/>
              </w:rPr>
              <w:t>月</w:t>
            </w:r>
          </w:p>
        </w:tc>
        <w:tc>
          <w:tcPr>
            <w:tcW w:w="2268" w:type="dxa"/>
            <w:vAlign w:val="center"/>
          </w:tcPr>
          <w:p>
            <w:pPr>
              <w:pStyle w:val="15"/>
              <w:keepNext w:val="0"/>
              <w:keepLines w:val="0"/>
              <w:widowControl/>
              <w:suppressLineNumbers w:val="0"/>
              <w:spacing w:before="0" w:beforeAutospacing="0" w:after="0" w:afterAutospacing="0"/>
              <w:ind w:left="0" w:leftChars="0" w:right="0" w:rightChars="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成本指标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经费预算</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工资、社会保险情况</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5"/>
              <w:keepNext w:val="0"/>
              <w:keepLines w:val="0"/>
              <w:widowControl/>
              <w:suppressLineNumbers w:val="0"/>
              <w:spacing w:before="0" w:beforeAutospacing="0" w:after="0" w:afterAutospacing="0"/>
              <w:ind w:left="0" w:leftChars="0" w:right="0" w:rightChars="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效益指标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经济效益指标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资金使用效益</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资金使用效益</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90</w:t>
            </w:r>
            <w:r>
              <w:rPr>
                <w:rFonts w:hint="eastAsia"/>
              </w:rPr>
              <w:t>比例</w:t>
            </w:r>
          </w:p>
        </w:tc>
        <w:tc>
          <w:tcPr>
            <w:tcW w:w="2268" w:type="dxa"/>
            <w:vAlign w:val="center"/>
          </w:tcPr>
          <w:p>
            <w:pPr>
              <w:pStyle w:val="15"/>
              <w:keepNext w:val="0"/>
              <w:keepLines w:val="0"/>
              <w:widowControl/>
              <w:suppressLineNumbers w:val="0"/>
              <w:spacing w:before="0" w:beforeAutospacing="0" w:after="0" w:afterAutospacing="0"/>
              <w:ind w:left="0" w:leftChars="0" w:right="0" w:rightChars="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社会效益指标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资金使用效益</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资金使用效益</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90</w:t>
            </w:r>
            <w:r>
              <w:rPr>
                <w:rFonts w:hint="eastAsia"/>
              </w:rPr>
              <w:t>比例</w:t>
            </w:r>
          </w:p>
        </w:tc>
        <w:tc>
          <w:tcPr>
            <w:tcW w:w="2268" w:type="dxa"/>
            <w:vAlign w:val="center"/>
          </w:tcPr>
          <w:p>
            <w:pPr>
              <w:pStyle w:val="15"/>
              <w:keepNext w:val="0"/>
              <w:keepLines w:val="0"/>
              <w:widowControl/>
              <w:suppressLineNumbers w:val="0"/>
              <w:spacing w:before="0" w:beforeAutospacing="0" w:after="0" w:afterAutospacing="0"/>
              <w:ind w:left="0" w:leftChars="0" w:right="0" w:rightChars="0"/>
              <w:rPr>
                <w:rFonts w:hint="default" w:cs="Times New Roman"/>
              </w:rPr>
            </w:pPr>
            <w:r>
              <w:rPr>
                <w:rFonts w:hint="eastAsia"/>
              </w:rPr>
              <w:t>是</w:t>
            </w: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可持续影响指标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持续保持职工权益</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保障职工社会保险正常缴纳</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保障专岗人员社会保险正常缴纳</w:t>
            </w:r>
          </w:p>
        </w:tc>
        <w:tc>
          <w:tcPr>
            <w:tcW w:w="2268" w:type="dxa"/>
            <w:vAlign w:val="center"/>
          </w:tcPr>
          <w:p>
            <w:pPr>
              <w:pStyle w:val="15"/>
              <w:keepNext w:val="0"/>
              <w:keepLines w:val="0"/>
              <w:widowControl/>
              <w:suppressLineNumbers w:val="0"/>
              <w:spacing w:before="0" w:beforeAutospacing="0" w:after="0" w:afterAutospacing="0"/>
              <w:ind w:left="0" w:leftChars="0" w:right="0" w:rightChars="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keepNext w:val="0"/>
              <w:keepLines w:val="0"/>
              <w:widowControl/>
              <w:suppressLineNumbers w:val="0"/>
              <w:spacing w:before="0" w:beforeAutospacing="0" w:after="0" w:afterAutospacing="0"/>
              <w:ind w:left="0" w:right="0"/>
              <w:rPr>
                <w:rFonts w:hint="default" w:cs="Times New Roman"/>
              </w:rPr>
            </w:pPr>
            <w:r>
              <w:rPr>
                <w:rFonts w:hint="eastAsia"/>
              </w:rPr>
              <w:t>满意度指标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服务对象满意度指标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服务对象满意率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专岗人员满意率</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90</w:t>
            </w:r>
            <w:r>
              <w:rPr>
                <w:rFonts w:hint="eastAsia"/>
              </w:rPr>
              <w:t>服务对象满意度</w:t>
            </w:r>
          </w:p>
        </w:tc>
        <w:tc>
          <w:tcPr>
            <w:tcW w:w="2268" w:type="dxa"/>
            <w:vAlign w:val="center"/>
          </w:tcPr>
          <w:p>
            <w:pPr>
              <w:pStyle w:val="15"/>
              <w:keepNext w:val="0"/>
              <w:keepLines w:val="0"/>
              <w:widowControl/>
              <w:suppressLineNumbers w:val="0"/>
              <w:spacing w:before="0" w:beforeAutospacing="0" w:after="0" w:afterAutospacing="0"/>
              <w:ind w:left="0" w:leftChars="0" w:right="0" w:rightChars="0"/>
              <w:rPr>
                <w:rFonts w:hint="default" w:cs="Times New Roman"/>
              </w:rPr>
            </w:pPr>
            <w:r>
              <w:rPr>
                <w:rFonts w:hint="default"/>
              </w:rPr>
              <w:t>隆尧县人民政府专题会议纪要</w:t>
            </w:r>
          </w:p>
        </w:tc>
      </w:tr>
    </w:tbl>
    <w:p>
      <w:pPr>
        <w:sectPr>
          <w:pgSz w:w="16840" w:h="11900" w:orient="landscape"/>
          <w:pgMar w:top="1361" w:right="1020" w:bottom="1134" w:left="1020" w:header="720" w:footer="720" w:gutter="0"/>
          <w:cols w:space="720" w:num="1"/>
        </w:sectPr>
      </w:pPr>
    </w:p>
    <w:p>
      <w:pPr>
        <w:spacing w:before="10" w:after="10"/>
        <w:ind w:firstLine="320" w:firstLineChars="100"/>
        <w:outlineLvl w:val="2"/>
      </w:pPr>
      <w:r>
        <w:rPr>
          <w:rFonts w:hint="eastAsia"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w:t>
      </w:r>
      <w:r>
        <w:rPr>
          <w:rFonts w:hint="eastAsia" w:eastAsia="方正仿宋_GBK" w:cs="方正仿宋_GBK"/>
          <w:color w:val="000000"/>
          <w:sz w:val="28"/>
          <w:szCs w:val="28"/>
        </w:rPr>
        <w:t>年，隆尧县供销合作社安排政府采购预算</w:t>
      </w:r>
      <w:r>
        <w:rPr>
          <w:rFonts w:eastAsia="方正仿宋_GBK"/>
          <w:color w:val="000000"/>
          <w:sz w:val="28"/>
          <w:szCs w:val="28"/>
        </w:rPr>
        <w:t>0.00</w:t>
      </w:r>
      <w:r>
        <w:rPr>
          <w:rFonts w:hint="eastAsia" w:eastAsia="方正仿宋_GBK" w:cs="方正仿宋_GBK"/>
          <w:color w:val="000000"/>
          <w:sz w:val="28"/>
          <w:szCs w:val="28"/>
        </w:rPr>
        <w:t>万元。具体内容见下表。</w:t>
      </w:r>
    </w:p>
    <w:p>
      <w:pPr>
        <w:jc w:val="center"/>
        <w:rPr>
          <w:rFonts w:hint="eastAsia" w:ascii="方正小标宋_GBK" w:hAnsi="方正小标宋_GBK" w:eastAsia="方正小标宋_GBK" w:cs="方正小标宋_GBK"/>
          <w:color w:val="000000"/>
          <w:sz w:val="36"/>
          <w:szCs w:val="36"/>
        </w:rPr>
      </w:pPr>
    </w:p>
    <w:p>
      <w:pPr>
        <w:jc w:val="center"/>
      </w:pPr>
      <w:r>
        <w:rPr>
          <w:rFonts w:hint="eastAsia" w:ascii="方正小标宋_GBK" w:hAnsi="方正小标宋_GBK" w:eastAsia="方正小标宋_GBK" w:cs="方正小标宋_GBK"/>
          <w:color w:val="000000"/>
          <w:sz w:val="36"/>
          <w:szCs w:val="36"/>
        </w:rPr>
        <w:t>部门政府采购预算</w:t>
      </w:r>
    </w:p>
    <w:tbl>
      <w:tblPr>
        <w:tblStyle w:val="7"/>
        <w:tblpPr w:leftFromText="180" w:rightFromText="180" w:vertAnchor="text" w:horzAnchor="page" w:tblpX="1442" w:tblpY="481"/>
        <w:tblOverlap w:val="never"/>
        <w:tblW w:w="1474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3"/>
        <w:gridCol w:w="964"/>
        <w:gridCol w:w="1134"/>
        <w:gridCol w:w="1134"/>
        <w:gridCol w:w="709"/>
        <w:gridCol w:w="850"/>
        <w:gridCol w:w="850"/>
        <w:gridCol w:w="964"/>
        <w:gridCol w:w="964"/>
        <w:gridCol w:w="964"/>
        <w:gridCol w:w="964"/>
        <w:gridCol w:w="964"/>
        <w:gridCol w:w="964"/>
        <w:gridCol w:w="964"/>
        <w:gridCol w:w="964"/>
        <w:gridCol w:w="5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tblHeader/>
        </w:trPr>
        <w:tc>
          <w:tcPr>
            <w:tcW w:w="6434" w:type="dxa"/>
            <w:gridSpan w:val="7"/>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default"/>
              </w:rPr>
              <w:t>975</w:t>
            </w:r>
            <w:r>
              <w:rPr>
                <w:rFonts w:hint="eastAsia"/>
              </w:rPr>
              <w:t>隆尧县供销合作社</w:t>
            </w:r>
          </w:p>
        </w:tc>
        <w:tc>
          <w:tcPr>
            <w:tcW w:w="8311" w:type="dxa"/>
            <w:gridSpan w:val="9"/>
            <w:tcBorders>
              <w:top w:val="single" w:color="FFFFFF" w:sz="6" w:space="0"/>
              <w:left w:val="single" w:color="FFFFFF" w:sz="6" w:space="0"/>
              <w:right w:val="single" w:color="FFFFFF" w:sz="6" w:space="0"/>
            </w:tcBorders>
            <w:vAlign w:val="center"/>
          </w:tcPr>
          <w:p>
            <w:pPr>
              <w:pStyle w:val="27"/>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1757" w:type="dxa"/>
            <w:gridSpan w:val="2"/>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政府采购项目来源</w:t>
            </w:r>
          </w:p>
        </w:tc>
        <w:tc>
          <w:tcPr>
            <w:tcW w:w="1134"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采购物品名称</w:t>
            </w:r>
          </w:p>
        </w:tc>
        <w:tc>
          <w:tcPr>
            <w:tcW w:w="1134"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政府采购目录序号</w:t>
            </w:r>
          </w:p>
        </w:tc>
        <w:tc>
          <w:tcPr>
            <w:tcW w:w="709"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计量</w:t>
            </w:r>
            <w:r>
              <w:rPr>
                <w:rFonts w:hint="default"/>
              </w:rPr>
              <w:t xml:space="preserve">  </w:t>
            </w:r>
            <w:r>
              <w:rPr>
                <w:rFonts w:hint="eastAsia"/>
              </w:rPr>
              <w:t>单位</w:t>
            </w:r>
          </w:p>
        </w:tc>
        <w:tc>
          <w:tcPr>
            <w:tcW w:w="850"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数量</w:t>
            </w:r>
          </w:p>
        </w:tc>
        <w:tc>
          <w:tcPr>
            <w:tcW w:w="850"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单价</w:t>
            </w:r>
          </w:p>
        </w:tc>
        <w:tc>
          <w:tcPr>
            <w:tcW w:w="7712" w:type="dxa"/>
            <w:gridSpan w:val="8"/>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政府采购金额（当年部门预算安排资金）</w:t>
            </w:r>
          </w:p>
        </w:tc>
        <w:tc>
          <w:tcPr>
            <w:tcW w:w="599" w:type="dxa"/>
            <w:vMerge w:val="restart"/>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default"/>
              </w:rPr>
              <w:t>2022</w:t>
            </w:r>
            <w:r>
              <w:rPr>
                <w:rFonts w:hint="eastAsia"/>
              </w:rPr>
              <w:t>年</w:t>
            </w:r>
            <w:r>
              <w:rPr>
                <w:rFonts w:hint="default"/>
              </w:rPr>
              <w:t xml:space="preserve">  </w:t>
            </w:r>
            <w:r>
              <w:rPr>
                <w:rFonts w:hint="eastAsia"/>
              </w:rPr>
              <w:t>预留中</w:t>
            </w:r>
            <w:r>
              <w:rPr>
                <w:rFonts w:hint="default"/>
              </w:rPr>
              <w:t xml:space="preserve">  </w:t>
            </w:r>
            <w:r>
              <w:rPr>
                <w:rFonts w:hint="eastAsia"/>
              </w:rPr>
              <w:t>小微企</w:t>
            </w:r>
            <w:r>
              <w:rPr>
                <w:rFonts w:hint="default"/>
              </w:rP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793"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项目名称</w:t>
            </w: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预算</w:t>
            </w:r>
            <w:r>
              <w:rPr>
                <w:rFonts w:hint="default"/>
              </w:rPr>
              <w:t xml:space="preserve">    </w:t>
            </w:r>
            <w:r>
              <w:rPr>
                <w:rFonts w:hint="eastAsia"/>
              </w:rPr>
              <w:t>资金</w:t>
            </w: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709"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一般公共预算拨款</w:t>
            </w: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基金预算拨款</w:t>
            </w: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国有资本经营预算拨款</w:t>
            </w: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财政专户核拨</w:t>
            </w: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单位</w:t>
            </w:r>
            <w:r>
              <w:rPr>
                <w:rFonts w:hint="default"/>
              </w:rPr>
              <w:t xml:space="preserve">    </w:t>
            </w:r>
            <w:r>
              <w:rPr>
                <w:rFonts w:hint="eastAsia"/>
              </w:rPr>
              <w:t>资金</w:t>
            </w: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财政拨</w:t>
            </w:r>
            <w:r>
              <w:rPr>
                <w:rFonts w:hint="default"/>
              </w:rPr>
              <w:t xml:space="preserve">    </w:t>
            </w:r>
            <w:r>
              <w:rPr>
                <w:rFonts w:hint="eastAsia"/>
              </w:rPr>
              <w:t>款结转</w:t>
            </w: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非财政</w:t>
            </w:r>
            <w:r>
              <w:rPr>
                <w:rFonts w:hint="default"/>
              </w:rPr>
              <w:t xml:space="preserve">    </w:t>
            </w:r>
            <w:r>
              <w:rPr>
                <w:rFonts w:hint="eastAsia"/>
              </w:rPr>
              <w:t>拨款结</w:t>
            </w:r>
            <w:r>
              <w:rPr>
                <w:rFonts w:hint="default"/>
              </w:rPr>
              <w:t xml:space="preserve">    </w:t>
            </w:r>
            <w:r>
              <w:rPr>
                <w:rFonts w:hint="eastAsia"/>
              </w:rPr>
              <w:t>转结余</w:t>
            </w:r>
          </w:p>
        </w:tc>
        <w:tc>
          <w:tcPr>
            <w:tcW w:w="599"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37" w:hRule="atLeast"/>
        </w:trPr>
        <w:tc>
          <w:tcPr>
            <w:tcW w:w="793"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1134"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1134" w:type="dxa"/>
            <w:vAlign w:val="center"/>
          </w:tcPr>
          <w:p>
            <w:pPr>
              <w:pStyle w:val="15"/>
              <w:keepNext w:val="0"/>
              <w:keepLines w:val="0"/>
              <w:widowControl/>
              <w:suppressLineNumbers w:val="0"/>
              <w:spacing w:before="0" w:beforeAutospacing="0" w:after="0" w:afterAutospacing="0"/>
              <w:ind w:left="0" w:right="0"/>
              <w:rPr>
                <w:rFonts w:hint="default" w:cs="Times New Roman"/>
              </w:rPr>
            </w:pPr>
          </w:p>
        </w:tc>
        <w:tc>
          <w:tcPr>
            <w:tcW w:w="709"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850"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850"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c>
          <w:tcPr>
            <w:tcW w:w="599"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bl>
    <w:p>
      <w:pPr>
        <w:spacing w:line="500" w:lineRule="exact"/>
        <w:ind w:firstLine="420"/>
      </w:pPr>
      <w:r>
        <w:rPr>
          <w:rFonts w:hint="eastAsia"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2"/>
      </w:pPr>
      <w:r>
        <w:rPr>
          <w:rFonts w:hint="eastAsia" w:ascii="黑体" w:hAnsi="黑体" w:eastAsia="黑体" w:cs="黑体"/>
          <w:color w:val="000000"/>
          <w:sz w:val="32"/>
          <w:szCs w:val="32"/>
        </w:rPr>
        <w:t>七、国有资产信息</w:t>
      </w:r>
    </w:p>
    <w:p>
      <w:pPr>
        <w:spacing w:line="500" w:lineRule="exact"/>
        <w:ind w:firstLine="560"/>
      </w:pPr>
      <w:r>
        <w:rPr>
          <w:rFonts w:hint="eastAsia" w:eastAsia="方正仿宋_GBK" w:cs="方正仿宋_GBK"/>
          <w:color w:val="000000"/>
          <w:sz w:val="28"/>
          <w:szCs w:val="28"/>
        </w:rPr>
        <w:t>隆尧县供销合作社（含所属单位）上年末固定资产金额为</w:t>
      </w:r>
      <w:r>
        <w:rPr>
          <w:rFonts w:eastAsia="方正仿宋_GBK"/>
          <w:color w:val="000000"/>
          <w:sz w:val="28"/>
          <w:szCs w:val="28"/>
        </w:rPr>
        <w:t>292.43</w:t>
      </w:r>
      <w:r>
        <w:rPr>
          <w:rFonts w:hint="eastAsia" w:eastAsia="方正仿宋_GBK" w:cs="方正仿宋_GBK"/>
          <w:color w:val="000000"/>
          <w:sz w:val="28"/>
          <w:szCs w:val="28"/>
        </w:rPr>
        <w:t>万元（详见下表）。本年度拟购置固定资产总额为</w:t>
      </w:r>
      <w:r>
        <w:rPr>
          <w:rFonts w:eastAsia="方正仿宋_GBK"/>
          <w:color w:val="000000"/>
          <w:sz w:val="28"/>
          <w:szCs w:val="28"/>
        </w:rPr>
        <w:t>0.00</w:t>
      </w:r>
      <w:r>
        <w:rPr>
          <w:rFonts w:hint="eastAsia" w:eastAsia="方正仿宋_GBK" w:cs="方正仿宋_GBK"/>
          <w:color w:val="000000"/>
          <w:sz w:val="28"/>
          <w:szCs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szCs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default"/>
              </w:rPr>
              <w:t>975</w:t>
            </w:r>
            <w:r>
              <w:rPr>
                <w:rFonts w:hint="eastAsia"/>
              </w:rPr>
              <w:t>隆尧县供销合作社</w:t>
            </w:r>
          </w:p>
        </w:tc>
        <w:tc>
          <w:tcPr>
            <w:tcW w:w="5669" w:type="dxa"/>
            <w:gridSpan w:val="2"/>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rPr>
            </w:pPr>
            <w:r>
              <w:rPr>
                <w:rFonts w:hint="eastAsia"/>
              </w:rPr>
              <w:t>截止时间：</w:t>
            </w:r>
            <w:r>
              <w:rPr>
                <w:rFonts w:hint="default"/>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28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数量</w:t>
            </w:r>
          </w:p>
        </w:tc>
        <w:tc>
          <w:tcPr>
            <w:tcW w:w="2835" w:type="dxa"/>
            <w:vAlign w:val="center"/>
          </w:tcPr>
          <w:p>
            <w:pPr>
              <w:pStyle w:val="13"/>
              <w:keepNext w:val="0"/>
              <w:keepLines w:val="0"/>
              <w:widowControl/>
              <w:suppressLineNumbers w:val="0"/>
              <w:spacing w:before="0" w:beforeAutospacing="0" w:after="0" w:afterAutospacing="0"/>
              <w:ind w:left="0" w:right="0"/>
              <w:rPr>
                <w:rFonts w:hint="default" w:cs="Times New Roman"/>
              </w:rPr>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资产总额</w:t>
            </w:r>
          </w:p>
        </w:tc>
        <w:tc>
          <w:tcPr>
            <w:tcW w:w="2835"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835"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1</w:t>
            </w:r>
            <w:r>
              <w:rPr>
                <w:rFonts w:hint="eastAsia"/>
              </w:rPr>
              <w:t>、房屋（平方米）</w:t>
            </w:r>
          </w:p>
        </w:tc>
        <w:tc>
          <w:tcPr>
            <w:tcW w:w="2835"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1300</w:t>
            </w:r>
          </w:p>
        </w:tc>
        <w:tc>
          <w:tcPr>
            <w:tcW w:w="2835"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　　其中：办公用房（平方米）</w:t>
            </w:r>
          </w:p>
        </w:tc>
        <w:tc>
          <w:tcPr>
            <w:tcW w:w="2835"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1300</w:t>
            </w:r>
          </w:p>
        </w:tc>
        <w:tc>
          <w:tcPr>
            <w:tcW w:w="2835" w:type="dxa"/>
            <w:vAlign w:val="center"/>
          </w:tcPr>
          <w:p>
            <w:pPr>
              <w:pStyle w:val="14"/>
              <w:keepNext w:val="0"/>
              <w:keepLines w:val="0"/>
              <w:widowControl/>
              <w:suppressLineNumbers w:val="0"/>
              <w:spacing w:before="0" w:beforeAutospacing="0" w:after="0" w:afterAutospacing="0"/>
              <w:ind w:left="0" w:right="0"/>
              <w:rPr>
                <w:rFonts w:hint="default"/>
              </w:rPr>
            </w:pPr>
            <w:r>
              <w:rPr>
                <w:rFonts w:hint="default"/>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2</w:t>
            </w:r>
            <w:r>
              <w:rPr>
                <w:rFonts w:hint="eastAsia"/>
              </w:rPr>
              <w:t>、车辆（台、辆）</w:t>
            </w:r>
          </w:p>
        </w:tc>
        <w:tc>
          <w:tcPr>
            <w:tcW w:w="2835"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3</w:t>
            </w:r>
            <w:r>
              <w:rPr>
                <w:rFonts w:hint="eastAsia"/>
              </w:rPr>
              <w:t>、单价在</w:t>
            </w:r>
            <w:r>
              <w:rPr>
                <w:rFonts w:hint="default"/>
              </w:rPr>
              <w:t>20</w:t>
            </w:r>
            <w:r>
              <w:rPr>
                <w:rFonts w:hint="eastAsia"/>
              </w:rPr>
              <w:t>万元以上的设备</w:t>
            </w:r>
          </w:p>
        </w:tc>
        <w:tc>
          <w:tcPr>
            <w:tcW w:w="2835"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4</w:t>
            </w:r>
            <w:r>
              <w:rPr>
                <w:rFonts w:hint="eastAsia"/>
              </w:rPr>
              <w:t>、其他固定资产</w:t>
            </w:r>
          </w:p>
        </w:tc>
        <w:tc>
          <w:tcPr>
            <w:tcW w:w="2835"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rPr>
            </w:pPr>
          </w:p>
        </w:tc>
      </w:tr>
    </w:tbl>
    <w:p>
      <w:pPr>
        <w:ind w:firstLine="640"/>
      </w:pPr>
    </w:p>
    <w:p>
      <w:pPr>
        <w:bidi w:val="0"/>
        <w:rPr>
          <w:rFonts w:ascii="Times New Roman" w:hAnsi="Times New Roman" w:eastAsia="宋体" w:cs="Times New Roman"/>
          <w:kern w:val="0"/>
          <w:sz w:val="24"/>
          <w:szCs w:val="24"/>
          <w:lang w:val="en-US" w:eastAsia="uk-UA" w:bidi="ar-SA"/>
        </w:rPr>
      </w:pPr>
    </w:p>
    <w:p>
      <w:pPr>
        <w:bidi w:val="0"/>
        <w:rPr>
          <w:lang w:val="en-US" w:eastAsia="uk-UA"/>
        </w:rPr>
      </w:pPr>
    </w:p>
    <w:p>
      <w:pPr>
        <w:spacing w:before="10" w:after="10"/>
        <w:ind w:firstLine="640"/>
        <w:outlineLvl w:val="5"/>
      </w:pPr>
      <w:r>
        <w:rPr>
          <w:rFonts w:hint="eastAsia"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hint="eastAsia" w:eastAsia="方正仿宋_GBK" w:cs="方正仿宋_GBK"/>
          <w:color w:val="000000"/>
          <w:sz w:val="28"/>
          <w:szCs w:val="28"/>
        </w:rPr>
        <w:t>、</w:t>
      </w:r>
      <w:r>
        <w:rPr>
          <w:rFonts w:hint="eastAsia" w:eastAsia="方正仿宋_GBK" w:cs="方正仿宋_GBK"/>
          <w:b/>
          <w:bCs/>
          <w:color w:val="000000"/>
          <w:sz w:val="28"/>
          <w:szCs w:val="28"/>
        </w:rPr>
        <w:t>一般公共预算拨款收入：</w:t>
      </w:r>
      <w:r>
        <w:rPr>
          <w:rFonts w:hint="eastAsia" w:eastAsia="方正仿宋_GBK" w:cs="方正仿宋_GBK"/>
          <w:color w:val="000000"/>
          <w:sz w:val="28"/>
          <w:szCs w:val="28"/>
        </w:rPr>
        <w:t>指</w:t>
      </w:r>
      <w:r>
        <w:rPr>
          <w:rFonts w:hint="eastAsia" w:eastAsia="方正仿宋_GBK" w:cs="方正仿宋_GBK"/>
          <w:color w:val="000000"/>
          <w:sz w:val="28"/>
          <w:szCs w:val="28"/>
          <w:lang w:val="en-US" w:eastAsia="zh-CN"/>
        </w:rPr>
        <w:t>县</w:t>
      </w:r>
      <w:r>
        <w:rPr>
          <w:rFonts w:hint="eastAsia" w:eastAsia="方正仿宋_GBK" w:cs="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hint="eastAsia" w:eastAsia="方正仿宋_GBK" w:cs="方正仿宋_GBK"/>
          <w:color w:val="000000"/>
          <w:sz w:val="28"/>
          <w:szCs w:val="28"/>
        </w:rPr>
        <w:t>、</w:t>
      </w:r>
      <w:r>
        <w:rPr>
          <w:rFonts w:hint="eastAsia" w:eastAsia="方正仿宋_GBK" w:cs="方正仿宋_GBK"/>
          <w:b/>
          <w:bCs/>
          <w:color w:val="000000"/>
          <w:sz w:val="28"/>
          <w:szCs w:val="28"/>
        </w:rPr>
        <w:t>事业收入：</w:t>
      </w:r>
      <w:r>
        <w:rPr>
          <w:rFonts w:hint="eastAsia" w:eastAsia="方正仿宋_GBK" w:cs="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hint="eastAsia" w:eastAsia="方正仿宋_GBK" w:cs="方正仿宋_GBK"/>
          <w:color w:val="000000"/>
          <w:sz w:val="28"/>
          <w:szCs w:val="28"/>
        </w:rPr>
        <w:t>、</w:t>
      </w:r>
      <w:r>
        <w:rPr>
          <w:rFonts w:hint="eastAsia" w:eastAsia="方正仿宋_GBK" w:cs="方正仿宋_GBK"/>
          <w:b/>
          <w:bCs/>
          <w:color w:val="000000"/>
          <w:sz w:val="28"/>
          <w:szCs w:val="28"/>
        </w:rPr>
        <w:t>其他收入：</w:t>
      </w:r>
      <w:r>
        <w:rPr>
          <w:rFonts w:hint="eastAsia" w:eastAsia="方正仿宋_GBK" w:cs="方正仿宋_GBK"/>
          <w:color w:val="000000"/>
          <w:sz w:val="28"/>
          <w:szCs w:val="28"/>
        </w:rPr>
        <w:t>指除</w:t>
      </w:r>
      <w:r>
        <w:rPr>
          <w:rFonts w:eastAsia="方正仿宋_GBK"/>
          <w:color w:val="000000"/>
          <w:sz w:val="28"/>
          <w:szCs w:val="28"/>
        </w:rPr>
        <w:t>“</w:t>
      </w:r>
      <w:r>
        <w:rPr>
          <w:rFonts w:hint="eastAsia" w:eastAsia="方正仿宋_GBK" w:cs="方正仿宋_GBK"/>
          <w:color w:val="000000"/>
          <w:sz w:val="28"/>
          <w:szCs w:val="28"/>
        </w:rPr>
        <w:t>一般公共预算拨款收入</w:t>
      </w:r>
      <w:r>
        <w:rPr>
          <w:rFonts w:eastAsia="方正仿宋_GBK"/>
          <w:color w:val="000000"/>
          <w:sz w:val="28"/>
          <w:szCs w:val="28"/>
        </w:rPr>
        <w:t>”</w:t>
      </w:r>
      <w:r>
        <w:rPr>
          <w:rFonts w:hint="eastAsia" w:eastAsia="方正仿宋_GBK" w:cs="方正仿宋_GBK"/>
          <w:color w:val="000000"/>
          <w:sz w:val="28"/>
          <w:szCs w:val="28"/>
        </w:rPr>
        <w:t>、</w:t>
      </w:r>
      <w:r>
        <w:rPr>
          <w:rFonts w:eastAsia="方正仿宋_GBK"/>
          <w:color w:val="000000"/>
          <w:sz w:val="28"/>
          <w:szCs w:val="28"/>
        </w:rPr>
        <w:t>“</w:t>
      </w:r>
      <w:r>
        <w:rPr>
          <w:rFonts w:hint="eastAsia" w:eastAsia="方正仿宋_GBK" w:cs="方正仿宋_GBK"/>
          <w:color w:val="000000"/>
          <w:sz w:val="28"/>
          <w:szCs w:val="28"/>
        </w:rPr>
        <w:t>事业收入</w:t>
      </w:r>
      <w:r>
        <w:rPr>
          <w:rFonts w:eastAsia="方正仿宋_GBK"/>
          <w:color w:val="000000"/>
          <w:sz w:val="28"/>
          <w:szCs w:val="28"/>
        </w:rPr>
        <w:t>”</w:t>
      </w:r>
      <w:r>
        <w:rPr>
          <w:rFonts w:hint="eastAsia" w:eastAsia="方正仿宋_GBK" w:cs="方正仿宋_GBK"/>
          <w:color w:val="000000"/>
          <w:sz w:val="28"/>
          <w:szCs w:val="28"/>
        </w:rPr>
        <w:t>等以外的收入。主要是按规定动用的租房收入、存款利息收入等。</w:t>
      </w:r>
    </w:p>
    <w:p>
      <w:pPr>
        <w:spacing w:line="500" w:lineRule="exact"/>
        <w:ind w:firstLine="560"/>
      </w:pPr>
      <w:r>
        <w:rPr>
          <w:rFonts w:eastAsia="方正仿宋_GBK"/>
          <w:color w:val="000000"/>
          <w:sz w:val="28"/>
          <w:szCs w:val="28"/>
        </w:rPr>
        <w:t>4</w:t>
      </w:r>
      <w:r>
        <w:rPr>
          <w:rFonts w:hint="eastAsia" w:eastAsia="方正仿宋_GBK" w:cs="方正仿宋_GBK"/>
          <w:color w:val="000000"/>
          <w:sz w:val="28"/>
          <w:szCs w:val="28"/>
        </w:rPr>
        <w:t>、</w:t>
      </w:r>
      <w:r>
        <w:rPr>
          <w:rFonts w:hint="eastAsia" w:eastAsia="方正仿宋_GBK" w:cs="方正仿宋_GBK"/>
          <w:b/>
          <w:bCs/>
          <w:color w:val="000000"/>
          <w:sz w:val="28"/>
          <w:szCs w:val="28"/>
        </w:rPr>
        <w:t>基本支出：</w:t>
      </w:r>
      <w:r>
        <w:rPr>
          <w:rFonts w:hint="eastAsia" w:eastAsia="方正仿宋_GBK" w:cs="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hint="eastAsia" w:eastAsia="方正仿宋_GBK" w:cs="方正仿宋_GBK"/>
          <w:color w:val="000000"/>
          <w:sz w:val="28"/>
          <w:szCs w:val="28"/>
        </w:rPr>
        <w:t>、</w:t>
      </w:r>
      <w:r>
        <w:rPr>
          <w:rFonts w:hint="eastAsia" w:eastAsia="方正仿宋_GBK" w:cs="方正仿宋_GBK"/>
          <w:b/>
          <w:bCs/>
          <w:color w:val="000000"/>
          <w:sz w:val="28"/>
          <w:szCs w:val="28"/>
        </w:rPr>
        <w:t>项目支出：</w:t>
      </w:r>
      <w:r>
        <w:rPr>
          <w:rFonts w:hint="eastAsia" w:eastAsia="方正仿宋_GBK" w:cs="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hint="eastAsia" w:eastAsia="方正仿宋_GBK" w:cs="方正仿宋_GBK"/>
          <w:color w:val="000000"/>
          <w:sz w:val="28"/>
          <w:szCs w:val="28"/>
        </w:rPr>
        <w:t>、</w:t>
      </w:r>
      <w:r>
        <w:rPr>
          <w:rFonts w:hint="eastAsia" w:eastAsia="方正仿宋_GBK" w:cs="方正仿宋_GBK"/>
          <w:b/>
          <w:bCs/>
          <w:color w:val="000000"/>
          <w:sz w:val="28"/>
          <w:szCs w:val="28"/>
        </w:rPr>
        <w:t>上缴上级支出：</w:t>
      </w:r>
      <w:r>
        <w:rPr>
          <w:rFonts w:hint="eastAsia" w:eastAsia="方正仿宋_GBK" w:cs="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hint="eastAsia" w:eastAsia="方正仿宋_GBK" w:cs="方正仿宋_GBK"/>
          <w:color w:val="000000"/>
          <w:sz w:val="28"/>
          <w:szCs w:val="28"/>
        </w:rPr>
        <w:t>、</w:t>
      </w:r>
      <w:r>
        <w:rPr>
          <w:rFonts w:eastAsia="方正仿宋_GBK"/>
          <w:b/>
          <w:bCs/>
          <w:color w:val="000000"/>
          <w:sz w:val="28"/>
          <w:szCs w:val="28"/>
        </w:rPr>
        <w:t>“</w:t>
      </w:r>
      <w:r>
        <w:rPr>
          <w:rFonts w:hint="eastAsia" w:eastAsia="方正仿宋_GBK" w:cs="方正仿宋_GBK"/>
          <w:b/>
          <w:bCs/>
          <w:color w:val="000000"/>
          <w:sz w:val="28"/>
          <w:szCs w:val="28"/>
        </w:rPr>
        <w:t>三公</w:t>
      </w:r>
      <w:r>
        <w:rPr>
          <w:rFonts w:eastAsia="方正仿宋_GBK"/>
          <w:b/>
          <w:bCs/>
          <w:color w:val="000000"/>
          <w:sz w:val="28"/>
          <w:szCs w:val="28"/>
        </w:rPr>
        <w:t>”</w:t>
      </w:r>
      <w:r>
        <w:rPr>
          <w:rFonts w:hint="eastAsia" w:eastAsia="方正仿宋_GBK" w:cs="方正仿宋_GBK"/>
          <w:b/>
          <w:bCs/>
          <w:color w:val="000000"/>
          <w:sz w:val="28"/>
          <w:szCs w:val="28"/>
        </w:rPr>
        <w:t>经费：</w:t>
      </w:r>
      <w:r>
        <w:rPr>
          <w:rFonts w:hint="eastAsia" w:eastAsia="方正仿宋_GBK" w:cs="方正仿宋_GBK"/>
          <w:color w:val="000000"/>
          <w:sz w:val="28"/>
          <w:szCs w:val="28"/>
        </w:rPr>
        <w:t>纳入</w:t>
      </w:r>
      <w:r>
        <w:rPr>
          <w:rFonts w:hint="eastAsia" w:eastAsia="方正仿宋_GBK" w:cs="方正仿宋_GBK"/>
          <w:color w:val="000000"/>
          <w:sz w:val="28"/>
          <w:szCs w:val="28"/>
          <w:lang w:val="en-US" w:eastAsia="zh-CN"/>
        </w:rPr>
        <w:t>县</w:t>
      </w:r>
      <w:r>
        <w:rPr>
          <w:rFonts w:hint="eastAsia" w:eastAsia="方正仿宋_GBK" w:cs="方正仿宋_GBK"/>
          <w:color w:val="000000"/>
          <w:sz w:val="28"/>
          <w:szCs w:val="28"/>
        </w:rPr>
        <w:t>级财政预算管理的</w:t>
      </w:r>
      <w:r>
        <w:rPr>
          <w:rFonts w:eastAsia="方正仿宋_GBK"/>
          <w:color w:val="000000"/>
          <w:sz w:val="28"/>
          <w:szCs w:val="28"/>
        </w:rPr>
        <w:t>“</w:t>
      </w:r>
      <w:r>
        <w:rPr>
          <w:rFonts w:hint="eastAsia" w:eastAsia="方正仿宋_GBK" w:cs="方正仿宋_GBK"/>
          <w:color w:val="000000"/>
          <w:sz w:val="28"/>
          <w:szCs w:val="28"/>
        </w:rPr>
        <w:t>三公</w:t>
      </w:r>
      <w:r>
        <w:rPr>
          <w:rFonts w:eastAsia="方正仿宋_GBK"/>
          <w:color w:val="000000"/>
          <w:sz w:val="28"/>
          <w:szCs w:val="28"/>
        </w:rPr>
        <w:t>”</w:t>
      </w:r>
      <w:r>
        <w:rPr>
          <w:rFonts w:hint="eastAsia" w:eastAsia="方正仿宋_GBK" w:cs="方正仿宋_GBK"/>
          <w:color w:val="000000"/>
          <w:sz w:val="28"/>
          <w:szCs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szCs w:val="28"/>
        </w:rPr>
        <w:t>8</w:t>
      </w:r>
      <w:r>
        <w:rPr>
          <w:rFonts w:hint="eastAsia" w:eastAsia="方正仿宋_GBK" w:cs="方正仿宋_GBK"/>
          <w:color w:val="000000"/>
          <w:sz w:val="28"/>
          <w:szCs w:val="28"/>
        </w:rPr>
        <w:t>、</w:t>
      </w:r>
      <w:r>
        <w:rPr>
          <w:rFonts w:hint="eastAsia" w:eastAsia="方正仿宋_GBK" w:cs="方正仿宋_GBK"/>
          <w:b/>
          <w:bCs/>
          <w:color w:val="000000"/>
          <w:sz w:val="28"/>
          <w:szCs w:val="28"/>
        </w:rPr>
        <w:t>机关运行费：</w:t>
      </w:r>
      <w:r>
        <w:rPr>
          <w:rFonts w:hint="eastAsia" w:eastAsia="方正仿宋_GBK" w:cs="方正仿宋_GBK"/>
          <w:color w:val="000000"/>
          <w:sz w:val="28"/>
          <w:szCs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hint="eastAsia" w:eastAsia="方正仿宋_GBK" w:cs="方正仿宋_GBK"/>
          <w:color w:val="000000"/>
          <w:sz w:val="28"/>
          <w:szCs w:val="28"/>
        </w:rPr>
        <w:t>、</w:t>
      </w:r>
      <w:r>
        <w:rPr>
          <w:rFonts w:hint="eastAsia" w:eastAsia="方正仿宋_GBK" w:cs="方正仿宋_GBK"/>
          <w:b/>
          <w:bCs/>
          <w:color w:val="000000"/>
          <w:sz w:val="28"/>
          <w:szCs w:val="28"/>
        </w:rPr>
        <w:t>上年结转：</w:t>
      </w:r>
      <w:r>
        <w:rPr>
          <w:rFonts w:hint="eastAsia" w:eastAsia="方正仿宋_GBK" w:cs="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hint="eastAsia" w:eastAsia="方正仿宋_GBK" w:cs="方正仿宋_GBK"/>
          <w:color w:val="000000"/>
          <w:sz w:val="28"/>
          <w:szCs w:val="28"/>
        </w:rPr>
        <w:t>、</w:t>
      </w:r>
      <w:r>
        <w:rPr>
          <w:rFonts w:hint="eastAsia" w:eastAsia="方正仿宋_GBK" w:cs="方正仿宋_GBK"/>
          <w:b/>
          <w:bCs/>
          <w:color w:val="000000"/>
          <w:sz w:val="28"/>
          <w:szCs w:val="28"/>
        </w:rPr>
        <w:t>事业单位经营支出：</w:t>
      </w:r>
      <w:r>
        <w:rPr>
          <w:rFonts w:hint="eastAsia" w:eastAsia="方正仿宋_GBK" w:cs="方正仿宋_GBK"/>
          <w:color w:val="000000"/>
          <w:sz w:val="28"/>
          <w:szCs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szCs w:val="32"/>
        </w:rPr>
        <w:t>九、其他需要说明的事项</w:t>
      </w:r>
    </w:p>
    <w:p>
      <w:pPr>
        <w:spacing w:line="500" w:lineRule="exact"/>
        <w:ind w:firstLine="560"/>
      </w:pPr>
      <w:r>
        <w:rPr>
          <w:rFonts w:hint="eastAsia" w:eastAsia="方正仿宋_GBK" w:cs="方正仿宋_GBK"/>
          <w:color w:val="000000"/>
          <w:sz w:val="28"/>
          <w:szCs w:val="28"/>
        </w:rPr>
        <w:t>我</w:t>
      </w:r>
      <w:r>
        <w:rPr>
          <w:rFonts w:hint="eastAsia" w:eastAsia="方正仿宋_GBK" w:cs="方正仿宋_GBK"/>
          <w:color w:val="000000"/>
          <w:sz w:val="28"/>
          <w:szCs w:val="28"/>
          <w:lang w:val="en-US" w:eastAsia="zh-CN"/>
        </w:rPr>
        <w:t>部门</w:t>
      </w:r>
      <w:r>
        <w:rPr>
          <w:rFonts w:hint="eastAsia" w:eastAsia="方正仿宋_GBK" w:cs="方正仿宋_GBK"/>
          <w:color w:val="000000"/>
          <w:sz w:val="28"/>
          <w:szCs w:val="28"/>
        </w:rPr>
        <w:t>无其他需要说明的事项。</w:t>
      </w:r>
    </w:p>
    <w:p>
      <w:pPr>
        <w:tabs>
          <w:tab w:val="left" w:pos="688"/>
        </w:tabs>
        <w:bidi w:val="0"/>
        <w:jc w:val="left"/>
        <w:rPr>
          <w:rFonts w:hint="eastAsia" w:eastAsia="宋体"/>
          <w:lang w:val="en-US" w:eastAsia="zh-CN"/>
        </w:rPr>
        <w:sectPr>
          <w:pgSz w:w="16840" w:h="11900" w:orient="landscape"/>
          <w:pgMar w:top="1361" w:right="1020" w:bottom="1134" w:left="1020" w:header="720" w:footer="720" w:gutter="0"/>
          <w:cols w:space="720" w:num="1"/>
        </w:sectPr>
      </w:pPr>
    </w:p>
    <w:p>
      <w:pPr>
        <w:tabs>
          <w:tab w:val="left" w:pos="793"/>
          <w:tab w:val="center" w:pos="7570"/>
        </w:tabs>
        <w:jc w:val="left"/>
      </w:pPr>
      <w:r>
        <w:rPr>
          <w:rFonts w:hint="eastAsia" w:ascii="方正小标宋_GBK" w:hAnsi="方正小标宋_GBK" w:eastAsia="方正小标宋_GBK" w:cs="方正小标宋_GBK"/>
          <w:color w:val="000000"/>
          <w:sz w:val="44"/>
          <w:szCs w:val="44"/>
          <w:lang w:eastAsia="zh-CN"/>
        </w:rPr>
        <w:tab/>
      </w:r>
      <w:r>
        <w:rPr>
          <w:rFonts w:ascii="方正小标宋_GBK" w:hAnsi="方正小标宋_GBK" w:eastAsia="方正小标宋_GBK" w:cs="方正小标宋_GBK"/>
          <w:color w:val="000000"/>
          <w:sz w:val="44"/>
          <w:szCs w:val="44"/>
        </w:rPr>
        <w:t xml:space="preserve"> </w:t>
      </w:r>
    </w:p>
    <w:p>
      <w:pPr>
        <w:jc w:val="center"/>
      </w:pPr>
      <w:r>
        <w:rPr>
          <w:rFonts w:ascii="方正小标宋_GBK" w:hAnsi="方正小标宋_GBK" w:eastAsia="方正小标宋_GBK" w:cs="方正小标宋_GBK"/>
          <w:color w:val="000000"/>
          <w:sz w:val="44"/>
          <w:szCs w:val="44"/>
        </w:rPr>
        <w:t xml:space="preserve"> </w:t>
      </w:r>
    </w:p>
    <w:p>
      <w:pPr>
        <w:jc w:val="center"/>
      </w:pPr>
      <w:r>
        <w:rPr>
          <w:rFonts w:ascii="方正小标宋_GBK" w:hAnsi="方正小标宋_GBK" w:eastAsia="方正小标宋_GBK" w:cs="方正小标宋_GBK"/>
          <w:color w:val="000000"/>
          <w:sz w:val="44"/>
          <w:szCs w:val="44"/>
        </w:rPr>
        <w:t xml:space="preserve"> </w:t>
      </w:r>
    </w:p>
    <w:p>
      <w:pPr>
        <w:jc w:val="center"/>
        <w:rPr>
          <w:rFonts w:hint="eastAsia" w:eastAsia="方正小标宋_GBK"/>
          <w:lang w:val="en-US" w:eastAsia="zh-CN"/>
        </w:rPr>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44"/>
          <w:szCs w:val="44"/>
        </w:rPr>
        <w:t xml:space="preserve"> </w:t>
      </w:r>
      <w:r>
        <w:rPr>
          <w:rFonts w:hint="eastAsia" w:ascii="方正小标宋_GBK" w:hAnsi="方正小标宋_GBK" w:eastAsia="方正小标宋_GBK" w:cs="方正小标宋_GBK"/>
          <w:color w:val="000000"/>
          <w:sz w:val="44"/>
          <w:szCs w:val="44"/>
          <w:lang w:val="en-US" w:eastAsia="zh-CN"/>
        </w:rPr>
        <w:t xml:space="preserve"> </w:t>
      </w:r>
    </w:p>
    <w:p>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4002EFF" w:usb1="C000E47F"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Vrinda">
    <w:altName w:val="Segoe UI Symbol"/>
    <w:panose1 w:val="020B0502040204020203"/>
    <w:charset w:val="00"/>
    <w:family w:val="swiss"/>
    <w:pitch w:val="default"/>
    <w:sig w:usb0="00000000" w:usb1="00000000" w:usb2="00000000" w:usb3="00000000" w:csb0="00000001" w:csb1="00000000"/>
  </w:font>
  <w:font w:name="Segoe UI Symbol">
    <w:panose1 w:val="020B0502040204020203"/>
    <w:charset w:val="00"/>
    <w:family w:val="auto"/>
    <w:pitch w:val="default"/>
    <w:sig w:usb0="800001E3" w:usb1="1200FFEF" w:usb2="00040000" w:usb3="04000000" w:csb0="0000000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720"/>
  <w:doNotHyphenateCaps/>
  <w:evenAndOddHeaders w:val="1"/>
  <w:displayHorizontalDrawingGridEvery w:val="0"/>
  <w:displayVerticalDrawingGridEvery w:val="2"/>
  <w:characterSpacingControl w:val="doNotCompress"/>
  <w:noLineBreaksAfter w:lang="zh-CN" w:val="$([{£¥·‘“〈《「『【〔〖〝﹙﹛﹝＄（．［｛￡￥"/>
  <w:noLineBreaksBefore w:lang="zh-CN" w:val="!%),.:;&gt;?]}¢¨°·ˇˉ―‖’”…‰′″›℃∶、。〃〉》」』】〕〗〞︶︺︾﹀﹄﹚﹜﹞！＂％＇），．：；？］｀｜｝～￠"/>
  <w:doNotValidateAgainstSchema/>
  <w:doNotDemarcateInvalidXml/>
  <w:compat>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GZiYjg2OWQzYWIwMGNhMDg3ZTgxYmMyMjNhMzAwOTQifQ=="/>
  </w:docVars>
  <w:rsids>
    <w:rsidRoot w:val="00D7039D"/>
    <w:rsid w:val="004672B9"/>
    <w:rsid w:val="004A43F8"/>
    <w:rsid w:val="00956A95"/>
    <w:rsid w:val="00D7039D"/>
    <w:rsid w:val="00DD3E70"/>
    <w:rsid w:val="00F567BF"/>
    <w:rsid w:val="00F97D1C"/>
    <w:rsid w:val="036F4D79"/>
    <w:rsid w:val="046248DD"/>
    <w:rsid w:val="05233DAA"/>
    <w:rsid w:val="06F37A6F"/>
    <w:rsid w:val="09000221"/>
    <w:rsid w:val="09293C1C"/>
    <w:rsid w:val="09D973F0"/>
    <w:rsid w:val="0AB303A7"/>
    <w:rsid w:val="0AD81455"/>
    <w:rsid w:val="0AE147AE"/>
    <w:rsid w:val="0B7C14C4"/>
    <w:rsid w:val="0BC65752"/>
    <w:rsid w:val="0DCF33B9"/>
    <w:rsid w:val="0E7F0D54"/>
    <w:rsid w:val="0F046CBD"/>
    <w:rsid w:val="1090632E"/>
    <w:rsid w:val="13272F7A"/>
    <w:rsid w:val="13CB5FFB"/>
    <w:rsid w:val="16B04879"/>
    <w:rsid w:val="198A7DBF"/>
    <w:rsid w:val="1C8C6544"/>
    <w:rsid w:val="1F7A0C8B"/>
    <w:rsid w:val="1FF561AE"/>
    <w:rsid w:val="21415B4F"/>
    <w:rsid w:val="223631D9"/>
    <w:rsid w:val="22C95DFC"/>
    <w:rsid w:val="22F866E1"/>
    <w:rsid w:val="235D6544"/>
    <w:rsid w:val="24521E21"/>
    <w:rsid w:val="24D80578"/>
    <w:rsid w:val="2504136D"/>
    <w:rsid w:val="26585A02"/>
    <w:rsid w:val="27846795"/>
    <w:rsid w:val="27B17796"/>
    <w:rsid w:val="280451E0"/>
    <w:rsid w:val="29464EDD"/>
    <w:rsid w:val="2AF14141"/>
    <w:rsid w:val="2B82123D"/>
    <w:rsid w:val="2C1F4CDE"/>
    <w:rsid w:val="2C534988"/>
    <w:rsid w:val="2CD45AC9"/>
    <w:rsid w:val="2E0423DE"/>
    <w:rsid w:val="2F897E46"/>
    <w:rsid w:val="315471D8"/>
    <w:rsid w:val="31B9528D"/>
    <w:rsid w:val="34401C96"/>
    <w:rsid w:val="34DF5338"/>
    <w:rsid w:val="35487054"/>
    <w:rsid w:val="36D13079"/>
    <w:rsid w:val="37C130EE"/>
    <w:rsid w:val="38FE7A29"/>
    <w:rsid w:val="3A287454"/>
    <w:rsid w:val="3ACD1DA9"/>
    <w:rsid w:val="3BA761B7"/>
    <w:rsid w:val="3DB66B25"/>
    <w:rsid w:val="3DE6565C"/>
    <w:rsid w:val="3E682515"/>
    <w:rsid w:val="40C003E6"/>
    <w:rsid w:val="40DF6392"/>
    <w:rsid w:val="40F167F2"/>
    <w:rsid w:val="410903BC"/>
    <w:rsid w:val="41D43A1D"/>
    <w:rsid w:val="43E238B2"/>
    <w:rsid w:val="4456696C"/>
    <w:rsid w:val="44D0260A"/>
    <w:rsid w:val="457B0D80"/>
    <w:rsid w:val="45BE6EBE"/>
    <w:rsid w:val="46421BCB"/>
    <w:rsid w:val="465515D1"/>
    <w:rsid w:val="475A2C17"/>
    <w:rsid w:val="481E1147"/>
    <w:rsid w:val="4AAF5028"/>
    <w:rsid w:val="4BA95F1B"/>
    <w:rsid w:val="4C115F9A"/>
    <w:rsid w:val="4C4243A5"/>
    <w:rsid w:val="4D21045F"/>
    <w:rsid w:val="4DCB3F26"/>
    <w:rsid w:val="4E6F51FA"/>
    <w:rsid w:val="4E820FA5"/>
    <w:rsid w:val="5052092F"/>
    <w:rsid w:val="50715259"/>
    <w:rsid w:val="50F47C38"/>
    <w:rsid w:val="51856AE2"/>
    <w:rsid w:val="51D57A6A"/>
    <w:rsid w:val="52F4294C"/>
    <w:rsid w:val="540E7263"/>
    <w:rsid w:val="55603AEE"/>
    <w:rsid w:val="55A97243"/>
    <w:rsid w:val="573D10D4"/>
    <w:rsid w:val="5A236E98"/>
    <w:rsid w:val="5B7025B1"/>
    <w:rsid w:val="5BC36DA3"/>
    <w:rsid w:val="5D7A7717"/>
    <w:rsid w:val="5DAA7FFC"/>
    <w:rsid w:val="5FF437B1"/>
    <w:rsid w:val="6051475F"/>
    <w:rsid w:val="60D84E80"/>
    <w:rsid w:val="60E76E71"/>
    <w:rsid w:val="616E30EF"/>
    <w:rsid w:val="620121B5"/>
    <w:rsid w:val="62854B94"/>
    <w:rsid w:val="62C3746A"/>
    <w:rsid w:val="62DA75BD"/>
    <w:rsid w:val="62E0626E"/>
    <w:rsid w:val="6ACA13F6"/>
    <w:rsid w:val="6B741C4A"/>
    <w:rsid w:val="6CCB3AEB"/>
    <w:rsid w:val="6E49116B"/>
    <w:rsid w:val="6E9543B1"/>
    <w:rsid w:val="6FD40F09"/>
    <w:rsid w:val="6FFA03B4"/>
    <w:rsid w:val="700215D2"/>
    <w:rsid w:val="70AD3C34"/>
    <w:rsid w:val="70BA00FF"/>
    <w:rsid w:val="70DC4F54"/>
    <w:rsid w:val="71357785"/>
    <w:rsid w:val="728679F6"/>
    <w:rsid w:val="72B868C0"/>
    <w:rsid w:val="745368A0"/>
    <w:rsid w:val="757965D9"/>
    <w:rsid w:val="76816FC9"/>
    <w:rsid w:val="77505319"/>
    <w:rsid w:val="77756B2D"/>
    <w:rsid w:val="77D47CF8"/>
    <w:rsid w:val="78085BF3"/>
    <w:rsid w:val="78F85C68"/>
    <w:rsid w:val="796055BB"/>
    <w:rsid w:val="798E037A"/>
    <w:rsid w:val="7A53266C"/>
    <w:rsid w:val="7A965738"/>
    <w:rsid w:val="7AF64429"/>
    <w:rsid w:val="7BDD624C"/>
    <w:rsid w:val="7E4D4360"/>
    <w:rsid w:val="7F623E3B"/>
    <w:rsid w:val="7F95421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qFormat="1" w:unhideWhenUsed="0" w:uiPriority="99" w:name="toc 3"/>
    <w:lsdException w:qFormat="1" w:unhideWhenUsed="0" w:uiPriority="99"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qFormat="1" w:unhideWhenUsed="0"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9">
    <w:name w:val="Default Paragraph Font"/>
    <w:semiHidden/>
    <w:qFormat/>
    <w:uiPriority w:val="99"/>
  </w:style>
  <w:style w:type="table" w:default="1" w:styleId="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Document Map"/>
    <w:basedOn w:val="1"/>
    <w:link w:val="32"/>
    <w:semiHidden/>
    <w:qFormat/>
    <w:uiPriority w:val="99"/>
    <w:pPr>
      <w:shd w:val="clear" w:color="auto" w:fill="000080"/>
    </w:pPr>
  </w:style>
  <w:style w:type="paragraph" w:styleId="3">
    <w:name w:val="toc 3"/>
    <w:basedOn w:val="1"/>
    <w:next w:val="1"/>
    <w:semiHidden/>
    <w:qFormat/>
    <w:uiPriority w:val="99"/>
    <w:pPr>
      <w:ind w:left="480"/>
    </w:pPr>
  </w:style>
  <w:style w:type="paragraph" w:styleId="4">
    <w:name w:val="toc 1"/>
    <w:basedOn w:val="1"/>
    <w:next w:val="1"/>
    <w:semiHidden/>
    <w:qFormat/>
    <w:uiPriority w:val="99"/>
    <w:pPr>
      <w:spacing w:before="120"/>
      <w:ind w:firstLine="560"/>
    </w:pPr>
    <w:rPr>
      <w:rFonts w:eastAsia="方正仿宋_GBK"/>
      <w:color w:val="000000"/>
      <w:sz w:val="28"/>
      <w:szCs w:val="28"/>
    </w:rPr>
  </w:style>
  <w:style w:type="paragraph" w:styleId="5">
    <w:name w:val="toc 4"/>
    <w:basedOn w:val="1"/>
    <w:next w:val="1"/>
    <w:semiHidden/>
    <w:qFormat/>
    <w:uiPriority w:val="99"/>
    <w:pPr>
      <w:ind w:left="720"/>
    </w:pPr>
  </w:style>
  <w:style w:type="paragraph" w:styleId="6">
    <w:name w:val="toc 2"/>
    <w:basedOn w:val="1"/>
    <w:next w:val="1"/>
    <w:semiHidden/>
    <w:qFormat/>
    <w:uiPriority w:val="99"/>
    <w:pPr>
      <w:ind w:left="240"/>
    </w:pPr>
  </w:style>
  <w:style w:type="table" w:styleId="8">
    <w:name w:val="Table Grid"/>
    <w:basedOn w:val="7"/>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99"/>
    <w:pPr>
      <w:jc w:val="right"/>
    </w:pPr>
    <w:rPr>
      <w:rFonts w:ascii="方正小标宋_GBK" w:hAnsi="方正小标宋_GBK" w:eastAsia="方正小标宋_GBK" w:cs="方正小标宋_GBK"/>
    </w:rPr>
  </w:style>
  <w:style w:type="paragraph" w:customStyle="1" w:styleId="11">
    <w:name w:val="单元格样式21"/>
    <w:basedOn w:val="1"/>
    <w:qFormat/>
    <w:uiPriority w:val="99"/>
    <w:pPr>
      <w:jc w:val="center"/>
    </w:pPr>
    <w:rPr>
      <w:rFonts w:ascii="方正小标宋_GBK" w:hAnsi="方正小标宋_GBK" w:eastAsia="方正小标宋_GBK" w:cs="方正小标宋_GBK"/>
    </w:rPr>
  </w:style>
  <w:style w:type="paragraph" w:customStyle="1" w:styleId="12">
    <w:name w:val="单元格样式20"/>
    <w:basedOn w:val="1"/>
    <w:qFormat/>
    <w:uiPriority w:val="99"/>
    <w:rPr>
      <w:rFonts w:ascii="方正小标宋_GBK" w:hAnsi="方正小标宋_GBK" w:eastAsia="方正小标宋_GBK" w:cs="方正小标宋_GBK"/>
    </w:rPr>
  </w:style>
  <w:style w:type="paragraph" w:customStyle="1" w:styleId="13">
    <w:name w:val="单元格样式1"/>
    <w:basedOn w:val="1"/>
    <w:qFormat/>
    <w:uiPriority w:val="99"/>
    <w:pPr>
      <w:jc w:val="center"/>
    </w:pPr>
    <w:rPr>
      <w:rFonts w:ascii="方正书宋_GBK" w:hAnsi="方正书宋_GBK" w:eastAsia="方正书宋_GBK" w:cs="方正书宋_GBK"/>
      <w:b/>
      <w:bCs/>
      <w:sz w:val="21"/>
      <w:szCs w:val="21"/>
    </w:rPr>
  </w:style>
  <w:style w:type="paragraph" w:customStyle="1" w:styleId="14">
    <w:name w:val="单元格样式4"/>
    <w:basedOn w:val="1"/>
    <w:qFormat/>
    <w:uiPriority w:val="99"/>
    <w:pPr>
      <w:jc w:val="right"/>
    </w:pPr>
    <w:rPr>
      <w:rFonts w:ascii="方正书宋_GBK" w:hAnsi="方正书宋_GBK" w:eastAsia="方正书宋_GBK" w:cs="方正书宋_GBK"/>
      <w:sz w:val="21"/>
      <w:szCs w:val="21"/>
    </w:rPr>
  </w:style>
  <w:style w:type="paragraph" w:customStyle="1" w:styleId="15">
    <w:name w:val="单元格样式2"/>
    <w:basedOn w:val="1"/>
    <w:qFormat/>
    <w:uiPriority w:val="99"/>
    <w:rPr>
      <w:rFonts w:ascii="方正书宋_GBK" w:hAnsi="方正书宋_GBK" w:eastAsia="方正书宋_GBK" w:cs="方正书宋_GBK"/>
      <w:sz w:val="21"/>
      <w:szCs w:val="21"/>
    </w:rPr>
  </w:style>
  <w:style w:type="paragraph" w:customStyle="1" w:styleId="16">
    <w:name w:val="单元格样式3"/>
    <w:basedOn w:val="1"/>
    <w:qFormat/>
    <w:uiPriority w:val="99"/>
    <w:pPr>
      <w:jc w:val="center"/>
    </w:pPr>
    <w:rPr>
      <w:rFonts w:ascii="方正书宋_GBK" w:hAnsi="方正书宋_GBK" w:eastAsia="方正书宋_GBK" w:cs="方正书宋_GBK"/>
      <w:sz w:val="21"/>
      <w:szCs w:val="21"/>
    </w:rPr>
  </w:style>
  <w:style w:type="paragraph" w:customStyle="1" w:styleId="17">
    <w:name w:val="单元格样式6"/>
    <w:basedOn w:val="1"/>
    <w:qFormat/>
    <w:uiPriority w:val="99"/>
    <w:pPr>
      <w:jc w:val="center"/>
    </w:pPr>
    <w:rPr>
      <w:rFonts w:ascii="方正书宋_GBK" w:hAnsi="方正书宋_GBK" w:eastAsia="方正书宋_GBK" w:cs="方正书宋_GBK"/>
      <w:b/>
      <w:bCs/>
      <w:sz w:val="21"/>
      <w:szCs w:val="21"/>
    </w:rPr>
  </w:style>
  <w:style w:type="paragraph" w:customStyle="1" w:styleId="18">
    <w:name w:val="单元格样式7"/>
    <w:basedOn w:val="1"/>
    <w:qFormat/>
    <w:uiPriority w:val="99"/>
    <w:pPr>
      <w:jc w:val="right"/>
    </w:pPr>
    <w:rPr>
      <w:rFonts w:ascii="方正书宋_GBK" w:hAnsi="方正书宋_GBK" w:eastAsia="方正书宋_GBK" w:cs="方正书宋_GBK"/>
      <w:b/>
      <w:bCs/>
      <w:sz w:val="21"/>
      <w:szCs w:val="21"/>
    </w:rPr>
  </w:style>
  <w:style w:type="paragraph" w:customStyle="1" w:styleId="19">
    <w:name w:val="单元格样式5"/>
    <w:basedOn w:val="1"/>
    <w:qFormat/>
    <w:uiPriority w:val="99"/>
    <w:rPr>
      <w:rFonts w:ascii="方正书宋_GBK" w:hAnsi="方正书宋_GBK" w:eastAsia="方正书宋_GBK" w:cs="方正书宋_GBK"/>
      <w:b/>
      <w:bCs/>
      <w:sz w:val="21"/>
      <w:szCs w:val="21"/>
    </w:rPr>
  </w:style>
  <w:style w:type="paragraph" w:customStyle="1" w:styleId="20">
    <w:name w:val="插入文本样式-插入部门职责文件"/>
    <w:basedOn w:val="1"/>
    <w:qFormat/>
    <w:uiPriority w:val="99"/>
    <w:pPr>
      <w:spacing w:line="500" w:lineRule="exact"/>
      <w:ind w:firstLine="560"/>
    </w:pPr>
    <w:rPr>
      <w:rFonts w:eastAsia="方正仿宋_GBK"/>
      <w:sz w:val="28"/>
      <w:szCs w:val="28"/>
    </w:rPr>
  </w:style>
  <w:style w:type="paragraph" w:customStyle="1" w:styleId="21">
    <w:name w:val="插入文本样式-插入预算公开部门预算安排的总体情况文件"/>
    <w:basedOn w:val="1"/>
    <w:qFormat/>
    <w:uiPriority w:val="99"/>
    <w:pPr>
      <w:spacing w:line="500" w:lineRule="exact"/>
      <w:ind w:firstLine="560"/>
    </w:pPr>
    <w:rPr>
      <w:rFonts w:eastAsia="方正仿宋_GBK"/>
      <w:sz w:val="28"/>
      <w:szCs w:val="28"/>
    </w:rPr>
  </w:style>
  <w:style w:type="paragraph" w:customStyle="1" w:styleId="22">
    <w:name w:val="插入文本样式-插入预算公开部门机关运行经费安排情况文件"/>
    <w:basedOn w:val="1"/>
    <w:qFormat/>
    <w:uiPriority w:val="99"/>
    <w:pPr>
      <w:spacing w:line="500" w:lineRule="exact"/>
      <w:ind w:firstLine="560"/>
    </w:pPr>
    <w:rPr>
      <w:rFonts w:eastAsia="方正仿宋_GBK"/>
      <w:sz w:val="28"/>
      <w:szCs w:val="28"/>
    </w:rPr>
  </w:style>
  <w:style w:type="paragraph" w:customStyle="1" w:styleId="23">
    <w:name w:val="插入文本样式-插入预算公开部门财政拨款三公经费预算情况及增减变化原因文件"/>
    <w:basedOn w:val="1"/>
    <w:qFormat/>
    <w:uiPriority w:val="99"/>
    <w:pPr>
      <w:spacing w:line="500" w:lineRule="exact"/>
      <w:ind w:firstLine="560"/>
    </w:pPr>
    <w:rPr>
      <w:rFonts w:eastAsia="方正仿宋_GBK"/>
      <w:sz w:val="28"/>
      <w:szCs w:val="28"/>
    </w:rPr>
  </w:style>
  <w:style w:type="paragraph" w:customStyle="1" w:styleId="24">
    <w:name w:val="插入文本样式-插入总体目标文件"/>
    <w:basedOn w:val="1"/>
    <w:qFormat/>
    <w:uiPriority w:val="99"/>
    <w:pPr>
      <w:spacing w:line="500" w:lineRule="exact"/>
      <w:ind w:firstLine="560"/>
    </w:pPr>
    <w:rPr>
      <w:rFonts w:eastAsia="方正仿宋_GBK"/>
      <w:sz w:val="28"/>
      <w:szCs w:val="28"/>
    </w:rPr>
  </w:style>
  <w:style w:type="paragraph" w:customStyle="1" w:styleId="25">
    <w:name w:val="插入文本样式-插入职责分类绩效目标文件"/>
    <w:basedOn w:val="1"/>
    <w:qFormat/>
    <w:uiPriority w:val="99"/>
    <w:pPr>
      <w:spacing w:line="500" w:lineRule="exact"/>
      <w:ind w:firstLine="560"/>
    </w:pPr>
    <w:rPr>
      <w:rFonts w:eastAsia="方正仿宋_GBK"/>
      <w:sz w:val="28"/>
      <w:szCs w:val="28"/>
    </w:rPr>
  </w:style>
  <w:style w:type="paragraph" w:customStyle="1" w:styleId="26">
    <w:name w:val="插入文本样式-插入实现年度发展规划目标的保障措施文件"/>
    <w:basedOn w:val="1"/>
    <w:qFormat/>
    <w:uiPriority w:val="99"/>
    <w:pPr>
      <w:spacing w:line="500" w:lineRule="exact"/>
      <w:ind w:firstLine="560"/>
    </w:pPr>
    <w:rPr>
      <w:rFonts w:eastAsia="方正仿宋_GBK"/>
      <w:sz w:val="28"/>
      <w:szCs w:val="28"/>
    </w:rPr>
  </w:style>
  <w:style w:type="paragraph" w:customStyle="1" w:styleId="27">
    <w:name w:val="单元格样式23"/>
    <w:basedOn w:val="1"/>
    <w:qFormat/>
    <w:uiPriority w:val="99"/>
    <w:pPr>
      <w:jc w:val="right"/>
    </w:pPr>
    <w:rPr>
      <w:rFonts w:ascii="方正书宋_GBK" w:hAnsi="方正书宋_GBK" w:eastAsia="方正书宋_GBK" w:cs="方正书宋_GBK"/>
    </w:rPr>
  </w:style>
  <w:style w:type="paragraph" w:customStyle="1" w:styleId="28">
    <w:name w:val="插入文本样式-插入单位职责文件"/>
    <w:basedOn w:val="1"/>
    <w:qFormat/>
    <w:uiPriority w:val="99"/>
    <w:pPr>
      <w:spacing w:line="500" w:lineRule="exact"/>
      <w:ind w:firstLine="560"/>
    </w:pPr>
    <w:rPr>
      <w:rFonts w:eastAsia="方正仿宋_GBK"/>
      <w:sz w:val="28"/>
      <w:szCs w:val="28"/>
    </w:rPr>
  </w:style>
  <w:style w:type="paragraph" w:customStyle="1" w:styleId="29">
    <w:name w:val="插入文本样式-插入预算公开单位预算安排的总体情况文件"/>
    <w:basedOn w:val="1"/>
    <w:qFormat/>
    <w:uiPriority w:val="99"/>
    <w:pPr>
      <w:spacing w:line="500" w:lineRule="exact"/>
      <w:ind w:firstLine="560"/>
    </w:pPr>
    <w:rPr>
      <w:rFonts w:eastAsia="方正仿宋_GBK"/>
      <w:sz w:val="28"/>
      <w:szCs w:val="28"/>
    </w:rPr>
  </w:style>
  <w:style w:type="paragraph" w:customStyle="1" w:styleId="30">
    <w:name w:val="插入文本样式-插入预算公开单位机关运行经费安排情况文件"/>
    <w:basedOn w:val="1"/>
    <w:qFormat/>
    <w:uiPriority w:val="99"/>
    <w:pPr>
      <w:spacing w:line="500" w:lineRule="exact"/>
      <w:ind w:firstLine="560"/>
    </w:pPr>
    <w:rPr>
      <w:rFonts w:eastAsia="方正仿宋_GBK"/>
      <w:sz w:val="28"/>
      <w:szCs w:val="28"/>
    </w:rPr>
  </w:style>
  <w:style w:type="paragraph" w:customStyle="1" w:styleId="31">
    <w:name w:val="插入文本样式-插入预算公开单位财政拨款三公经费预算情况及增减变化原因文件"/>
    <w:basedOn w:val="1"/>
    <w:uiPriority w:val="99"/>
    <w:pPr>
      <w:spacing w:line="500" w:lineRule="exact"/>
      <w:ind w:firstLine="560"/>
    </w:pPr>
    <w:rPr>
      <w:rFonts w:eastAsia="方正仿宋_GBK"/>
      <w:sz w:val="28"/>
      <w:szCs w:val="28"/>
    </w:rPr>
  </w:style>
  <w:style w:type="character" w:customStyle="1" w:styleId="32">
    <w:name w:val="Document Map Char"/>
    <w:basedOn w:val="9"/>
    <w:link w:val="2"/>
    <w:semiHidden/>
    <w:qFormat/>
    <w:uiPriority w:val="99"/>
    <w:rPr>
      <w:kern w:val="0"/>
      <w:sz w:val="0"/>
      <w:szCs w:val="0"/>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55</Pages>
  <Words>13354</Words>
  <Characters>16447</Characters>
  <Lines>1</Lines>
  <Paragraphs>1</Paragraphs>
  <TotalTime>6</TotalTime>
  <ScaleCrop>false</ScaleCrop>
  <LinksUpToDate>false</LinksUpToDate>
  <CharactersWithSpaces>16772</CharactersWithSpaces>
  <Application>WPS Office_11.1.0.12302_F1E327BC-269C-435d-A152-05C5408002CA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2022-02-16T14:29:00Z</dcterms:created>
  <dc:creator>User</dc:creator>
  <cp:lastModifiedBy>Administrator</cp:lastModifiedBy>
  <dcterms:modified xsi:type="dcterms:W3CDTF">2022-08-18T01:52:31Z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20182935385941D686B07A1BA32D1CDF</vt:lpwstr>
  </property>
</Properties>
</file>