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rPr>
          <w:rFonts w:eastAsia="Times New Roman"/>
        </w:rPr>
      </w:pPr>
      <w:bookmarkStart w:id="0" w:name="_Toc_4_4_0000000019"/>
      <w:r>
        <w:rPr>
          <w:rFonts w:ascii="黑体" w:hAnsi="黑体" w:eastAsia="黑体" w:cs="黑体"/>
          <w:b/>
          <w:bCs/>
          <w:color w:val="000000"/>
          <w:sz w:val="44"/>
          <w:szCs w:val="44"/>
        </w:rPr>
        <w:t>2022</w:t>
      </w:r>
      <w:r>
        <w:rPr>
          <w:rFonts w:hint="eastAsia" w:ascii="黑体" w:hAnsi="黑体" w:eastAsia="黑体" w:cs="黑体"/>
          <w:b/>
          <w:bCs/>
          <w:color w:val="000000"/>
          <w:sz w:val="44"/>
          <w:szCs w:val="44"/>
        </w:rPr>
        <w:t>年</w:t>
      </w:r>
      <w:r>
        <w:rPr>
          <w:rFonts w:hint="eastAsia" w:ascii="黑体" w:hAnsi="黑体" w:eastAsia="黑体" w:cs="黑体"/>
          <w:b/>
          <w:bCs/>
          <w:color w:val="000000"/>
          <w:sz w:val="44"/>
          <w:szCs w:val="44"/>
          <w:lang w:eastAsia="zh-CN"/>
        </w:rPr>
        <w:t>单位</w:t>
      </w:r>
      <w:bookmarkStart w:id="1" w:name="_GoBack"/>
      <w:bookmarkEnd w:id="1"/>
      <w:r>
        <w:rPr>
          <w:rFonts w:hint="eastAsia" w:ascii="黑体" w:hAnsi="黑体" w:eastAsia="黑体" w:cs="黑体"/>
          <w:b/>
          <w:bCs/>
          <w:color w:val="000000"/>
          <w:sz w:val="44"/>
          <w:szCs w:val="44"/>
        </w:rPr>
        <w:t>预算信息公开目录</w:t>
      </w:r>
    </w:p>
    <w:p>
      <w:pPr>
        <w:jc w:val="center"/>
        <w:rPr>
          <w:rFonts w:eastAsia="Times New Roman"/>
        </w:rPr>
      </w:pPr>
      <w:r>
        <w:rPr>
          <w:rFonts w:ascii="黑体" w:hAnsi="黑体" w:eastAsia="黑体" w:cs="黑体"/>
          <w:b/>
          <w:bCs/>
          <w:color w:val="000000"/>
          <w:sz w:val="30"/>
          <w:szCs w:val="30"/>
        </w:rPr>
        <w:t xml:space="preserve"> </w:t>
      </w:r>
    </w:p>
    <w:p>
      <w:pPr>
        <w:jc w:val="center"/>
        <w:rPr>
          <w:rFonts w:eastAsia="Times New Roman"/>
        </w:rPr>
      </w:pPr>
    </w:p>
    <w:p>
      <w:pPr>
        <w:rPr>
          <w:rFonts w:eastAsia="Times New Roman"/>
        </w:rPr>
      </w:pPr>
      <w:r>
        <w:rPr>
          <w:rFonts w:hint="eastAsia" w:ascii="方正楷体_GBK" w:hAnsi="方正楷体_GBK" w:eastAsia="方正楷体_GBK" w:cs="方正楷体_GBK"/>
          <w:b/>
          <w:bCs/>
          <w:color w:val="000000"/>
          <w:sz w:val="28"/>
          <w:szCs w:val="28"/>
          <w:lang w:val="en-US" w:eastAsia="zh-CN"/>
        </w:rPr>
        <w:t>单位</w:t>
      </w:r>
      <w:r>
        <w:rPr>
          <w:rFonts w:hint="eastAsia" w:ascii="方正楷体_GBK" w:hAnsi="方正楷体_GBK" w:eastAsia="方正楷体_GBK" w:cs="方正楷体_GBK"/>
          <w:b/>
          <w:bCs/>
          <w:color w:val="000000"/>
          <w:sz w:val="28"/>
          <w:szCs w:val="28"/>
        </w:rPr>
        <w:t>预算公开表</w:t>
      </w:r>
    </w:p>
    <w:p>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rPr>
          <w:rFonts w:hint="eastAsia" w:cs="方正仿宋_GBK"/>
        </w:rPr>
        <w:t>预算收支总表</w:t>
      </w:r>
      <w:r>
        <w:tab/>
      </w:r>
      <w:r>
        <w:fldChar w:fldCharType="begin"/>
      </w:r>
      <w:r>
        <w:instrText xml:space="preserve">PAGEREF _Toc_2_2_0000000001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rPr>
          <w:rFonts w:hint="eastAsia" w:cs="方正仿宋_GBK"/>
        </w:rPr>
        <w:t>预算收入总表</w:t>
      </w:r>
      <w:r>
        <w:tab/>
      </w:r>
      <w:r>
        <w:fldChar w:fldCharType="begin"/>
      </w:r>
      <w:r>
        <w:instrText xml:space="preserve">PAGEREF _Toc_2_2_0000000002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rPr>
          <w:rFonts w:hint="eastAsia" w:cs="方正仿宋_GBK"/>
        </w:rPr>
        <w:t>预算支出总表</w:t>
      </w:r>
      <w:r>
        <w:tab/>
      </w:r>
      <w:r>
        <w:fldChar w:fldCharType="begin"/>
      </w:r>
      <w:r>
        <w:instrText xml:space="preserve">PAGEREF _Toc_2_2_0000000003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"_Toc_2_2_0000000004" </w:instrText>
      </w:r>
      <w:r>
        <w:fldChar w:fldCharType="separate"/>
      </w:r>
      <w:r>
        <w:rPr>
          <w:rFonts w:hint="eastAsia"/>
          <w:lang w:val="en-US" w:eastAsia="zh-CN"/>
        </w:rPr>
        <w:t>单位</w:t>
      </w:r>
      <w:r>
        <w:rPr>
          <w:rFonts w:hint="eastAsia" w:cs="方正仿宋_GBK"/>
        </w:rPr>
        <w:t>预算财政拨款收支总表</w:t>
      </w:r>
      <w:r>
        <w:tab/>
      </w:r>
      <w:r>
        <w:fldChar w:fldCharType="begin"/>
      </w:r>
      <w:r>
        <w:instrText xml:space="preserve">PAGEREF _Toc_2_2_0000000004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"_Toc_2_2_0000000005" </w:instrText>
      </w:r>
      <w:r>
        <w:fldChar w:fldCharType="separate"/>
      </w:r>
      <w:r>
        <w:rPr>
          <w:rFonts w:hint="eastAsia"/>
          <w:lang w:val="en-US" w:eastAsia="zh-CN"/>
        </w:rPr>
        <w:t>单位</w:t>
      </w:r>
      <w:r>
        <w:rPr>
          <w:rFonts w:hint="eastAsia" w:cs="方正仿宋_GBK"/>
        </w:rPr>
        <w:t>预算一般公共预算财政拨款支出表</w:t>
      </w:r>
      <w:r>
        <w:tab/>
      </w:r>
      <w:r>
        <w:fldChar w:fldCharType="begin"/>
      </w:r>
      <w:r>
        <w:instrText xml:space="preserve">PAGEREF _Toc_2_2_0000000005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"_Toc_2_2_0000000006" </w:instrText>
      </w:r>
      <w:r>
        <w:fldChar w:fldCharType="separate"/>
      </w:r>
      <w:r>
        <w:rPr>
          <w:rFonts w:hint="eastAsia"/>
          <w:lang w:val="en-US" w:eastAsia="zh-CN"/>
        </w:rPr>
        <w:t>单位</w:t>
      </w:r>
      <w:r>
        <w:rPr>
          <w:rFonts w:hint="eastAsia" w:cs="方正仿宋_GBK"/>
        </w:rPr>
        <w:t>预算一般公共预算财政拨款基本支出表</w:t>
      </w:r>
      <w:r>
        <w:tab/>
      </w:r>
      <w:r>
        <w:fldChar w:fldCharType="begin"/>
      </w:r>
      <w:r>
        <w:instrText xml:space="preserve">PAGEREF _Toc_2_2_0000000006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"_Toc_2_2_0000000007" </w:instrText>
      </w:r>
      <w:r>
        <w:fldChar w:fldCharType="separate"/>
      </w:r>
      <w:r>
        <w:rPr>
          <w:rFonts w:hint="eastAsia"/>
          <w:lang w:val="en-US" w:eastAsia="zh-CN"/>
        </w:rPr>
        <w:t>单位</w:t>
      </w:r>
      <w:r>
        <w:rPr>
          <w:rFonts w:hint="eastAsia" w:cs="方正仿宋_GBK"/>
        </w:rPr>
        <w:t>预算政府基金预算财政拨款支出表</w:t>
      </w:r>
      <w:r>
        <w:tab/>
      </w:r>
      <w:r>
        <w:fldChar w:fldCharType="begin"/>
      </w:r>
      <w:r>
        <w:instrText xml:space="preserve">PAGEREF _Toc_2_2_0000000007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"_Toc_2_2_0000000008" </w:instrText>
      </w:r>
      <w:r>
        <w:fldChar w:fldCharType="separate"/>
      </w:r>
      <w:r>
        <w:rPr>
          <w:rFonts w:hint="eastAsia"/>
          <w:lang w:val="en-US" w:eastAsia="zh-CN"/>
        </w:rPr>
        <w:t>单位</w:t>
      </w:r>
      <w:r>
        <w:rPr>
          <w:rFonts w:hint="eastAsia" w:cs="方正仿宋_GBK"/>
        </w:rPr>
        <w:t>预算国有资本经营预算财政拨款支出表</w:t>
      </w:r>
      <w:r>
        <w:tab/>
      </w:r>
      <w:r>
        <w:fldChar w:fldCharType="begin"/>
      </w:r>
      <w:r>
        <w:instrText xml:space="preserve">PAGEREF _Toc_2_2_0000000008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"_Toc_2_2_0000000009" </w:instrText>
      </w:r>
      <w:r>
        <w:fldChar w:fldCharType="separate"/>
      </w:r>
      <w:r>
        <w:rPr>
          <w:rFonts w:hint="eastAsia"/>
          <w:lang w:val="en-US" w:eastAsia="zh-CN"/>
        </w:rPr>
        <w:t>单位</w:t>
      </w:r>
      <w:r>
        <w:rPr>
          <w:rFonts w:hint="eastAsia" w:cs="方正仿宋_GBK"/>
        </w:rPr>
        <w:t>预算财政拨款</w:t>
      </w:r>
      <w:r>
        <w:t>“</w:t>
      </w:r>
      <w:r>
        <w:rPr>
          <w:rFonts w:hint="eastAsia" w:cs="方正仿宋_GBK"/>
        </w:rPr>
        <w:t>三公</w:t>
      </w:r>
      <w:r>
        <w:t>”</w:t>
      </w:r>
      <w:r>
        <w:rPr>
          <w:rFonts w:hint="eastAsia" w:cs="方正仿宋_GBK"/>
        </w:rPr>
        <w:t>经费支出表</w:t>
      </w:r>
      <w:r>
        <w:tab/>
      </w:r>
      <w:r>
        <w:fldChar w:fldCharType="begin"/>
      </w:r>
      <w:r>
        <w:instrText xml:space="preserve">PAGEREF _Toc_2_2_0000000009 \h</w:instrText>
      </w:r>
      <w:r>
        <w:fldChar w:fldCharType="separate"/>
      </w:r>
      <w:r>
        <w:t>2</w:t>
      </w:r>
      <w:r>
        <w:fldChar w:fldCharType="end"/>
      </w:r>
      <w:r>
        <w:fldChar w:fldCharType="end"/>
      </w:r>
    </w:p>
    <w:p>
      <w:r>
        <w:fldChar w:fldCharType="end"/>
      </w:r>
    </w:p>
    <w:p>
      <w:r>
        <w:rPr>
          <w:rFonts w:hint="eastAsia" w:ascii="方正楷体_GBK" w:hAnsi="方正楷体_GBK" w:eastAsia="方正楷体_GBK" w:cs="方正楷体_GBK"/>
          <w:b/>
          <w:bCs/>
          <w:color w:val="000000"/>
          <w:sz w:val="28"/>
          <w:szCs w:val="28"/>
          <w:lang w:val="en-US" w:eastAsia="zh-CN"/>
        </w:rPr>
        <w:t>单位</w:t>
      </w:r>
      <w:r>
        <w:rPr>
          <w:rFonts w:hint="eastAsia" w:ascii="方正楷体_GBK" w:hAnsi="方正楷体_GBK" w:eastAsia="方正楷体_GBK" w:cs="方正楷体_GBK"/>
          <w:b/>
          <w:bCs/>
          <w:color w:val="000000"/>
          <w:sz w:val="28"/>
          <w:szCs w:val="28"/>
        </w:rPr>
        <w:t>预算信息公开情况说明</w:t>
      </w:r>
    </w:p>
    <w:p>
      <w:pPr>
        <w:pStyle w:val="6"/>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cs="方正仿宋_GBK"/>
        </w:rPr>
        <w:t>一、</w:t>
      </w:r>
      <w:r>
        <w:rPr>
          <w:rFonts w:hint="eastAsia" w:cs="方正仿宋_GBK"/>
          <w:lang w:val="en-US" w:eastAsia="zh-CN"/>
        </w:rPr>
        <w:t>单位</w:t>
      </w:r>
      <w:r>
        <w:rPr>
          <w:rFonts w:hint="eastAsia" w:cs="方正仿宋_GBK"/>
        </w:rPr>
        <w:t>职责及机构设置情况</w:t>
      </w:r>
      <w:r>
        <w:tab/>
      </w:r>
      <w:r>
        <w:fldChar w:fldCharType="begin"/>
      </w:r>
      <w:r>
        <w:instrText xml:space="preserve">PAGEREF _Toc_3_3_0000000010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"_Toc_3_3_0000000011" </w:instrText>
      </w:r>
      <w:r>
        <w:fldChar w:fldCharType="separate"/>
      </w:r>
      <w:r>
        <w:rPr>
          <w:rFonts w:hint="eastAsia" w:cs="方正仿宋_GBK"/>
        </w:rPr>
        <w:t>二、</w:t>
      </w:r>
      <w:r>
        <w:rPr>
          <w:rFonts w:hint="eastAsia" w:cs="方正仿宋_GBK"/>
          <w:lang w:val="en-US" w:eastAsia="zh-CN"/>
        </w:rPr>
        <w:t>单位</w:t>
      </w:r>
      <w:r>
        <w:rPr>
          <w:rFonts w:hint="eastAsia" w:cs="方正仿宋_GBK"/>
        </w:rPr>
        <w:t>预算安排的总体情况</w:t>
      </w:r>
      <w:r>
        <w:tab/>
      </w:r>
      <w:r>
        <w:fldChar w:fldCharType="begin"/>
      </w:r>
      <w:r>
        <w:instrText xml:space="preserve">PAGEREF _Toc_3_3_0000000011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"_Toc_3_3_0000000012" </w:instrText>
      </w:r>
      <w:r>
        <w:fldChar w:fldCharType="separate"/>
      </w:r>
      <w:r>
        <w:rPr>
          <w:rFonts w:hint="eastAsia" w:cs="方正仿宋_GBK"/>
        </w:rPr>
        <w:t>三、机关运行经费安排情况</w:t>
      </w:r>
      <w:r>
        <w:tab/>
      </w:r>
      <w:r>
        <w:fldChar w:fldCharType="begin"/>
      </w:r>
      <w:r>
        <w:instrText xml:space="preserve">PAGEREF _Toc_3_3_0000000012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"_Toc_3_3_0000000013" </w:instrText>
      </w:r>
      <w:r>
        <w:fldChar w:fldCharType="separate"/>
      </w:r>
      <w:r>
        <w:rPr>
          <w:rFonts w:hint="eastAsia" w:cs="方正仿宋_GBK"/>
        </w:rPr>
        <w:t>四、财政拨款</w:t>
      </w:r>
      <w:r>
        <w:t>“</w:t>
      </w:r>
      <w:r>
        <w:rPr>
          <w:rFonts w:hint="eastAsia" w:cs="方正仿宋_GBK"/>
        </w:rPr>
        <w:t>三公</w:t>
      </w:r>
      <w:r>
        <w:t>”</w:t>
      </w:r>
      <w:r>
        <w:rPr>
          <w:rFonts w:hint="eastAsia" w:cs="方正仿宋_GBK"/>
        </w:rPr>
        <w:t>经费预算情况及增减变化原因</w:t>
      </w:r>
      <w:r>
        <w:tab/>
      </w:r>
      <w:r>
        <w:fldChar w:fldCharType="begin"/>
      </w:r>
      <w:r>
        <w:instrText xml:space="preserve">PAGEREF _Toc_3_3_0000000013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"_Toc_3_3_0000000014" </w:instrText>
      </w:r>
      <w:r>
        <w:fldChar w:fldCharType="separate"/>
      </w:r>
      <w:r>
        <w:rPr>
          <w:rFonts w:hint="eastAsia" w:cs="方正仿宋_GBK"/>
        </w:rPr>
        <w:t>五、预算绩效信息</w:t>
      </w:r>
      <w:r>
        <w:tab/>
      </w:r>
      <w:r>
        <w:fldChar w:fldCharType="begin"/>
      </w:r>
      <w:r>
        <w:instrText xml:space="preserve">PAGEREF _Toc_3_3_0000000014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"_Toc_3_3_0000000015" </w:instrText>
      </w:r>
      <w:r>
        <w:fldChar w:fldCharType="separate"/>
      </w:r>
      <w:r>
        <w:rPr>
          <w:rFonts w:hint="eastAsia" w:cs="方正仿宋_GBK"/>
        </w:rPr>
        <w:t>六、政府采购预算情况</w:t>
      </w:r>
      <w:r>
        <w:tab/>
      </w:r>
      <w:r>
        <w:fldChar w:fldCharType="begin"/>
      </w:r>
      <w:r>
        <w:instrText xml:space="preserve">PAGEREF _Toc_3_3_0000000015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"_Toc_3_3_0000000016" </w:instrText>
      </w:r>
      <w:r>
        <w:fldChar w:fldCharType="separate"/>
      </w:r>
      <w:r>
        <w:rPr>
          <w:rFonts w:hint="eastAsia" w:cs="方正仿宋_GBK"/>
        </w:rPr>
        <w:t>七、国有资产信息</w:t>
      </w:r>
      <w:r>
        <w:tab/>
      </w:r>
      <w:r>
        <w:fldChar w:fldCharType="begin"/>
      </w:r>
      <w:r>
        <w:instrText xml:space="preserve">PAGEREF _Toc_3_3_0000000016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"_Toc_3_3_0000000017" </w:instrText>
      </w:r>
      <w:r>
        <w:fldChar w:fldCharType="separate"/>
      </w:r>
      <w:r>
        <w:rPr>
          <w:rFonts w:hint="eastAsia" w:cs="方正仿宋_GBK"/>
        </w:rPr>
        <w:t>八、名词解释</w:t>
      </w:r>
      <w:r>
        <w:tab/>
      </w:r>
      <w:r>
        <w:fldChar w:fldCharType="begin"/>
      </w:r>
      <w:r>
        <w:instrText xml:space="preserve">PAGEREF _Toc_3_3_0000000017 \h</w:instrText>
      </w:r>
      <w:r>
        <w:fldChar w:fldCharType="separate"/>
      </w:r>
      <w:r>
        <w:t>2</w:t>
      </w:r>
      <w:r>
        <w:fldChar w:fldCharType="end"/>
      </w:r>
      <w:r>
        <w:fldChar w:fldCharType="end"/>
      </w:r>
    </w:p>
    <w:p>
      <w:pPr>
        <w:pStyle w:val="6"/>
        <w:tabs>
          <w:tab w:val="right" w:leader="dot" w:pos="14562"/>
        </w:tabs>
      </w:pPr>
      <w:r>
        <w:fldChar w:fldCharType="begin"/>
      </w:r>
      <w:r>
        <w:instrText xml:space="preserve"> HYPERLINK \l "_Toc_3_3_0000000018" </w:instrText>
      </w:r>
      <w:r>
        <w:fldChar w:fldCharType="separate"/>
      </w:r>
      <w:r>
        <w:rPr>
          <w:rFonts w:hint="eastAsia" w:cs="方正仿宋_GBK"/>
        </w:rPr>
        <w:t>九、其他需要说明的事项</w:t>
      </w:r>
      <w:r>
        <w:tab/>
      </w:r>
      <w:r>
        <w:fldChar w:fldCharType="begin"/>
      </w:r>
      <w:r>
        <w:instrText xml:space="preserve">PAGEREF _Toc_3_3_0000000018 \h</w:instrText>
      </w:r>
      <w:r>
        <w:fldChar w:fldCharType="separate"/>
      </w:r>
      <w:r>
        <w:t>2</w:t>
      </w:r>
      <w:r>
        <w:fldChar w:fldCharType="end"/>
      </w:r>
      <w:r>
        <w:fldChar w:fldCharType="end"/>
      </w:r>
    </w:p>
    <w:p>
      <w:r>
        <w:fldChar w:fldCharType="end"/>
      </w:r>
    </w:p>
    <w:p>
      <w:pPr>
        <w:jc w:val="center"/>
        <w:sectPr>
          <w:pgSz w:w="16840" w:h="11900" w:orient="landscape"/>
          <w:pgMar w:top="1587" w:right="1134" w:bottom="1361" w:left="1134" w:header="720" w:footer="720" w:gutter="0"/>
          <w:pgNumType w:start="1"/>
          <w:cols w:space="720" w:num="1"/>
        </w:sectPr>
      </w:pPr>
    </w:p>
    <w:p>
      <w:pPr>
        <w:ind w:firstLine="4400" w:firstLineChars="1000"/>
        <w:jc w:val="both"/>
        <w:outlineLvl w:val="3"/>
      </w:pPr>
      <w:r>
        <w:rPr>
          <w:rFonts w:hint="eastAsia" w:ascii="方正小标宋_GBK" w:hAnsi="方正小标宋_GBK" w:eastAsia="方正小标宋_GBK" w:cs="方正小标宋_GBK"/>
          <w:color w:val="000000"/>
          <w:sz w:val="44"/>
          <w:szCs w:val="44"/>
        </w:rPr>
        <w:t>隆尧县供销合作社本级收支预算</w:t>
      </w:r>
      <w:bookmarkEnd w:id="0"/>
    </w:p>
    <w:p>
      <w:pPr>
        <w:jc w:val="center"/>
        <w:outlineLvl w:val="4"/>
      </w:pPr>
      <w:r>
        <w:rPr>
          <w:rFonts w:hint="eastAsia" w:ascii="方正小标宋_GBK" w:hAnsi="方正小标宋_GBK" w:eastAsia="方正小标宋_GBK" w:cs="方正小标宋_GBK"/>
          <w:color w:val="000000"/>
          <w:sz w:val="36"/>
          <w:szCs w:val="36"/>
        </w:rPr>
        <w:t>单位预算收支总表</w:t>
      </w:r>
    </w:p>
    <w:tbl>
      <w:tblPr>
        <w:tblStyle w:val="10"/>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126"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6661"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6662"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收入</w:t>
            </w:r>
          </w:p>
        </w:tc>
        <w:tc>
          <w:tcPr>
            <w:tcW w:w="6661"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4536"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2126"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预算数</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2126"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4536"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2126"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4535"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2126"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一、一般公共预算拨款收入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326.38</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一、一般公共服务支出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二、政府性基金预算拨款收入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二、外交支出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三、国有资本经营预算拨款收入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三、国防支出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四、财政专户管理资金收入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四、公共安全支出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五、事业收入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五、教育支出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六、事业单位经营收入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六、科学技术支出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七、上级补助收入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七、文化旅游体育与传媒支出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八、附属单位上缴收入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八、社会保障和就业支出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九、其他收入</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九、社会保险基金支出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十、卫生健康支出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十一、节能环保支出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十二、城乡社区支出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十三、农林水支出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14</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十四、交通运输支出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15</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十五、资源勘探工业信息等支出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16</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十六、商业服务业等支出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17</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十七、金融支出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bl>
    <w:p>
      <w:pPr>
        <w:jc w:val="both"/>
        <w:sectPr>
          <w:pgSz w:w="16840" w:h="11900" w:orient="landscape"/>
          <w:pgMar w:top="1361" w:right="1020" w:bottom="1134" w:left="1020" w:header="720" w:footer="720" w:gutter="0"/>
          <w:cols w:space="720" w:num="1"/>
        </w:sectPr>
      </w:pPr>
    </w:p>
    <w:tbl>
      <w:tblPr>
        <w:tblStyle w:val="10"/>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18</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十八、援助其他地区支出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19</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十九、自然资源海洋气象等支出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二十、住房保障支出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二十一、粮油物资储备支出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二十二、国有资本经营预算支出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23</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二十三、灾害防治及应急管理支出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24</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二十四、预备费</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25</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二十五、其他支出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26</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二十六、年初预留</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27</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二十七、转移性支出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28</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二十八、债务还本支出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29</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二十九、债务付息支出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30</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三十、债务发行费用支出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三十一、抗疫特别国债安排的支出</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w:t>
            </w:r>
          </w:p>
        </w:tc>
        <w:tc>
          <w:tcPr>
            <w:tcW w:w="4536"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本年收入合计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4535"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本年支出合计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33</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上年结转结余</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年终结转结余</w:t>
            </w:r>
          </w:p>
        </w:tc>
        <w:tc>
          <w:tcPr>
            <w:tcW w:w="2126"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34</w:t>
            </w:r>
          </w:p>
        </w:tc>
        <w:tc>
          <w:tcPr>
            <w:tcW w:w="4536"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收入总计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4535"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支出总计</w:t>
            </w:r>
          </w:p>
        </w:tc>
        <w:tc>
          <w:tcPr>
            <w:tcW w:w="2126"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szCs w:val="36"/>
        </w:rPr>
        <w:t>单位预算收入总表</w:t>
      </w:r>
    </w:p>
    <w:tbl>
      <w:tblPr>
        <w:tblStyle w:val="10"/>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3402" w:type="dxa"/>
            <w:gridSpan w:val="3"/>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670" w:type="dxa"/>
            <w:gridSpan w:val="5"/>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2551"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9072" w:type="dxa"/>
            <w:gridSpan w:val="8"/>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本年收入</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keepNext w:val="0"/>
              <w:keepLines w:val="0"/>
              <w:widowControl/>
              <w:suppressLineNumbers w:val="0"/>
              <w:spacing w:before="0" w:beforeAutospacing="0" w:after="0" w:afterAutospacing="0"/>
              <w:ind w:left="0" w:right="0"/>
              <w:rPr>
                <w:rFonts w:hint="default"/>
              </w:rPr>
            </w:pPr>
          </w:p>
        </w:tc>
        <w:tc>
          <w:tcPr>
            <w:tcW w:w="99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w:t>
            </w:r>
            <w:r>
              <w:rPr>
                <w:rFonts w:hint="default"/>
              </w:rPr>
              <w:t xml:space="preserve">    </w:t>
            </w:r>
            <w:r>
              <w:rPr>
                <w:rFonts w:hint="eastAsia"/>
              </w:rPr>
              <w:t>编码</w:t>
            </w:r>
          </w:p>
        </w:tc>
        <w:tc>
          <w:tcPr>
            <w:tcW w:w="15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小计</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财政拨款</w:t>
            </w:r>
            <w:r>
              <w:rPr>
                <w:rFonts w:hint="default"/>
              </w:rPr>
              <w:t xml:space="preserve"> </w:t>
            </w:r>
            <w:r>
              <w:rPr>
                <w:rFonts w:hint="eastAsia"/>
              </w:rPr>
              <w:t>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财政专户</w:t>
            </w:r>
            <w:r>
              <w:rPr>
                <w:rFonts w:hint="default"/>
              </w:rPr>
              <w:t xml:space="preserve"> </w:t>
            </w:r>
            <w:r>
              <w:rPr>
                <w:rFonts w:hint="eastAsia"/>
              </w:rPr>
              <w:t>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事业收入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经营收入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上级补助收入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附属单位上缴收入</w:t>
            </w:r>
          </w:p>
        </w:tc>
        <w:tc>
          <w:tcPr>
            <w:tcW w:w="113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其他收入</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1559"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6</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7</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8</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9</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10</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11</w:t>
            </w:r>
          </w:p>
        </w:tc>
        <w:tc>
          <w:tcPr>
            <w:tcW w:w="113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992" w:type="dxa"/>
            <w:vAlign w:val="center"/>
          </w:tcPr>
          <w:p>
            <w:pPr>
              <w:pStyle w:val="21"/>
              <w:keepNext w:val="0"/>
              <w:keepLines w:val="0"/>
              <w:widowControl/>
              <w:suppressLineNumbers w:val="0"/>
              <w:spacing w:before="0" w:beforeAutospacing="0" w:after="0" w:afterAutospacing="0"/>
              <w:ind w:left="0" w:right="0"/>
              <w:rPr>
                <w:rFonts w:hint="default" w:cs="Times New Roman"/>
              </w:rPr>
            </w:pPr>
          </w:p>
        </w:tc>
        <w:tc>
          <w:tcPr>
            <w:tcW w:w="1559"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c>
          <w:tcPr>
            <w:tcW w:w="1134" w:type="dxa"/>
            <w:vAlign w:val="center"/>
          </w:tcPr>
          <w:p>
            <w:pPr>
              <w:pStyle w:val="20"/>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社会保障和就业支出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行政事业单位养老支出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2080502</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事业单位离退休</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2080505</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20807</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就业补助</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2080705</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公益性岗位补贴</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卫生健康支出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21011</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行政事业单位医疗</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2101102</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事业单位医疗</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农林水支出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12</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21301</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农业农村</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2130124</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农村合作经济</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14</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商业服务业等支出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15</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商业流通事务</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16</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2160217</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市场监测及信息管理</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17</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2160250</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事业运行</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18</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住房保障支出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19</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22102</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住房改革支出</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2210201</w:t>
            </w:r>
          </w:p>
        </w:tc>
        <w:tc>
          <w:tcPr>
            <w:tcW w:w="155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c>
          <w:tcPr>
            <w:tcW w:w="1134" w:type="dxa"/>
            <w:vAlign w:val="center"/>
          </w:tcPr>
          <w:p>
            <w:pPr>
              <w:pStyle w:val="16"/>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szCs w:val="36"/>
        </w:rPr>
        <w:t>单位预算支出总表</w:t>
      </w:r>
    </w:p>
    <w:tbl>
      <w:tblPr>
        <w:tblStyle w:val="10"/>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722" w:type="dxa"/>
            <w:gridSpan w:val="2"/>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444"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528"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项目支出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经营支出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上解上级</w:t>
            </w:r>
            <w:r>
              <w:rPr>
                <w:rFonts w:hint="default"/>
              </w:rPr>
              <w:t xml:space="preserve">     </w:t>
            </w:r>
            <w:r>
              <w:rPr>
                <w:rFonts w:hint="eastAsia"/>
              </w:rPr>
              <w:t>支出</w:t>
            </w:r>
          </w:p>
        </w:tc>
        <w:tc>
          <w:tcPr>
            <w:tcW w:w="136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9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w:t>
            </w:r>
            <w:r>
              <w:rPr>
                <w:rFonts w:hint="default"/>
              </w:rPr>
              <w:t xml:space="preserve">    </w:t>
            </w:r>
            <w:r>
              <w:rPr>
                <w:rFonts w:hint="eastAsia"/>
              </w:rPr>
              <w:t>编码</w:t>
            </w:r>
          </w:p>
        </w:tc>
        <w:tc>
          <w:tcPr>
            <w:tcW w:w="4536"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c>
          <w:tcPr>
            <w:tcW w:w="136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99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4536"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136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136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136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c>
          <w:tcPr>
            <w:tcW w:w="136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6</w:t>
            </w:r>
          </w:p>
        </w:tc>
        <w:tc>
          <w:tcPr>
            <w:tcW w:w="136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7</w:t>
            </w:r>
          </w:p>
        </w:tc>
        <w:tc>
          <w:tcPr>
            <w:tcW w:w="136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992" w:type="dxa"/>
            <w:vAlign w:val="center"/>
          </w:tcPr>
          <w:p>
            <w:pPr>
              <w:pStyle w:val="21"/>
              <w:keepNext w:val="0"/>
              <w:keepLines w:val="0"/>
              <w:widowControl/>
              <w:suppressLineNumbers w:val="0"/>
              <w:spacing w:before="0" w:beforeAutospacing="0" w:after="0" w:afterAutospacing="0"/>
              <w:ind w:left="0" w:right="0"/>
              <w:rPr>
                <w:rFonts w:hint="default" w:cs="Times New Roman"/>
              </w:rPr>
            </w:pPr>
          </w:p>
        </w:tc>
        <w:tc>
          <w:tcPr>
            <w:tcW w:w="4536"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36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36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305.42</w:t>
            </w:r>
          </w:p>
        </w:tc>
        <w:tc>
          <w:tcPr>
            <w:tcW w:w="136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20.96</w:t>
            </w:r>
          </w:p>
        </w:tc>
        <w:tc>
          <w:tcPr>
            <w:tcW w:w="1361" w:type="dxa"/>
            <w:vAlign w:val="center"/>
          </w:tcPr>
          <w:p>
            <w:pPr>
              <w:pStyle w:val="20"/>
              <w:keepNext w:val="0"/>
              <w:keepLines w:val="0"/>
              <w:widowControl/>
              <w:suppressLineNumbers w:val="0"/>
              <w:spacing w:before="0" w:beforeAutospacing="0" w:after="0" w:afterAutospacing="0"/>
              <w:ind w:left="0" w:right="0"/>
              <w:rPr>
                <w:rFonts w:hint="default"/>
              </w:rPr>
            </w:pPr>
          </w:p>
        </w:tc>
        <w:tc>
          <w:tcPr>
            <w:tcW w:w="1361" w:type="dxa"/>
            <w:vAlign w:val="center"/>
          </w:tcPr>
          <w:p>
            <w:pPr>
              <w:pStyle w:val="20"/>
              <w:keepNext w:val="0"/>
              <w:keepLines w:val="0"/>
              <w:widowControl/>
              <w:suppressLineNumbers w:val="0"/>
              <w:spacing w:before="0" w:beforeAutospacing="0" w:after="0" w:afterAutospacing="0"/>
              <w:ind w:left="0" w:right="0"/>
              <w:rPr>
                <w:rFonts w:hint="default"/>
              </w:rPr>
            </w:pPr>
          </w:p>
        </w:tc>
        <w:tc>
          <w:tcPr>
            <w:tcW w:w="1361" w:type="dxa"/>
            <w:vAlign w:val="center"/>
          </w:tcPr>
          <w:p>
            <w:pPr>
              <w:pStyle w:val="20"/>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社会保障和就业支出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行政事业单位养老支出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2080502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事业单位离退休</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2080505</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20807</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就业补助</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2080705</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公益性岗位补贴</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卫生健康支出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21011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行政事业单位医疗</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2101102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事业单位医疗</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农林水支出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12</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21301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农业农村</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2130124</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农村合作经济</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14</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商业服务业等支出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15</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商业流通事务</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16</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2160217</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市场监测及信息管理</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17</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2160250</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事业运行</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18</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住房保障支出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19</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22102</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住房改革支出</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w:t>
            </w:r>
          </w:p>
        </w:tc>
        <w:tc>
          <w:tcPr>
            <w:tcW w:w="992"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2210201</w:t>
            </w:r>
          </w:p>
        </w:tc>
        <w:tc>
          <w:tcPr>
            <w:tcW w:w="4536"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c>
          <w:tcPr>
            <w:tcW w:w="1361" w:type="dxa"/>
            <w:vAlign w:val="center"/>
          </w:tcPr>
          <w:p>
            <w:pPr>
              <w:pStyle w:val="16"/>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szCs w:val="36"/>
        </w:rPr>
        <w:t>单位预算财政拨款收支总表</w:t>
      </w:r>
    </w:p>
    <w:tbl>
      <w:tblPr>
        <w:tblStyle w:val="10"/>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3402"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896" w:type="dxa"/>
            <w:gridSpan w:val="4"/>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4876"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收入</w:t>
            </w:r>
          </w:p>
        </w:tc>
        <w:tc>
          <w:tcPr>
            <w:tcW w:w="9298" w:type="dxa"/>
            <w:gridSpan w:val="5"/>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147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金额</w:t>
            </w:r>
          </w:p>
        </w:tc>
        <w:tc>
          <w:tcPr>
            <w:tcW w:w="340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147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147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一般公共预算财政拨款</w:t>
            </w:r>
          </w:p>
        </w:tc>
        <w:tc>
          <w:tcPr>
            <w:tcW w:w="147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政府性基金预算财政</w:t>
            </w:r>
            <w:r>
              <w:rPr>
                <w:rFonts w:hint="default"/>
              </w:rPr>
              <w:t xml:space="preserve">    </w:t>
            </w:r>
            <w:r>
              <w:rPr>
                <w:rFonts w:hint="eastAsia"/>
              </w:rPr>
              <w:t>拨款</w:t>
            </w:r>
          </w:p>
        </w:tc>
        <w:tc>
          <w:tcPr>
            <w:tcW w:w="147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340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147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340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147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147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c>
          <w:tcPr>
            <w:tcW w:w="147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6</w:t>
            </w:r>
          </w:p>
        </w:tc>
        <w:tc>
          <w:tcPr>
            <w:tcW w:w="1474"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一、一般公共预算拨款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326.38</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一、一般公共服务支出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二、政府性基金预算拨款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二、外交支出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三、国有资本经营预算拨款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三、国防支出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四、公共安全支出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五、教育支出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六、科学技术支出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七、文化旅游体育与传媒支出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八、社会保障和就业支出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九、社会保险基金支出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十、卫生健康支出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十一、节能环保支出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12</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十二、城乡社区支出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十三、农林水支出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14</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十四、交通运输支出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15</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十五、资源勘探工业信息等支出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16</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十六、商业服务业等支出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17</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十七、金融支出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18</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十八、援助其他地区支出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19</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十九、自然资源海洋气象等支出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二十、住房保障支出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21</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二十一、粮油物资储备支出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22</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二十二、国有资本经营预算支出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23</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二十三、灾害防治及应急管理支出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24</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二十四、预备费</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25</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二十五、其他支出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26</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二十六、年初预留</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27</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二十七、转移性支出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28</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二十八、债务还本支出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29</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二十九、债务付息支出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30</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三十、债务发行费用支出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31</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三十一、抗疫特别国债安排的支出</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32</w:t>
            </w:r>
          </w:p>
        </w:tc>
        <w:tc>
          <w:tcPr>
            <w:tcW w:w="3402"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本年收入合计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3402"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本年支出合计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33</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年初财政拨款结转和结余</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年末财政拨款结转和结余</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34</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一、一般公共预算拨款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35</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二、政府性基金预算拨款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36</w:t>
            </w: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三、国有资本经营预算拨款</w:t>
            </w: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3402"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47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37</w:t>
            </w:r>
          </w:p>
        </w:tc>
        <w:tc>
          <w:tcPr>
            <w:tcW w:w="3402"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收入总计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3402"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支出总计</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p>
        </w:tc>
        <w:tc>
          <w:tcPr>
            <w:tcW w:w="1474" w:type="dxa"/>
            <w:vAlign w:val="center"/>
          </w:tcPr>
          <w:p>
            <w:pPr>
              <w:pStyle w:val="20"/>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szCs w:val="36"/>
        </w:rPr>
        <w:t>单位预算一般公共预算财政拨款支出表</w:t>
      </w:r>
    </w:p>
    <w:tbl>
      <w:tblPr>
        <w:tblStyle w:val="10"/>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1191" w:type="dxa"/>
            <w:vAlign w:val="center"/>
          </w:tcPr>
          <w:p>
            <w:pPr>
              <w:pStyle w:val="21"/>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326.38</w:t>
            </w:r>
          </w:p>
        </w:tc>
        <w:tc>
          <w:tcPr>
            <w:tcW w:w="255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305.42</w:t>
            </w:r>
          </w:p>
        </w:tc>
        <w:tc>
          <w:tcPr>
            <w:tcW w:w="255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20.96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社会保障和就业支出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42.60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行政事业单位养老支出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29.64</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事业单位离退休</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7.79</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2080505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20807</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就业补助</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2080705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公益性岗位补贴</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卫生健康支出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21011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行政事业单位医疗</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2101102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事业单位医疗</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农林水支出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12</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农业农村</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2130124</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农村合作经济</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14</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商业服务业等支出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15</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商业流通事务</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252.35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16</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2160217</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市场监测及信息管理</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17</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2160250</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事业运行</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247.35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18</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住房保障支出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19</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住房改革支出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2210201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szCs w:val="36"/>
        </w:rPr>
        <w:t>单位预算一般公共预算财政拨款基本支出表</w:t>
      </w:r>
    </w:p>
    <w:tbl>
      <w:tblPr>
        <w:tblStyle w:val="10"/>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3"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支出部门经济分类科目</w:t>
            </w:r>
          </w:p>
        </w:tc>
        <w:tc>
          <w:tcPr>
            <w:tcW w:w="7654" w:type="dxa"/>
            <w:gridSpan w:val="3"/>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人员经费</w:t>
            </w:r>
          </w:p>
        </w:tc>
        <w:tc>
          <w:tcPr>
            <w:tcW w:w="255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255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1191" w:type="dxa"/>
            <w:vAlign w:val="center"/>
          </w:tcPr>
          <w:p>
            <w:pPr>
              <w:pStyle w:val="21"/>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305.42</w:t>
            </w:r>
          </w:p>
        </w:tc>
        <w:tc>
          <w:tcPr>
            <w:tcW w:w="2551"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283.29</w:t>
            </w:r>
          </w:p>
        </w:tc>
        <w:tc>
          <w:tcPr>
            <w:tcW w:w="2552" w:type="dxa"/>
            <w:vAlign w:val="center"/>
          </w:tcPr>
          <w:p>
            <w:pPr>
              <w:pStyle w:val="20"/>
              <w:keepNext w:val="0"/>
              <w:keepLines w:val="0"/>
              <w:widowControl/>
              <w:suppressLineNumbers w:val="0"/>
              <w:spacing w:before="0" w:beforeAutospacing="0" w:after="0" w:afterAutospacing="0"/>
              <w:ind w:left="0" w:right="0"/>
              <w:rPr>
                <w:rFonts w:hint="default"/>
              </w:rPr>
            </w:pPr>
            <w:r>
              <w:rPr>
                <w:rFonts w:hint="default"/>
              </w:rP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工资福利支出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263.52</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263.52</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基本工资</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98.98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98.98</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津贴补贴</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73.11</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73.11</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30103</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奖金</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8.25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8.25</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30107</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绩效工资</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32.03</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32.03</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30108</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机关事业单位基本养老保险缴费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21.85</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30110</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职工基本医疗保险缴费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10.05</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30112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其他社会保障缴费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0.85</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0.85</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30113</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住房公积金</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18.38</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商品和服务支出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22.13</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22.13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12</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办公费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3.66</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水费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0.60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14</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30206</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电费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2.70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15</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30207</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邮电费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16</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30208</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取暖费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17</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30239</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其他交通费用</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11.10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18</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30299</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其他商品和服务支出</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0.47</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19</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303</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对个人和家庭的补助</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19.77</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19.77</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20</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30301</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离休费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7.76</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7.76</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21</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30302</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退休费</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9.71</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9.71</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22</w:t>
            </w:r>
          </w:p>
        </w:tc>
        <w:tc>
          <w:tcPr>
            <w:tcW w:w="1191" w:type="dxa"/>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30305</w:t>
            </w: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生活补助</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2.30</w:t>
            </w:r>
          </w:p>
        </w:tc>
        <w:tc>
          <w:tcPr>
            <w:tcW w:w="255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2.30</w:t>
            </w:r>
          </w:p>
        </w:tc>
        <w:tc>
          <w:tcPr>
            <w:tcW w:w="2552" w:type="dxa"/>
            <w:vAlign w:val="center"/>
          </w:tcPr>
          <w:p>
            <w:pPr>
              <w:pStyle w:val="16"/>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134"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36"/>
          <w:szCs w:val="36"/>
        </w:rPr>
        <w:t>单位预算政府基金预算财政拨款支出表</w:t>
      </w:r>
    </w:p>
    <w:tbl>
      <w:tblPr>
        <w:tblStyle w:val="10"/>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rPr>
        <w:t>注：无政府基金预算财政拨款预算，空表列示。</w:t>
      </w:r>
    </w:p>
    <w:p>
      <w:pPr>
        <w:jc w:val="center"/>
        <w:outlineLvl w:val="4"/>
      </w:pPr>
      <w:r>
        <w:rPr>
          <w:rFonts w:hint="eastAsia" w:ascii="方正小标宋_GBK" w:hAnsi="方正小标宋_GBK" w:eastAsia="方正小标宋_GBK" w:cs="方正小标宋_GBK"/>
          <w:color w:val="000000"/>
          <w:sz w:val="36"/>
          <w:szCs w:val="36"/>
        </w:rPr>
        <w:t>单位预算国有资本经营预算财政拨款支出表</w:t>
      </w:r>
    </w:p>
    <w:tbl>
      <w:tblPr>
        <w:tblStyle w:val="10"/>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55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510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5726"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功能分类科目</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基本支出</w:t>
            </w:r>
          </w:p>
        </w:tc>
        <w:tc>
          <w:tcPr>
            <w:tcW w:w="2551"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119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科目编码</w:t>
            </w:r>
          </w:p>
        </w:tc>
        <w:tc>
          <w:tcPr>
            <w:tcW w:w="45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科目名称</w:t>
            </w: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c>
          <w:tcPr>
            <w:tcW w:w="2551"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119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4535"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255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1191"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4535"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55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bl>
    <w:p>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szCs w:val="21"/>
        </w:rPr>
        <w:t>注：无国有资本经营预算财政拨款预算，空表列示。</w:t>
      </w:r>
    </w:p>
    <w:p>
      <w:pPr>
        <w:jc w:val="center"/>
        <w:outlineLvl w:val="4"/>
      </w:pPr>
      <w:r>
        <w:rPr>
          <w:rFonts w:hint="eastAsia" w:ascii="方正小标宋_GBK" w:hAnsi="方正小标宋_GBK" w:eastAsia="方正小标宋_GBK" w:cs="方正小标宋_GBK"/>
          <w:color w:val="000000"/>
          <w:sz w:val="36"/>
          <w:szCs w:val="36"/>
        </w:rPr>
        <w:t>单位预算财政拨款“三公”经费支出表</w:t>
      </w:r>
    </w:p>
    <w:tbl>
      <w:tblPr>
        <w:tblStyle w:val="10"/>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2381" w:type="dxa"/>
            <w:tcBorders>
              <w:top w:val="single" w:color="FFFFFF" w:sz="6" w:space="0"/>
              <w:left w:val="single" w:color="FFFFFF" w:sz="6" w:space="0"/>
              <w:right w:val="single" w:color="FFFFFF" w:sz="6" w:space="0"/>
            </w:tcBorders>
            <w:vAlign w:val="center"/>
          </w:tcPr>
          <w:p>
            <w:pPr>
              <w:pStyle w:val="13"/>
              <w:keepNext w:val="0"/>
              <w:keepLines w:val="0"/>
              <w:widowControl/>
              <w:suppressLineNumbers w:val="0"/>
              <w:spacing w:before="0" w:beforeAutospacing="0" w:after="0" w:afterAutospacing="0"/>
              <w:ind w:left="0" w:right="0"/>
              <w:rPr>
                <w:rFonts w:hint="default"/>
              </w:rPr>
            </w:pPr>
            <w:r>
              <w:rPr>
                <w:rFonts w:hint="eastAsia"/>
              </w:rPr>
              <w:t>预算年度：</w:t>
            </w:r>
            <w:r>
              <w:rPr>
                <w:rFonts w:hint="default"/>
              </w:rPr>
              <w:t>2022</w:t>
            </w:r>
          </w:p>
        </w:tc>
        <w:tc>
          <w:tcPr>
            <w:tcW w:w="4762"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序号</w:t>
            </w:r>
          </w:p>
        </w:tc>
        <w:tc>
          <w:tcPr>
            <w:tcW w:w="3798"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9525" w:type="dxa"/>
            <w:gridSpan w:val="4"/>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资</w:t>
            </w:r>
            <w:r>
              <w:rPr>
                <w:rFonts w:hint="default"/>
              </w:rPr>
              <w:t xml:space="preserve"> </w:t>
            </w:r>
            <w:r>
              <w:rPr>
                <w:rFonts w:hint="eastAsia"/>
              </w:rPr>
              <w:t>金</w:t>
            </w:r>
            <w:r>
              <w:rPr>
                <w:rFonts w:hint="default"/>
              </w:rPr>
              <w:t xml:space="preserve"> </w:t>
            </w:r>
            <w:r>
              <w:rPr>
                <w:rFonts w:hint="eastAsia"/>
              </w:rPr>
              <w:t>性</w:t>
            </w:r>
            <w:r>
              <w:rPr>
                <w:rFonts w:hint="default"/>
              </w:rPr>
              <w:t xml:space="preserve"> </w:t>
            </w:r>
            <w:r>
              <w:rPr>
                <w:rFonts w:hint="eastAsia"/>
              </w:rPr>
              <w:t>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3798" w:type="dxa"/>
            <w:vMerge w:val="continue"/>
          </w:tcPr>
          <w:p>
            <w:pPr>
              <w:keepNext w:val="0"/>
              <w:keepLines w:val="0"/>
              <w:widowControl/>
              <w:suppressLineNumbers w:val="0"/>
              <w:spacing w:before="0" w:beforeAutospacing="0" w:after="0" w:afterAutospacing="0"/>
              <w:ind w:left="0" w:right="0"/>
              <w:rPr>
                <w:rFonts w:hint="default"/>
              </w:rPr>
            </w:pPr>
          </w:p>
        </w:tc>
        <w:tc>
          <w:tcPr>
            <w:tcW w:w="2382"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38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一般公共预算</w:t>
            </w:r>
            <w:r>
              <w:rPr>
                <w:rFonts w:hint="default"/>
              </w:rPr>
              <w:t xml:space="preserve">              </w:t>
            </w:r>
            <w:r>
              <w:rPr>
                <w:rFonts w:hint="eastAsia"/>
              </w:rPr>
              <w:t>财政拨款</w:t>
            </w:r>
          </w:p>
        </w:tc>
        <w:tc>
          <w:tcPr>
            <w:tcW w:w="238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政府性基金</w:t>
            </w:r>
            <w:r>
              <w:rPr>
                <w:rFonts w:hint="default"/>
              </w:rPr>
              <w:t xml:space="preserve">                  </w:t>
            </w:r>
            <w:r>
              <w:rPr>
                <w:rFonts w:hint="eastAsia"/>
              </w:rPr>
              <w:t>预算拨款</w:t>
            </w:r>
          </w:p>
        </w:tc>
        <w:tc>
          <w:tcPr>
            <w:tcW w:w="238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国有资本经营</w:t>
            </w:r>
            <w:r>
              <w:rPr>
                <w:rFonts w:hint="default"/>
              </w:rPr>
              <w:t xml:space="preserve">              </w:t>
            </w:r>
            <w:r>
              <w:rPr>
                <w:rFonts w:hint="eastAsia"/>
              </w:rPr>
              <w:t>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栏次</w:t>
            </w:r>
          </w:p>
        </w:tc>
        <w:tc>
          <w:tcPr>
            <w:tcW w:w="3798"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1</w:t>
            </w:r>
          </w:p>
        </w:tc>
        <w:tc>
          <w:tcPr>
            <w:tcW w:w="2382"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2</w:t>
            </w:r>
          </w:p>
        </w:tc>
        <w:tc>
          <w:tcPr>
            <w:tcW w:w="238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3</w:t>
            </w:r>
          </w:p>
        </w:tc>
        <w:tc>
          <w:tcPr>
            <w:tcW w:w="238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4</w:t>
            </w:r>
          </w:p>
        </w:tc>
        <w:tc>
          <w:tcPr>
            <w:tcW w:w="2381" w:type="dxa"/>
            <w:vAlign w:val="center"/>
          </w:tcPr>
          <w:p>
            <w:pPr>
              <w:pStyle w:val="15"/>
              <w:keepNext w:val="0"/>
              <w:keepLines w:val="0"/>
              <w:widowControl/>
              <w:suppressLineNumbers w:val="0"/>
              <w:spacing w:before="0" w:beforeAutospacing="0" w:after="0" w:afterAutospacing="0"/>
              <w:ind w:left="0" w:right="0"/>
              <w:rPr>
                <w:rFonts w:hint="default"/>
              </w:rPr>
            </w:pPr>
            <w:r>
              <w:rPr>
                <w:rFonts w:hint="default"/>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w:t>
            </w:r>
          </w:p>
        </w:tc>
        <w:tc>
          <w:tcPr>
            <w:tcW w:w="3798" w:type="dxa"/>
            <w:vAlign w:val="center"/>
          </w:tcPr>
          <w:p>
            <w:pPr>
              <w:pStyle w:val="19"/>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2382" w:type="dxa"/>
            <w:vAlign w:val="center"/>
          </w:tcPr>
          <w:p>
            <w:pPr>
              <w:pStyle w:val="20"/>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20"/>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20"/>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20"/>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2</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“三公”经费小计</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3</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一、因公出国（境）费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4</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其中：教学科研人员因公出国（境）费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5</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其他因公出国（境）费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6</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二、公务用车购置及运维费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7</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其中：公务用车购置费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8</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 xml:space="preserve">          </w:t>
            </w:r>
            <w:r>
              <w:rPr>
                <w:rFonts w:hint="eastAsia"/>
              </w:rPr>
              <w:t>公务用车运行维护费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9</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三、公务接待费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10</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四、会议费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0.80</w:t>
            </w:r>
          </w:p>
        </w:tc>
        <w:tc>
          <w:tcPr>
            <w:tcW w:w="238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0.80</w:t>
            </w:r>
          </w:p>
        </w:tc>
        <w:tc>
          <w:tcPr>
            <w:tcW w:w="2381" w:type="dxa"/>
            <w:vAlign w:val="center"/>
          </w:tcPr>
          <w:p>
            <w:pPr>
              <w:pStyle w:val="16"/>
              <w:keepNext w:val="0"/>
              <w:keepLines w:val="0"/>
              <w:widowControl/>
              <w:suppressLineNumbers w:val="0"/>
              <w:spacing w:before="0" w:beforeAutospacing="0" w:after="0" w:afterAutospacing="0"/>
              <w:ind w:left="0" w:right="0"/>
              <w:rPr>
                <w:rFonts w:hint="default"/>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11</w:t>
            </w:r>
          </w:p>
        </w:tc>
        <w:tc>
          <w:tcPr>
            <w:tcW w:w="379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五、培训费</w:t>
            </w:r>
          </w:p>
        </w:tc>
        <w:tc>
          <w:tcPr>
            <w:tcW w:w="2382"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1.30</w:t>
            </w:r>
          </w:p>
        </w:tc>
        <w:tc>
          <w:tcPr>
            <w:tcW w:w="2381"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1.30</w:t>
            </w:r>
          </w:p>
        </w:tc>
        <w:tc>
          <w:tcPr>
            <w:tcW w:w="2381" w:type="dxa"/>
            <w:vAlign w:val="center"/>
          </w:tcPr>
          <w:p>
            <w:pPr>
              <w:pStyle w:val="16"/>
              <w:keepNext w:val="0"/>
              <w:keepLines w:val="0"/>
              <w:widowControl/>
              <w:suppressLineNumbers w:val="0"/>
              <w:spacing w:before="0" w:beforeAutospacing="0" w:after="0" w:afterAutospacing="0"/>
              <w:ind w:left="0" w:right="0"/>
              <w:rPr>
                <w:rFonts w:hint="default"/>
              </w:rPr>
            </w:pPr>
          </w:p>
        </w:tc>
        <w:tc>
          <w:tcPr>
            <w:tcW w:w="2381" w:type="dxa"/>
            <w:vAlign w:val="center"/>
          </w:tcPr>
          <w:p>
            <w:pPr>
              <w:pStyle w:val="16"/>
              <w:keepNext w:val="0"/>
              <w:keepLines w:val="0"/>
              <w:widowControl/>
              <w:suppressLineNumbers w:val="0"/>
              <w:spacing w:before="0" w:beforeAutospacing="0" w:after="0" w:afterAutospacing="0"/>
              <w:ind w:left="0" w:right="0"/>
              <w:rPr>
                <w:rFonts w:hint="default"/>
              </w:rPr>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szCs w:val="44"/>
        </w:rPr>
        <w:t>隆尧县供销合作社本级</w:t>
      </w:r>
      <w:r>
        <w:rPr>
          <w:rFonts w:ascii="方正小标宋_GBK" w:hAnsi="方正小标宋_GBK" w:eastAsia="方正小标宋_GBK" w:cs="方正小标宋_GBK"/>
          <w:color w:val="000000"/>
          <w:sz w:val="44"/>
          <w:szCs w:val="44"/>
        </w:rPr>
        <w:t>2022</w:t>
      </w:r>
      <w:r>
        <w:rPr>
          <w:rFonts w:hint="eastAsia" w:ascii="方正小标宋_GBK" w:hAnsi="方正小标宋_GBK" w:eastAsia="方正小标宋_GBK" w:cs="方正小标宋_GBK"/>
          <w:color w:val="000000"/>
          <w:sz w:val="44"/>
          <w:szCs w:val="44"/>
        </w:rPr>
        <w:t>年单位预算信息公开情况说明</w:t>
      </w:r>
    </w:p>
    <w:p>
      <w:pPr>
        <w:spacing w:line="500" w:lineRule="exact"/>
        <w:ind w:firstLine="560"/>
      </w:pPr>
      <w:r>
        <w:rPr>
          <w:rFonts w:hint="eastAsia" w:eastAsia="方正仿宋_GBK" w:cs="方正仿宋_GBK"/>
          <w:color w:val="000000"/>
          <w:sz w:val="28"/>
          <w:szCs w:val="28"/>
        </w:rPr>
        <w:t>按照《预算法》、《地方预决算公开操作规程》和《关于进一步推进预算公开工作的实施意见》规定，现将隆尧县供销合作社本级</w:t>
      </w:r>
      <w:r>
        <w:rPr>
          <w:rFonts w:eastAsia="方正仿宋_GBK"/>
          <w:color w:val="000000"/>
          <w:sz w:val="28"/>
          <w:szCs w:val="28"/>
        </w:rPr>
        <w:t>2022</w:t>
      </w:r>
      <w:r>
        <w:rPr>
          <w:rFonts w:hint="eastAsia" w:eastAsia="方正仿宋_GBK" w:cs="方正仿宋_GBK"/>
          <w:color w:val="000000"/>
          <w:sz w:val="28"/>
          <w:szCs w:val="28"/>
        </w:rPr>
        <w:t>年单位预算公开如下：</w:t>
      </w:r>
    </w:p>
    <w:p>
      <w:pPr>
        <w:spacing w:before="10" w:after="10"/>
        <w:ind w:firstLine="640"/>
        <w:outlineLvl w:val="5"/>
      </w:pPr>
      <w:r>
        <w:rPr>
          <w:rFonts w:hint="eastAsia" w:ascii="黑体" w:hAnsi="黑体" w:eastAsia="黑体" w:cs="黑体"/>
          <w:color w:val="000000"/>
          <w:sz w:val="32"/>
          <w:szCs w:val="32"/>
        </w:rPr>
        <w:t>一、单位职责及机构设置情况</w:t>
      </w:r>
    </w:p>
    <w:p>
      <w:pPr>
        <w:ind w:firstLine="640"/>
      </w:pPr>
      <w:r>
        <w:rPr>
          <w:rFonts w:hint="eastAsia" w:ascii="方正楷体_GBK" w:hAnsi="方正楷体_GBK" w:eastAsia="方正楷体_GBK" w:cs="方正楷体_GBK"/>
          <w:b/>
          <w:bCs/>
          <w:color w:val="000000"/>
          <w:sz w:val="32"/>
          <w:szCs w:val="32"/>
        </w:rPr>
        <w:t>单位职责：</w:t>
      </w:r>
    </w:p>
    <w:p>
      <w:pPr>
        <w:pStyle w:val="22"/>
      </w:pPr>
      <w:r>
        <w:rPr>
          <w:rFonts w:hint="eastAsia" w:cs="方正仿宋_GBK"/>
        </w:rPr>
        <w:t>（一）负责下属企业工作，对下属企业实行管理和指导，规范企业行为，负责下属企业的改制，维护国有资产的保值增值，推进建立现代化企业制度，指导企业管理人员的培训。</w:t>
      </w:r>
    </w:p>
    <w:p>
      <w:pPr>
        <w:pStyle w:val="22"/>
      </w:pPr>
      <w:r>
        <w:rPr>
          <w:rFonts w:hint="eastAsia" w:cs="方正仿宋_GBK"/>
        </w:rPr>
        <w:t>（二）负责全县食用碘盐的管理，无碘盐，私盐稽查，规范使用碘盐市场建设。</w:t>
      </w:r>
    </w:p>
    <w:p>
      <w:pPr>
        <w:pStyle w:val="22"/>
        <w:rPr>
          <w:rFonts w:hint="eastAsia" w:cs="方正仿宋_GBK"/>
        </w:rPr>
      </w:pPr>
      <w:r>
        <w:rPr>
          <w:rFonts w:hint="eastAsia" w:cs="方正仿宋_GBK"/>
        </w:rPr>
        <w:t>（三）负责全县烟花爆竹市场管理，会同公安、工商等部门查处非法烟花爆竹等不法行为。</w:t>
      </w:r>
    </w:p>
    <w:p>
      <w:pPr>
        <w:pStyle w:val="22"/>
        <w:rPr>
          <w:rFonts w:hint="eastAsia" w:cs="方正仿宋_GBK"/>
        </w:rPr>
      </w:pPr>
      <w:r>
        <w:rPr>
          <w:rFonts w:hint="eastAsia" w:cs="方正仿宋_GBK"/>
        </w:rPr>
        <w:t>（四）负责全县废旧物资回收管理工作。</w:t>
      </w:r>
    </w:p>
    <w:p>
      <w:pPr>
        <w:pStyle w:val="22"/>
      </w:pPr>
      <w:r>
        <w:t>(</w:t>
      </w:r>
      <w:r>
        <w:rPr>
          <w:rFonts w:hint="eastAsia" w:cs="方正仿宋_GBK"/>
        </w:rPr>
        <w:t>五）承办县政府交办的其他事项。</w:t>
      </w:r>
    </w:p>
    <w:p>
      <w:pPr>
        <w:ind w:firstLine="643" w:firstLineChars="200"/>
      </w:pPr>
      <w:r>
        <w:rPr>
          <w:rFonts w:hint="eastAsia" w:ascii="方正楷体_GBK" w:hAnsi="方正楷体_GBK" w:eastAsia="方正楷体_GBK" w:cs="方正楷体_GBK"/>
          <w:b/>
          <w:bCs/>
          <w:color w:val="000000"/>
          <w:sz w:val="32"/>
          <w:szCs w:val="32"/>
        </w:rPr>
        <w:t>机构设置：</w:t>
      </w:r>
    </w:p>
    <w:p>
      <w:pPr>
        <w:ind w:firstLine="5760" w:firstLineChars="1800"/>
        <w:jc w:val="both"/>
      </w:pPr>
      <w:r>
        <w:rPr>
          <w:rFonts w:hint="eastAsia" w:ascii="方正小标宋_GBK" w:hAnsi="方正小标宋_GBK" w:eastAsia="方正小标宋_GBK" w:cs="方正小标宋_GBK"/>
          <w:color w:val="000000"/>
          <w:sz w:val="32"/>
          <w:szCs w:val="32"/>
          <w:lang w:val="en-US" w:eastAsia="zh-CN"/>
        </w:rPr>
        <w:t>单位</w:t>
      </w:r>
      <w:r>
        <w:rPr>
          <w:rFonts w:hint="eastAsia" w:ascii="方正小标宋_GBK" w:hAnsi="方正小标宋_GBK" w:eastAsia="方正小标宋_GBK" w:cs="方正小标宋_GBK"/>
          <w:color w:val="000000"/>
          <w:sz w:val="32"/>
          <w:szCs w:val="32"/>
        </w:rPr>
        <w:t>机构设置情况</w:t>
      </w:r>
    </w:p>
    <w:tbl>
      <w:tblPr>
        <w:tblStyle w:val="10"/>
        <w:tblpPr w:leftFromText="180" w:rightFromText="180" w:vertAnchor="text" w:horzAnchor="page" w:tblpX="1824" w:tblpY="625"/>
        <w:tblOverlap w:val="never"/>
        <w:tblW w:w="13465" w:type="dxa"/>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950" w:hRule="atLeast"/>
          <w:tblHeader/>
        </w:trPr>
        <w:tc>
          <w:tcPr>
            <w:tcW w:w="566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单位名称</w:t>
            </w:r>
          </w:p>
        </w:tc>
        <w:tc>
          <w:tcPr>
            <w:tcW w:w="1843"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单位性质</w:t>
            </w:r>
          </w:p>
        </w:tc>
        <w:tc>
          <w:tcPr>
            <w:tcW w:w="2126"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单位规格</w:t>
            </w:r>
          </w:p>
        </w:tc>
        <w:tc>
          <w:tcPr>
            <w:tcW w:w="3827"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750" w:hRule="atLeast"/>
        </w:trPr>
        <w:tc>
          <w:tcPr>
            <w:tcW w:w="5669"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隆尧县供销合作社本级</w:t>
            </w:r>
          </w:p>
        </w:tc>
        <w:tc>
          <w:tcPr>
            <w:tcW w:w="1843"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事业</w:t>
            </w:r>
          </w:p>
        </w:tc>
        <w:tc>
          <w:tcPr>
            <w:tcW w:w="2126"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正科级</w:t>
            </w:r>
          </w:p>
        </w:tc>
        <w:tc>
          <w:tcPr>
            <w:tcW w:w="3827"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财政性资金基本保证</w:t>
            </w:r>
          </w:p>
        </w:tc>
      </w:tr>
    </w:tbl>
    <w:p>
      <w:pPr>
        <w:pStyle w:val="30"/>
        <w:ind w:firstLine="932" w:firstLineChars="333"/>
      </w:pPr>
      <w:r>
        <w:rPr>
          <w:rFonts w:hint="eastAsia" w:cs="方正仿宋_GBK"/>
        </w:rPr>
        <w:t>隆尧县供销合作社</w:t>
      </w:r>
    </w:p>
    <w:p>
      <w:pPr>
        <w:pStyle w:val="31"/>
      </w:pPr>
    </w:p>
    <w:p>
      <w:pPr>
        <w:spacing w:before="10" w:after="10" w:line="360" w:lineRule="auto"/>
        <w:ind w:firstLine="640"/>
        <w:outlineLvl w:val="2"/>
        <w:rPr>
          <w:rFonts w:ascii="黑体" w:hAnsi="黑体" w:eastAsia="黑体"/>
          <w:color w:val="000000"/>
          <w:sz w:val="32"/>
          <w:szCs w:val="32"/>
          <w:lang w:eastAsia="zh-CN"/>
        </w:rPr>
      </w:pPr>
      <w:r>
        <w:rPr>
          <w:rFonts w:hint="eastAsia" w:ascii="黑体" w:hAnsi="黑体" w:eastAsia="黑体" w:cs="黑体"/>
          <w:color w:val="000000"/>
          <w:sz w:val="32"/>
          <w:szCs w:val="32"/>
        </w:rPr>
        <w:t>二、</w:t>
      </w:r>
      <w:r>
        <w:rPr>
          <w:rFonts w:hint="eastAsia" w:ascii="黑体" w:hAnsi="黑体" w:eastAsia="黑体" w:cs="黑体"/>
          <w:color w:val="000000"/>
          <w:sz w:val="32"/>
          <w:szCs w:val="32"/>
          <w:lang w:val="en-US" w:eastAsia="zh-CN"/>
        </w:rPr>
        <w:t>单位</w:t>
      </w:r>
      <w:r>
        <w:rPr>
          <w:rFonts w:hint="eastAsia" w:ascii="黑体" w:hAnsi="黑体" w:eastAsia="黑体" w:cs="黑体"/>
          <w:color w:val="000000"/>
          <w:sz w:val="32"/>
          <w:szCs w:val="32"/>
        </w:rPr>
        <w:t>预算安排的总体情况</w:t>
      </w:r>
    </w:p>
    <w:p>
      <w:pPr>
        <w:spacing w:before="10" w:after="10" w:line="360" w:lineRule="auto"/>
        <w:ind w:firstLine="640"/>
        <w:outlineLvl w:val="2"/>
        <w:rPr>
          <w:rFonts w:hint="eastAsia" w:ascii="Times New Roman" w:hAnsi="Times New Roman" w:eastAsia="方正仿宋_GBK" w:cs="方正仿宋_GBK"/>
          <w:kern w:val="0"/>
          <w:sz w:val="28"/>
          <w:szCs w:val="28"/>
          <w:lang w:val="en-US" w:eastAsia="uk-UA" w:bidi="ar-SA"/>
        </w:rPr>
      </w:pPr>
      <w:r>
        <w:rPr>
          <w:rFonts w:hint="eastAsia" w:ascii="Times New Roman" w:hAnsi="Times New Roman" w:eastAsia="方正仿宋_GBK" w:cs="方正仿宋_GBK"/>
          <w:kern w:val="0"/>
          <w:sz w:val="28"/>
          <w:szCs w:val="28"/>
          <w:lang w:val="en-US" w:eastAsia="uk-UA" w:bidi="ar-SA"/>
        </w:rPr>
        <w:t>按照预算管理有关规定，目前我省</w:t>
      </w:r>
      <w:r>
        <w:rPr>
          <w:rFonts w:hint="eastAsia" w:eastAsia="方正仿宋_GBK" w:cs="方正仿宋_GBK"/>
          <w:kern w:val="0"/>
          <w:sz w:val="28"/>
          <w:szCs w:val="28"/>
          <w:lang w:val="en-US" w:eastAsia="zh-CN" w:bidi="ar-SA"/>
        </w:rPr>
        <w:t>单位</w:t>
      </w:r>
      <w:r>
        <w:rPr>
          <w:rFonts w:hint="eastAsia" w:ascii="Times New Roman" w:hAnsi="Times New Roman" w:eastAsia="方正仿宋_GBK" w:cs="方正仿宋_GBK"/>
          <w:kern w:val="0"/>
          <w:sz w:val="28"/>
          <w:szCs w:val="28"/>
          <w:lang w:val="en-US" w:eastAsia="uk-UA" w:bidi="ar-SA"/>
        </w:rPr>
        <w:t>预算的编制实行综合预算管理，即全部收入和支出都反映的预算中。隆尧县供销合作社的所有收支在</w:t>
      </w:r>
      <w:r>
        <w:rPr>
          <w:rFonts w:hint="eastAsia" w:eastAsia="方正仿宋_GBK" w:cs="方正仿宋_GBK"/>
          <w:kern w:val="0"/>
          <w:sz w:val="28"/>
          <w:szCs w:val="28"/>
          <w:lang w:val="en-US" w:eastAsia="zh-CN" w:bidi="ar-SA"/>
        </w:rPr>
        <w:t>单位</w:t>
      </w:r>
      <w:r>
        <w:rPr>
          <w:rFonts w:hint="eastAsia" w:ascii="Times New Roman" w:hAnsi="Times New Roman" w:eastAsia="方正仿宋_GBK" w:cs="方正仿宋_GBK"/>
          <w:kern w:val="0"/>
          <w:sz w:val="28"/>
          <w:szCs w:val="28"/>
          <w:lang w:val="en-US" w:eastAsia="uk-UA" w:bidi="ar-SA"/>
        </w:rPr>
        <w:t>预算中。</w:t>
      </w:r>
    </w:p>
    <w:p>
      <w:pPr>
        <w:pStyle w:val="23"/>
      </w:pPr>
      <w:r>
        <w:t>1</w:t>
      </w:r>
      <w:r>
        <w:rPr>
          <w:rFonts w:hint="eastAsia" w:cs="方正仿宋_GBK"/>
        </w:rPr>
        <w:t>、收入说明</w:t>
      </w:r>
    </w:p>
    <w:p>
      <w:pPr>
        <w:pStyle w:val="23"/>
      </w:pPr>
      <w:r>
        <w:rPr>
          <w:rFonts w:hint="eastAsia" w:cs="方正仿宋_GBK"/>
        </w:rPr>
        <w:t>反映本</w:t>
      </w:r>
      <w:r>
        <w:rPr>
          <w:rFonts w:hint="eastAsia" w:cs="方正仿宋_GBK"/>
          <w:lang w:val="en-US" w:eastAsia="zh-CN"/>
        </w:rPr>
        <w:t>单位</w:t>
      </w:r>
      <w:r>
        <w:rPr>
          <w:rFonts w:hint="eastAsia" w:cs="方正仿宋_GBK"/>
        </w:rPr>
        <w:t>当年全部收入。</w:t>
      </w:r>
      <w:r>
        <w:t>2022</w:t>
      </w:r>
      <w:r>
        <w:rPr>
          <w:rFonts w:hint="eastAsia" w:cs="方正仿宋_GBK"/>
        </w:rPr>
        <w:t>年预算收入</w:t>
      </w:r>
      <w:r>
        <w:t>326.38</w:t>
      </w:r>
      <w:r>
        <w:rPr>
          <w:rFonts w:hint="eastAsia" w:cs="方正仿宋_GBK"/>
        </w:rPr>
        <w:t>万元，其中：一般公共预算收入</w:t>
      </w:r>
      <w:r>
        <w:t>326.38</w:t>
      </w:r>
      <w:r>
        <w:rPr>
          <w:rFonts w:hint="eastAsia" w:cs="方正仿宋_GBK"/>
        </w:rPr>
        <w:t>万元，基金预算收入</w:t>
      </w:r>
      <w:r>
        <w:t>0</w:t>
      </w:r>
      <w:r>
        <w:rPr>
          <w:rFonts w:hint="eastAsia" w:cs="方正仿宋_GBK"/>
        </w:rPr>
        <w:t>万元，财政专户核拨收入</w:t>
      </w:r>
      <w:r>
        <w:t>0</w:t>
      </w:r>
      <w:r>
        <w:rPr>
          <w:rFonts w:hint="eastAsia" w:cs="方正仿宋_GBK"/>
        </w:rPr>
        <w:t>万元，其他来源收入</w:t>
      </w:r>
      <w:r>
        <w:t>0</w:t>
      </w:r>
      <w:r>
        <w:rPr>
          <w:rFonts w:hint="eastAsia" w:cs="方正仿宋_GBK"/>
        </w:rPr>
        <w:t>万元。</w:t>
      </w:r>
    </w:p>
    <w:p>
      <w:pPr>
        <w:pStyle w:val="23"/>
      </w:pPr>
      <w:r>
        <w:t>2</w:t>
      </w:r>
      <w:r>
        <w:rPr>
          <w:rFonts w:hint="eastAsia" w:cs="方正仿宋_GBK"/>
        </w:rPr>
        <w:t>、支出说明</w:t>
      </w:r>
    </w:p>
    <w:p>
      <w:pPr>
        <w:pStyle w:val="23"/>
      </w:pPr>
      <w:r>
        <w:rPr>
          <w:rFonts w:hint="eastAsia" w:cs="方正仿宋_GBK"/>
        </w:rPr>
        <w:t>收支预算总表支出栏、基本支出表、项目支出表按经济分类和支出功能分类科目编制，反映隆尧县供销合作社</w:t>
      </w:r>
      <w:r>
        <w:rPr>
          <w:rFonts w:hint="eastAsia" w:cs="方正仿宋_GBK"/>
          <w:lang w:val="en-US" w:eastAsia="zh-CN"/>
        </w:rPr>
        <w:t>单位</w:t>
      </w:r>
      <w:r>
        <w:rPr>
          <w:rFonts w:hint="eastAsia" w:cs="方正仿宋_GBK"/>
        </w:rPr>
        <w:t>年度预算中支出预算的总体情况。</w:t>
      </w:r>
      <w:r>
        <w:t>202</w:t>
      </w:r>
      <w:r>
        <w:rPr>
          <w:lang w:eastAsia="zh-CN"/>
        </w:rPr>
        <w:t>2</w:t>
      </w:r>
      <w:r>
        <w:rPr>
          <w:rFonts w:hint="eastAsia" w:cs="方正仿宋_GBK"/>
        </w:rPr>
        <w:t>年部门支出预算为</w:t>
      </w:r>
      <w:r>
        <w:t>326.38</w:t>
      </w:r>
      <w:r>
        <w:rPr>
          <w:rFonts w:hint="eastAsia" w:cs="方正仿宋_GBK"/>
        </w:rPr>
        <w:t>万元，其中基本支出</w:t>
      </w:r>
      <w:r>
        <w:t>306.42</w:t>
      </w:r>
      <w:r>
        <w:rPr>
          <w:rFonts w:hint="eastAsia" w:cs="方正仿宋_GBK"/>
        </w:rPr>
        <w:t>万元，包括人员经费</w:t>
      </w:r>
      <w:r>
        <w:t>284.29</w:t>
      </w:r>
      <w:r>
        <w:rPr>
          <w:rFonts w:hint="eastAsia" w:cs="方正仿宋_GBK"/>
        </w:rPr>
        <w:t>万元和日常公用经费</w:t>
      </w:r>
      <w:r>
        <w:t>22.13</w:t>
      </w:r>
      <w:r>
        <w:rPr>
          <w:rFonts w:hint="eastAsia" w:cs="方正仿宋_GBK"/>
        </w:rPr>
        <w:t>万元；项目支出</w:t>
      </w:r>
      <w:r>
        <w:t>19.96</w:t>
      </w:r>
      <w:r>
        <w:rPr>
          <w:rFonts w:hint="eastAsia" w:cs="方正仿宋_GBK"/>
        </w:rPr>
        <w:t>万元，主要为合作组织培训经费支出</w:t>
      </w:r>
      <w:r>
        <w:t>3</w:t>
      </w:r>
      <w:r>
        <w:rPr>
          <w:rFonts w:hint="eastAsia" w:cs="方正仿宋_GBK"/>
        </w:rPr>
        <w:t>万元，农村产权交易市场支出</w:t>
      </w:r>
      <w:r>
        <w:t>5</w:t>
      </w:r>
      <w:r>
        <w:rPr>
          <w:rFonts w:hint="eastAsia" w:cs="方正仿宋_GBK"/>
        </w:rPr>
        <w:t>万元</w:t>
      </w:r>
      <w:r>
        <w:t>,</w:t>
      </w:r>
      <w:r>
        <w:rPr>
          <w:rFonts w:hint="eastAsia" w:cs="方正仿宋_GBK"/>
        </w:rPr>
        <w:t>退役军人</w:t>
      </w:r>
      <w:r>
        <w:rPr>
          <w:rFonts w:hint="eastAsia" w:cs="方正仿宋_GBK"/>
          <w:lang w:eastAsia="zh-CN"/>
        </w:rPr>
        <w:t>专</w:t>
      </w:r>
      <w:r>
        <w:rPr>
          <w:rFonts w:hint="eastAsia" w:cs="方正仿宋_GBK"/>
        </w:rPr>
        <w:t>岗</w:t>
      </w:r>
      <w:r>
        <w:t>12.96</w:t>
      </w:r>
      <w:r>
        <w:rPr>
          <w:rFonts w:hint="eastAsia" w:cs="方正仿宋_GBK"/>
        </w:rPr>
        <w:t>万元。</w:t>
      </w:r>
    </w:p>
    <w:p>
      <w:pPr>
        <w:pStyle w:val="23"/>
      </w:pPr>
      <w:r>
        <w:t>3</w:t>
      </w:r>
      <w:r>
        <w:rPr>
          <w:rFonts w:hint="eastAsia" w:cs="方正仿宋_GBK"/>
        </w:rPr>
        <w:t>、比上年增减情况</w:t>
      </w:r>
    </w:p>
    <w:p>
      <w:pPr>
        <w:pStyle w:val="23"/>
      </w:pPr>
      <w:r>
        <w:t>202</w:t>
      </w:r>
      <w:r>
        <w:rPr>
          <w:rFonts w:hint="eastAsia"/>
          <w:lang w:val="en-US" w:eastAsia="zh-CN"/>
        </w:rPr>
        <w:t>2</w:t>
      </w:r>
      <w:r>
        <w:rPr>
          <w:rFonts w:hint="eastAsia" w:cs="方正仿宋_GBK"/>
        </w:rPr>
        <w:t>年</w:t>
      </w:r>
      <w:r>
        <w:rPr>
          <w:rFonts w:hint="eastAsia" w:cs="方正仿宋_GBK"/>
          <w:lang w:val="en-US" w:eastAsia="zh-CN"/>
        </w:rPr>
        <w:t>单位</w:t>
      </w:r>
      <w:r>
        <w:rPr>
          <w:rFonts w:hint="eastAsia" w:cs="方正仿宋_GBK"/>
        </w:rPr>
        <w:t>预算收支安排</w:t>
      </w:r>
      <w:r>
        <w:t>326.38</w:t>
      </w:r>
      <w:r>
        <w:rPr>
          <w:rFonts w:hint="eastAsia" w:cs="方正仿宋_GBK"/>
        </w:rPr>
        <w:t>万元，较</w:t>
      </w:r>
      <w:r>
        <w:t>2021</w:t>
      </w:r>
      <w:r>
        <w:rPr>
          <w:rFonts w:hint="eastAsia" w:cs="方正仿宋_GBK"/>
        </w:rPr>
        <w:t>年增加</w:t>
      </w:r>
      <w:r>
        <w:t>87.13</w:t>
      </w:r>
      <w:r>
        <w:rPr>
          <w:rFonts w:hint="eastAsia" w:cs="方正仿宋_GBK"/>
        </w:rPr>
        <w:t>万元，其中：基本支出增加</w:t>
      </w:r>
      <w:r>
        <w:t>74.43</w:t>
      </w:r>
      <w:r>
        <w:rPr>
          <w:rFonts w:hint="eastAsia" w:cs="方正仿宋_GBK"/>
        </w:rPr>
        <w:t>万元，主要是人员经费增加；项目支出增加</w:t>
      </w:r>
      <w:r>
        <w:t>12.7</w:t>
      </w:r>
      <w:r>
        <w:rPr>
          <w:rFonts w:hint="eastAsia" w:cs="方正仿宋_GBK"/>
        </w:rPr>
        <w:t>万元，主要是增加退役军人专岗。</w:t>
      </w:r>
    </w:p>
    <w:p>
      <w:pPr>
        <w:pStyle w:val="23"/>
        <w:rPr>
          <w:rFonts w:ascii="Vrinda" w:hAnsi="Vrinda" w:eastAsia="黑体"/>
          <w:sz w:val="30"/>
          <w:szCs w:val="30"/>
        </w:rPr>
      </w:pPr>
      <w:r>
        <w:rPr>
          <w:rFonts w:hint="eastAsia" w:ascii="Vrinda" w:eastAsia="黑体" w:cs="黑体"/>
          <w:sz w:val="30"/>
          <w:szCs w:val="30"/>
        </w:rPr>
        <w:t>三、机关运行经费安排情况</w:t>
      </w:r>
    </w:p>
    <w:p>
      <w:pPr>
        <w:pStyle w:val="23"/>
        <w:ind w:left="0" w:leftChars="0" w:firstLine="560" w:firstLineChars="200"/>
      </w:pPr>
      <w:r>
        <w:t>2022</w:t>
      </w:r>
      <w:r>
        <w:rPr>
          <w:rFonts w:hint="eastAsia" w:cs="方正仿宋_GBK"/>
        </w:rPr>
        <w:t>年，我</w:t>
      </w:r>
      <w:r>
        <w:rPr>
          <w:rFonts w:hint="eastAsia" w:cs="方正仿宋_GBK"/>
          <w:lang w:val="en-US" w:eastAsia="zh-CN"/>
        </w:rPr>
        <w:t>单位</w:t>
      </w:r>
      <w:r>
        <w:rPr>
          <w:rFonts w:hint="eastAsia" w:cs="方正仿宋_GBK"/>
        </w:rPr>
        <w:t>机关运行经费共计安排</w:t>
      </w:r>
      <w:r>
        <w:t>11</w:t>
      </w:r>
      <w:r>
        <w:rPr>
          <w:rFonts w:hint="eastAsia" w:cs="方正仿宋_GBK"/>
        </w:rPr>
        <w:t>万元，主要用于保证机关正常运转的办公费、电费、水费、邮电费、福利费、工会经费、党活动经费等支出。</w:t>
      </w:r>
    </w:p>
    <w:p>
      <w:pPr>
        <w:pStyle w:val="23"/>
        <w:rPr>
          <w:rFonts w:eastAsia="黑体"/>
          <w:sz w:val="32"/>
          <w:szCs w:val="32"/>
        </w:rPr>
      </w:pPr>
      <w:r>
        <w:rPr>
          <w:rFonts w:hint="eastAsia" w:eastAsia="黑体" w:cs="黑体"/>
          <w:sz w:val="32"/>
          <w:szCs w:val="32"/>
        </w:rPr>
        <w:t>四、财政拨款</w:t>
      </w:r>
      <w:r>
        <w:rPr>
          <w:rFonts w:eastAsia="黑体"/>
          <w:sz w:val="32"/>
          <w:szCs w:val="32"/>
        </w:rPr>
        <w:t>“</w:t>
      </w:r>
      <w:r>
        <w:rPr>
          <w:rFonts w:hint="eastAsia" w:eastAsia="黑体" w:cs="黑体"/>
          <w:sz w:val="32"/>
          <w:szCs w:val="32"/>
        </w:rPr>
        <w:t>三公</w:t>
      </w:r>
      <w:r>
        <w:rPr>
          <w:rFonts w:eastAsia="黑体"/>
          <w:sz w:val="32"/>
          <w:szCs w:val="32"/>
        </w:rPr>
        <w:t>”</w:t>
      </w:r>
      <w:r>
        <w:rPr>
          <w:rFonts w:hint="eastAsia" w:eastAsia="黑体" w:cs="黑体"/>
          <w:sz w:val="32"/>
          <w:szCs w:val="32"/>
        </w:rPr>
        <w:t>经费预算情况及增减变化原因</w:t>
      </w:r>
    </w:p>
    <w:p>
      <w:pPr>
        <w:pStyle w:val="23"/>
      </w:pPr>
      <w:r>
        <w:t>2022</w:t>
      </w:r>
      <w:r>
        <w:rPr>
          <w:rFonts w:hint="eastAsia" w:cs="方正仿宋_GBK"/>
        </w:rPr>
        <w:t>年，我</w:t>
      </w:r>
      <w:r>
        <w:rPr>
          <w:rFonts w:hint="eastAsia" w:cs="方正仿宋_GBK"/>
          <w:lang w:val="en-US" w:eastAsia="zh-CN"/>
        </w:rPr>
        <w:t>单位</w:t>
      </w:r>
      <w:r>
        <w:rPr>
          <w:rFonts w:hint="eastAsia" w:cs="方正仿宋_GBK"/>
        </w:rPr>
        <w:t>财政拨款</w:t>
      </w:r>
      <w:r>
        <w:t>“</w:t>
      </w:r>
      <w:r>
        <w:rPr>
          <w:rFonts w:hint="eastAsia" w:cs="方正仿宋_GBK"/>
        </w:rPr>
        <w:t>三公</w:t>
      </w:r>
      <w:r>
        <w:t>”</w:t>
      </w:r>
      <w:r>
        <w:rPr>
          <w:rFonts w:hint="eastAsia" w:cs="方正仿宋_GBK"/>
        </w:rPr>
        <w:t>经费预算安排</w:t>
      </w:r>
      <w:r>
        <w:t>0</w:t>
      </w:r>
      <w:r>
        <w:rPr>
          <w:rFonts w:hint="eastAsia" w:cs="方正仿宋_GBK"/>
        </w:rPr>
        <w:t>万元，其中：因公出国（境）费</w:t>
      </w:r>
      <w:r>
        <w:t>0</w:t>
      </w:r>
      <w:r>
        <w:rPr>
          <w:rFonts w:hint="eastAsia" w:cs="方正仿宋_GBK"/>
        </w:rPr>
        <w:t>万元；公务用车购置及运维费</w:t>
      </w:r>
      <w:r>
        <w:t>0</w:t>
      </w:r>
      <w:r>
        <w:rPr>
          <w:rFonts w:hint="eastAsia" w:cs="方正仿宋_GBK"/>
        </w:rPr>
        <w:t>万元（其中：公务用车购置费</w:t>
      </w:r>
      <w:r>
        <w:t>0</w:t>
      </w:r>
      <w:r>
        <w:rPr>
          <w:rFonts w:hint="eastAsia" w:cs="方正仿宋_GBK"/>
        </w:rPr>
        <w:t>万元，公务用车运行维护费</w:t>
      </w:r>
      <w:r>
        <w:t>0</w:t>
      </w:r>
      <w:r>
        <w:rPr>
          <w:rFonts w:hint="eastAsia" w:cs="方正仿宋_GBK"/>
        </w:rPr>
        <w:t>万元</w:t>
      </w:r>
      <w:r>
        <w:t>)</w:t>
      </w:r>
      <w:r>
        <w:rPr>
          <w:rFonts w:hint="eastAsia" w:cs="方正仿宋_GBK"/>
        </w:rPr>
        <w:t>；公务接待费</w:t>
      </w:r>
      <w:r>
        <w:t>0</w:t>
      </w:r>
      <w:r>
        <w:rPr>
          <w:rFonts w:hint="eastAsia" w:cs="方正仿宋_GBK"/>
        </w:rPr>
        <w:t>万元。</w:t>
      </w:r>
      <w:r>
        <w:t>“</w:t>
      </w:r>
      <w:r>
        <w:rPr>
          <w:rFonts w:hint="eastAsia" w:cs="方正仿宋_GBK"/>
        </w:rPr>
        <w:t>三公</w:t>
      </w:r>
      <w:r>
        <w:t>”</w:t>
      </w:r>
      <w:r>
        <w:rPr>
          <w:rFonts w:hint="eastAsia" w:cs="方正仿宋_GBK"/>
        </w:rPr>
        <w:t>经费与上年减少，因公车改革，取消公车。</w:t>
      </w:r>
    </w:p>
    <w:p>
      <w:pPr>
        <w:pStyle w:val="23"/>
        <w:rPr>
          <w:rFonts w:eastAsia="黑体"/>
          <w:sz w:val="32"/>
          <w:szCs w:val="32"/>
        </w:rPr>
      </w:pPr>
      <w:r>
        <w:rPr>
          <w:rFonts w:hint="eastAsia" w:eastAsia="黑体" w:cs="黑体"/>
          <w:sz w:val="32"/>
          <w:szCs w:val="32"/>
        </w:rPr>
        <w:t>五、预算绩效信息</w:t>
      </w:r>
    </w:p>
    <w:p>
      <w:pPr>
        <w:ind w:firstLine="562" w:firstLineChars="200"/>
      </w:pPr>
      <w:r>
        <w:rPr>
          <w:rFonts w:ascii="方正仿宋_GBK" w:hAnsi="方正仿宋_GBK" w:eastAsia="方正仿宋_GBK" w:cs="方正仿宋_GBK"/>
          <w:b/>
          <w:bCs/>
          <w:color w:val="000000"/>
          <w:sz w:val="28"/>
          <w:szCs w:val="28"/>
        </w:rPr>
        <w:t>1</w:t>
      </w:r>
      <w:r>
        <w:rPr>
          <w:rFonts w:hint="eastAsia" w:ascii="方正仿宋_GBK" w:hAnsi="方正仿宋_GBK" w:eastAsia="方正仿宋_GBK" w:cs="方正仿宋_GBK"/>
          <w:b/>
          <w:bCs/>
          <w:color w:val="000000"/>
          <w:sz w:val="28"/>
          <w:szCs w:val="28"/>
        </w:rPr>
        <w:t>、合作组织培训经费绩效目标表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绩效目标</w:t>
            </w:r>
          </w:p>
        </w:tc>
        <w:tc>
          <w:tcPr>
            <w:tcW w:w="12756" w:type="dxa"/>
            <w:tcBorders>
              <w:top w:val="single" w:color="000000" w:sz="6" w:space="0"/>
              <w:bottom w:val="single" w:color="FFFFFF" w:sz="6" w:space="0"/>
            </w:tcBorders>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1.</w:t>
            </w:r>
            <w:r>
              <w:rPr>
                <w:rFonts w:hint="eastAsia"/>
              </w:rPr>
              <w:t>目标内容</w:t>
            </w:r>
            <w:r>
              <w:rPr>
                <w:rFonts w:hint="default"/>
              </w:rPr>
              <w:t>1</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一级指标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二级指标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三级指标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绩效指标描述</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指标值</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产出指标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数量指标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合作组织培训人数</w:t>
            </w:r>
            <w:r>
              <w:rPr>
                <w:rFonts w:hint="default"/>
              </w:rPr>
              <w:t>400</w:t>
            </w:r>
            <w:r>
              <w:rPr>
                <w:rFonts w:hint="eastAsia"/>
              </w:rPr>
              <w:t>人</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合作组织培训人数</w:t>
            </w:r>
            <w:r>
              <w:rPr>
                <w:rFonts w:hint="default"/>
              </w:rPr>
              <w:t>400</w:t>
            </w:r>
            <w:r>
              <w:rPr>
                <w:rFonts w:hint="eastAsia"/>
              </w:rPr>
              <w:t>人</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400</w:t>
            </w:r>
            <w:r>
              <w:rPr>
                <w:rFonts w:hint="eastAsia"/>
              </w:rPr>
              <w:t>人</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质量指标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培训合格率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培训合格率</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80</w:t>
            </w:r>
            <w:r>
              <w:rPr>
                <w:rFonts w:hint="eastAsia"/>
              </w:rPr>
              <w:t>百分比</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时效指标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完成时间</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2022</w:t>
            </w:r>
            <w:r>
              <w:rPr>
                <w:rFonts w:hint="eastAsia"/>
              </w:rPr>
              <w:t>年</w:t>
            </w:r>
            <w:r>
              <w:rPr>
                <w:rFonts w:hint="default"/>
              </w:rPr>
              <w:t>11</w:t>
            </w:r>
            <w:r>
              <w:rPr>
                <w:rFonts w:hint="eastAsia"/>
              </w:rPr>
              <w:t>月完成</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百分比</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成本指标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人均培训成本</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人均</w:t>
            </w:r>
            <w:r>
              <w:rPr>
                <w:rFonts w:hint="default"/>
              </w:rPr>
              <w:t>75</w:t>
            </w:r>
            <w:r>
              <w:rPr>
                <w:rFonts w:hint="eastAsia"/>
              </w:rPr>
              <w:t>元</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75</w:t>
            </w:r>
            <w:r>
              <w:rPr>
                <w:rFonts w:hint="eastAsia"/>
              </w:rPr>
              <w:t>元</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效益指标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经济效益指标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促进农民增收</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促进农民增收</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5</w:t>
            </w:r>
            <w:r>
              <w:rPr>
                <w:rFonts w:hint="eastAsia"/>
              </w:rPr>
              <w:t>百分比</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满意度指标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服务对象满意度指标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受训人员满意度</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达到</w:t>
            </w:r>
            <w:r>
              <w:rPr>
                <w:rFonts w:hint="default"/>
              </w:rPr>
              <w:t>95%</w:t>
            </w:r>
            <w:r>
              <w:rPr>
                <w:rFonts w:hint="eastAsia"/>
              </w:rPr>
              <w:t>以上</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95</w:t>
            </w:r>
            <w:r>
              <w:rPr>
                <w:rFonts w:hint="eastAsia"/>
              </w:rPr>
              <w:t>百分比</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测算标准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2</w:t>
      </w:r>
      <w:r>
        <w:rPr>
          <w:rFonts w:hint="eastAsia" w:ascii="方正仿宋_GBK" w:hAnsi="方正仿宋_GBK" w:eastAsia="方正仿宋_GBK" w:cs="方正仿宋_GBK"/>
          <w:b/>
          <w:bCs/>
          <w:color w:val="000000"/>
          <w:sz w:val="28"/>
          <w:szCs w:val="28"/>
        </w:rPr>
        <w:t>、农村产权交易市场绩效目标表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绩效目标</w:t>
            </w:r>
          </w:p>
        </w:tc>
        <w:tc>
          <w:tcPr>
            <w:tcW w:w="12756" w:type="dxa"/>
            <w:tcBorders>
              <w:top w:val="single" w:color="000000" w:sz="6" w:space="0"/>
              <w:bottom w:val="single" w:color="FFFFFF" w:sz="6" w:space="0"/>
            </w:tcBorders>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1.</w:t>
            </w:r>
            <w:r>
              <w:rPr>
                <w:rFonts w:hint="eastAsia"/>
              </w:rPr>
              <w:t>目标内容</w:t>
            </w:r>
            <w:r>
              <w:rPr>
                <w:rFonts w:hint="default"/>
              </w:rPr>
              <w:t>1</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一级指标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二级指标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三级指标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绩效指标描述</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指标值</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产出指标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数量指标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村级服务点</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健全村级服务点</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250</w:t>
            </w:r>
            <w:r>
              <w:rPr>
                <w:rFonts w:hint="eastAsia"/>
              </w:rPr>
              <w:t>个</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质量指标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达到标准</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达到标准</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时效指标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完成时间</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2022</w:t>
            </w:r>
            <w:r>
              <w:rPr>
                <w:rFonts w:hint="eastAsia"/>
              </w:rPr>
              <w:t>年底前</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成本指标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努力降低</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努力降低</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效益指标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经济效益指标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实现效益</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实现效益</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社会效益指标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较好</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体系不断完善</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可持续影响指标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较好</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可持续</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省、市社保准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满意度指标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服务对象满意度指标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较好</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较满意</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省、市社标准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bCs/>
          <w:color w:val="000000"/>
          <w:sz w:val="28"/>
          <w:szCs w:val="28"/>
        </w:rPr>
        <w:t>3</w:t>
      </w:r>
      <w:r>
        <w:rPr>
          <w:rFonts w:hint="eastAsia" w:ascii="方正仿宋_GBK" w:hAnsi="方正仿宋_GBK" w:eastAsia="方正仿宋_GBK" w:cs="方正仿宋_GBK"/>
          <w:b/>
          <w:bCs/>
          <w:color w:val="000000"/>
          <w:sz w:val="28"/>
          <w:szCs w:val="28"/>
        </w:rPr>
        <w:t>、退役军人专岗绩效目标表</w:t>
      </w:r>
    </w:p>
    <w:tbl>
      <w:tblPr>
        <w:tblStyle w:val="10"/>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绩效目标</w:t>
            </w:r>
          </w:p>
        </w:tc>
        <w:tc>
          <w:tcPr>
            <w:tcW w:w="12756" w:type="dxa"/>
            <w:tcBorders>
              <w:top w:val="single" w:color="000000" w:sz="6" w:space="0"/>
              <w:bottom w:val="single" w:color="FFFFFF" w:sz="6" w:space="0"/>
            </w:tcBorders>
            <w:vAlign w:val="center"/>
          </w:tcPr>
          <w:p>
            <w:pPr>
              <w:pStyle w:val="17"/>
              <w:keepNext w:val="0"/>
              <w:keepLines w:val="0"/>
              <w:widowControl/>
              <w:suppressLineNumbers w:val="0"/>
              <w:spacing w:before="0" w:beforeAutospacing="0" w:after="0" w:afterAutospacing="0"/>
              <w:ind w:left="0" w:right="0"/>
              <w:rPr>
                <w:rFonts w:hint="default"/>
              </w:rPr>
            </w:pPr>
            <w:r>
              <w:rPr>
                <w:rFonts w:hint="default"/>
              </w:rPr>
              <w:t>1.</w:t>
            </w:r>
            <w:r>
              <w:rPr>
                <w:rFonts w:hint="eastAsia"/>
              </w:rPr>
              <w:t>目标内容</w:t>
            </w:r>
            <w:r>
              <w:rPr>
                <w:rFonts w:hint="default"/>
              </w:rPr>
              <w:t>1</w:t>
            </w:r>
          </w:p>
        </w:tc>
      </w:tr>
    </w:tbl>
    <w:p>
      <w:pPr>
        <w:spacing w:line="2" w:lineRule="exact"/>
        <w:jc w:val="center"/>
      </w:pPr>
      <w:r>
        <w:rPr>
          <w:rFonts w:ascii="方正书宋_GBK" w:hAnsi="方正书宋_GBK" w:eastAsia="方正书宋_GBK" w:cs="方正书宋_GBK"/>
          <w:color w:val="000000"/>
          <w:sz w:val="18"/>
          <w:szCs w:val="18"/>
        </w:rPr>
        <w:t xml:space="preserve"> </w:t>
      </w:r>
    </w:p>
    <w:tbl>
      <w:tblPr>
        <w:tblStyle w:val="10"/>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一级指标</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二级指标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三级指标</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绩效指标描述</w:t>
            </w:r>
          </w:p>
        </w:tc>
        <w:tc>
          <w:tcPr>
            <w:tcW w:w="2551"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指标值</w:t>
            </w:r>
          </w:p>
        </w:tc>
        <w:tc>
          <w:tcPr>
            <w:tcW w:w="2268"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产出指标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数量指标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发放退役军人专岗工资人数</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发放退役军人专岗工资人数</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7</w:t>
            </w:r>
            <w:r>
              <w:rPr>
                <w:rFonts w:hint="eastAsia"/>
              </w:rPr>
              <w:t>人</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质量指标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发放完成率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按月发放</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12</w:t>
            </w:r>
            <w:r>
              <w:rPr>
                <w:rFonts w:hint="eastAsia"/>
              </w:rPr>
              <w:t>月</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时效指标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按时发放工资</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按时发放工资</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12</w:t>
            </w:r>
            <w:r>
              <w:rPr>
                <w:rFonts w:hint="eastAsia"/>
              </w:rPr>
              <w:t>月</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成本指标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经费预算</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工资、社会保险情况</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效益指标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经济效益指标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社会效益指标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资金使用效益</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90</w:t>
            </w:r>
            <w:r>
              <w:rPr>
                <w:rFonts w:hint="eastAsia"/>
              </w:rPr>
              <w:t>比例</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是</w:t>
            </w: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keepNext w:val="0"/>
              <w:keepLines w:val="0"/>
              <w:widowControl/>
              <w:suppressLineNumbers w:val="0"/>
              <w:spacing w:before="0" w:beforeAutospacing="0" w:after="0" w:afterAutospacing="0"/>
              <w:ind w:left="0" w:right="0"/>
              <w:rPr>
                <w:rFonts w:hint="default"/>
              </w:rPr>
            </w:pP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可持续影响指标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持续保持职工权益</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保障职工社会保险正常缴纳</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100</w:t>
            </w:r>
            <w:r>
              <w:rPr>
                <w:rFonts w:hint="eastAsia"/>
              </w:rPr>
              <w:t>保障专岗人员社会保险正常缴纳</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8"/>
              <w:keepNext w:val="0"/>
              <w:keepLines w:val="0"/>
              <w:widowControl/>
              <w:suppressLineNumbers w:val="0"/>
              <w:spacing w:before="0" w:beforeAutospacing="0" w:after="0" w:afterAutospacing="0"/>
              <w:ind w:left="0" w:right="0"/>
              <w:rPr>
                <w:rFonts w:hint="default" w:cs="Times New Roman"/>
              </w:rPr>
            </w:pPr>
            <w:r>
              <w:rPr>
                <w:rFonts w:hint="eastAsia"/>
              </w:rPr>
              <w:t>满意度指标</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服务对象满意度指标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服务对象满意率</w:t>
            </w:r>
          </w:p>
        </w:tc>
        <w:tc>
          <w:tcPr>
            <w:tcW w:w="2835"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专岗人员满意率</w:t>
            </w:r>
          </w:p>
        </w:tc>
        <w:tc>
          <w:tcPr>
            <w:tcW w:w="2551"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w:t>
            </w:r>
            <w:r>
              <w:rPr>
                <w:rFonts w:hint="default"/>
              </w:rPr>
              <w:t>90</w:t>
            </w:r>
            <w:r>
              <w:rPr>
                <w:rFonts w:hint="eastAsia"/>
              </w:rPr>
              <w:t>服务对象满意度</w:t>
            </w:r>
          </w:p>
        </w:tc>
        <w:tc>
          <w:tcPr>
            <w:tcW w:w="2268"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隆尧县人民政府专题会议纪要</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hint="eastAsia" w:ascii="黑体" w:hAnsi="黑体" w:eastAsia="黑体" w:cs="黑体"/>
          <w:color w:val="000000"/>
          <w:sz w:val="32"/>
          <w:szCs w:val="32"/>
        </w:rPr>
        <w:t>六、政府采购预算情况</w:t>
      </w:r>
    </w:p>
    <w:p>
      <w:pPr>
        <w:spacing w:line="500" w:lineRule="exact"/>
        <w:ind w:firstLine="560"/>
      </w:pPr>
      <w:r>
        <w:rPr>
          <w:rFonts w:eastAsia="方正仿宋_GBK"/>
          <w:color w:val="000000"/>
          <w:sz w:val="28"/>
          <w:szCs w:val="28"/>
        </w:rPr>
        <w:t>2022</w:t>
      </w:r>
      <w:r>
        <w:rPr>
          <w:rFonts w:hint="eastAsia" w:eastAsia="方正仿宋_GBK" w:cs="方正仿宋_GBK"/>
          <w:color w:val="000000"/>
          <w:sz w:val="28"/>
          <w:szCs w:val="28"/>
        </w:rPr>
        <w:t>年，隆尧县供销合作社本级安排政府采购预算</w:t>
      </w:r>
      <w:r>
        <w:rPr>
          <w:rFonts w:eastAsia="方正仿宋_GBK"/>
          <w:color w:val="000000"/>
          <w:sz w:val="28"/>
          <w:szCs w:val="28"/>
        </w:rPr>
        <w:t>0.00</w:t>
      </w:r>
      <w:r>
        <w:rPr>
          <w:rFonts w:hint="eastAsia" w:eastAsia="方正仿宋_GBK" w:cs="方正仿宋_GBK"/>
          <w:color w:val="000000"/>
          <w:sz w:val="28"/>
          <w:szCs w:val="28"/>
        </w:rPr>
        <w:t>万元。具体内容见下表。</w:t>
      </w:r>
    </w:p>
    <w:p>
      <w:pPr>
        <w:jc w:val="center"/>
      </w:pPr>
      <w:r>
        <w:rPr>
          <w:rFonts w:hint="eastAsia" w:ascii="方正小标宋_GBK" w:hAnsi="方正小标宋_GBK" w:eastAsia="方正小标宋_GBK" w:cs="方正小标宋_GBK"/>
          <w:color w:val="000000"/>
          <w:sz w:val="36"/>
          <w:szCs w:val="36"/>
        </w:rPr>
        <w:t>单位政府采购预算</w:t>
      </w:r>
    </w:p>
    <w:tbl>
      <w:tblPr>
        <w:tblStyle w:val="10"/>
        <w:tblW w:w="1453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9"/>
        <w:gridCol w:w="964"/>
        <w:gridCol w:w="1134"/>
        <w:gridCol w:w="1134"/>
        <w:gridCol w:w="709"/>
        <w:gridCol w:w="850"/>
        <w:gridCol w:w="850"/>
        <w:gridCol w:w="964"/>
        <w:gridCol w:w="964"/>
        <w:gridCol w:w="964"/>
        <w:gridCol w:w="964"/>
        <w:gridCol w:w="964"/>
        <w:gridCol w:w="964"/>
        <w:gridCol w:w="964"/>
        <w:gridCol w:w="964"/>
        <w:gridCol w:w="8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6000" w:type="dxa"/>
            <w:gridSpan w:val="7"/>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8532" w:type="dxa"/>
            <w:gridSpan w:val="9"/>
            <w:tcBorders>
              <w:top w:val="single" w:color="FFFFFF" w:sz="6" w:space="0"/>
              <w:left w:val="single" w:color="FFFFFF" w:sz="6" w:space="0"/>
              <w:right w:val="single" w:color="FFFFFF" w:sz="6" w:space="0"/>
            </w:tcBorders>
            <w:vAlign w:val="center"/>
          </w:tcPr>
          <w:p>
            <w:pPr>
              <w:pStyle w:val="29"/>
              <w:keepNext w:val="0"/>
              <w:keepLines w:val="0"/>
              <w:widowControl/>
              <w:suppressLineNumbers w:val="0"/>
              <w:spacing w:before="0" w:beforeAutospacing="0" w:after="0" w:afterAutospacing="0"/>
              <w:ind w:left="0" w:right="0"/>
              <w:rPr>
                <w:rFonts w:hint="default" w:cs="Times New Roman"/>
              </w:rPr>
            </w:pPr>
            <w:r>
              <w:rPr>
                <w:rFonts w:hint="eastAsia"/>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323" w:type="dxa"/>
            <w:gridSpan w:val="2"/>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政府采购项目来源</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采购物品名称</w:t>
            </w:r>
          </w:p>
        </w:tc>
        <w:tc>
          <w:tcPr>
            <w:tcW w:w="1134"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政府采购目录序号</w:t>
            </w:r>
          </w:p>
        </w:tc>
        <w:tc>
          <w:tcPr>
            <w:tcW w:w="709"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计量</w:t>
            </w:r>
            <w:r>
              <w:rPr>
                <w:rFonts w:hint="default"/>
              </w:rPr>
              <w:t xml:space="preserve">  </w:t>
            </w:r>
            <w:r>
              <w:rPr>
                <w:rFonts w:hint="eastAsia"/>
              </w:rPr>
              <w:t>单位</w:t>
            </w:r>
          </w:p>
        </w:tc>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数量</w:t>
            </w:r>
          </w:p>
        </w:tc>
        <w:tc>
          <w:tcPr>
            <w:tcW w:w="85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单价</w:t>
            </w:r>
          </w:p>
        </w:tc>
        <w:tc>
          <w:tcPr>
            <w:tcW w:w="7712" w:type="dxa"/>
            <w:gridSpan w:val="8"/>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政府采购金额（当年部门预算安排资金）</w:t>
            </w:r>
          </w:p>
        </w:tc>
        <w:tc>
          <w:tcPr>
            <w:tcW w:w="820" w:type="dxa"/>
            <w:vMerge w:val="restart"/>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default"/>
              </w:rPr>
              <w:t>2022</w:t>
            </w:r>
            <w:r>
              <w:rPr>
                <w:rFonts w:hint="eastAsia"/>
              </w:rPr>
              <w:t>年</w:t>
            </w:r>
            <w:r>
              <w:rPr>
                <w:rFonts w:hint="default"/>
              </w:rPr>
              <w:t xml:space="preserve">  </w:t>
            </w:r>
            <w:r>
              <w:rPr>
                <w:rFonts w:hint="eastAsia"/>
              </w:rPr>
              <w:t>预留中</w:t>
            </w:r>
            <w:r>
              <w:rPr>
                <w:rFonts w:hint="default"/>
              </w:rPr>
              <w:t xml:space="preserve">  </w:t>
            </w:r>
            <w:r>
              <w:rPr>
                <w:rFonts w:hint="eastAsia"/>
              </w:rPr>
              <w:t>小微企</w:t>
            </w:r>
            <w:r>
              <w:rPr>
                <w:rFonts w:hint="default"/>
              </w:rPr>
              <w:t xml:space="preserve">  </w:t>
            </w:r>
            <w:r>
              <w:rPr>
                <w:rFonts w:hint="eastAsia"/>
              </w:rPr>
              <w:t>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59"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项目名称</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预算</w:t>
            </w:r>
            <w:r>
              <w:rPr>
                <w:rFonts w:hint="default"/>
              </w:rPr>
              <w:t xml:space="preserve">    </w:t>
            </w:r>
            <w:r>
              <w:rPr>
                <w:rFonts w:hint="eastAsia"/>
              </w:rPr>
              <w:t>资金</w:t>
            </w: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1134" w:type="dxa"/>
            <w:vMerge w:val="continue"/>
          </w:tcPr>
          <w:p>
            <w:pPr>
              <w:keepNext w:val="0"/>
              <w:keepLines w:val="0"/>
              <w:widowControl/>
              <w:suppressLineNumbers w:val="0"/>
              <w:spacing w:before="0" w:beforeAutospacing="0" w:after="0" w:afterAutospacing="0"/>
              <w:ind w:left="0" w:right="0"/>
              <w:rPr>
                <w:rFonts w:hint="default"/>
              </w:rPr>
            </w:pPr>
          </w:p>
        </w:tc>
        <w:tc>
          <w:tcPr>
            <w:tcW w:w="709"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850" w:type="dxa"/>
            <w:vMerge w:val="continue"/>
          </w:tcPr>
          <w:p>
            <w:pPr>
              <w:keepNext w:val="0"/>
              <w:keepLines w:val="0"/>
              <w:widowControl/>
              <w:suppressLineNumbers w:val="0"/>
              <w:spacing w:before="0" w:beforeAutospacing="0" w:after="0" w:afterAutospacing="0"/>
              <w:ind w:left="0" w:right="0"/>
              <w:rPr>
                <w:rFonts w:hint="default"/>
              </w:rPr>
            </w:pP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合计</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一般公共预算拨款</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基金预算拨款</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国有资本经营预算拨款</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财政专户核拨</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单位</w:t>
            </w:r>
            <w:r>
              <w:rPr>
                <w:rFonts w:hint="default"/>
              </w:rPr>
              <w:t xml:space="preserve">    </w:t>
            </w:r>
            <w:r>
              <w:rPr>
                <w:rFonts w:hint="eastAsia"/>
              </w:rPr>
              <w:t>资金</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财政拨</w:t>
            </w:r>
            <w:r>
              <w:rPr>
                <w:rFonts w:hint="default"/>
              </w:rPr>
              <w:t xml:space="preserve">    </w:t>
            </w:r>
            <w:r>
              <w:rPr>
                <w:rFonts w:hint="eastAsia"/>
              </w:rPr>
              <w:t>款结转</w:t>
            </w:r>
          </w:p>
        </w:tc>
        <w:tc>
          <w:tcPr>
            <w:tcW w:w="964"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非财政</w:t>
            </w:r>
            <w:r>
              <w:rPr>
                <w:rFonts w:hint="default"/>
              </w:rPr>
              <w:t xml:space="preserve">    </w:t>
            </w:r>
            <w:r>
              <w:rPr>
                <w:rFonts w:hint="eastAsia"/>
              </w:rPr>
              <w:t>拨款结</w:t>
            </w:r>
            <w:r>
              <w:rPr>
                <w:rFonts w:hint="default"/>
              </w:rPr>
              <w:t xml:space="preserve">    </w:t>
            </w:r>
            <w:r>
              <w:rPr>
                <w:rFonts w:hint="eastAsia"/>
              </w:rPr>
              <w:t>转结余</w:t>
            </w:r>
          </w:p>
        </w:tc>
        <w:tc>
          <w:tcPr>
            <w:tcW w:w="820" w:type="dxa"/>
            <w:vMerge w:val="continue"/>
          </w:tcPr>
          <w:p>
            <w:pPr>
              <w:keepNext w:val="0"/>
              <w:keepLines w:val="0"/>
              <w:widowControl/>
              <w:suppressLineNumbers w:val="0"/>
              <w:spacing w:before="0" w:beforeAutospacing="0" w:after="0" w:afterAutospacing="0"/>
              <w:ind w:left="0" w:right="0"/>
              <w:rPr>
                <w:rFonts w:hint="default"/>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59"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1134" w:type="dxa"/>
            <w:vAlign w:val="center"/>
          </w:tcPr>
          <w:p>
            <w:pPr>
              <w:pStyle w:val="17"/>
              <w:keepNext w:val="0"/>
              <w:keepLines w:val="0"/>
              <w:widowControl/>
              <w:suppressLineNumbers w:val="0"/>
              <w:spacing w:before="0" w:beforeAutospacing="0" w:after="0" w:afterAutospacing="0"/>
              <w:ind w:left="0" w:right="0"/>
              <w:rPr>
                <w:rFonts w:hint="default" w:cs="Times New Roman"/>
              </w:rPr>
            </w:pPr>
          </w:p>
        </w:tc>
        <w:tc>
          <w:tcPr>
            <w:tcW w:w="709"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850"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850"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964"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c>
          <w:tcPr>
            <w:tcW w:w="820"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bl>
    <w:p>
      <w:pPr>
        <w:spacing w:line="500" w:lineRule="exact"/>
        <w:ind w:firstLine="420"/>
      </w:pPr>
      <w:r>
        <w:rPr>
          <w:rFonts w:hint="eastAsia" w:ascii="方正书宋_GBK" w:hAnsi="方正书宋_GBK" w:eastAsia="方正书宋_GBK" w:cs="方正书宋_GBK"/>
          <w:color w:val="000000"/>
          <w:sz w:val="21"/>
          <w:szCs w:val="21"/>
        </w:rPr>
        <w:t>注：同一采购目录序号的物品，其单价会因配置规格不同而变动，均符合资产配置标准。涉密采购事项按照相关规定执行。</w:t>
      </w:r>
    </w:p>
    <w:p>
      <w:pPr>
        <w:ind w:firstLine="420"/>
      </w:pPr>
      <w:r>
        <w:rPr>
          <w:rFonts w:hint="eastAsia" w:ascii="方正书宋_GBK" w:hAnsi="方正书宋_GBK" w:eastAsia="方正书宋_GBK" w:cs="方正书宋_GBK"/>
          <w:color w:val="000000"/>
          <w:sz w:val="21"/>
          <w:szCs w:val="21"/>
        </w:rPr>
        <w:t>注：无政府采购预算，空表列示。</w:t>
      </w:r>
    </w:p>
    <w:p>
      <w:pPr>
        <w:ind w:firstLine="640"/>
      </w:pPr>
      <w:r>
        <w:rPr>
          <w:rFonts w:eastAsia="方正仿宋_GBK"/>
          <w:color w:val="000000"/>
          <w:sz w:val="32"/>
          <w:szCs w:val="32"/>
        </w:rPr>
        <w:t xml:space="preserve"> </w:t>
      </w:r>
    </w:p>
    <w:p>
      <w:pPr>
        <w:spacing w:before="10" w:after="10"/>
        <w:ind w:firstLine="640"/>
        <w:outlineLvl w:val="5"/>
      </w:pPr>
      <w:r>
        <w:rPr>
          <w:rFonts w:hint="eastAsia" w:ascii="黑体" w:hAnsi="黑体" w:eastAsia="黑体" w:cs="黑体"/>
          <w:color w:val="000000"/>
          <w:sz w:val="32"/>
          <w:szCs w:val="32"/>
        </w:rPr>
        <w:t>七、国有资产信息</w:t>
      </w:r>
    </w:p>
    <w:p>
      <w:pPr>
        <w:spacing w:line="500" w:lineRule="exact"/>
        <w:ind w:firstLine="560"/>
      </w:pPr>
      <w:r>
        <w:rPr>
          <w:rFonts w:hint="eastAsia" w:eastAsia="方正仿宋_GBK" w:cs="方正仿宋_GBK"/>
          <w:color w:val="000000"/>
          <w:sz w:val="28"/>
          <w:szCs w:val="28"/>
        </w:rPr>
        <w:t>隆尧县供销合作社本级上年末固定资产金额为</w:t>
      </w:r>
      <w:r>
        <w:rPr>
          <w:rFonts w:eastAsia="方正仿宋_GBK"/>
          <w:color w:val="000000"/>
          <w:sz w:val="28"/>
          <w:szCs w:val="28"/>
        </w:rPr>
        <w:t>292.43</w:t>
      </w:r>
      <w:r>
        <w:rPr>
          <w:rFonts w:hint="eastAsia" w:eastAsia="方正仿宋_GBK" w:cs="方正仿宋_GBK"/>
          <w:color w:val="000000"/>
          <w:sz w:val="28"/>
          <w:szCs w:val="28"/>
        </w:rPr>
        <w:t>万元（详见下表）。本年度拟购置固定资产总额为</w:t>
      </w:r>
      <w:r>
        <w:rPr>
          <w:rFonts w:eastAsia="方正仿宋_GBK"/>
          <w:color w:val="000000"/>
          <w:sz w:val="28"/>
          <w:szCs w:val="28"/>
        </w:rPr>
        <w:t>0.00</w:t>
      </w:r>
      <w:r>
        <w:rPr>
          <w:rFonts w:hint="eastAsia" w:eastAsia="方正仿宋_GBK" w:cs="方正仿宋_GBK"/>
          <w:color w:val="000000"/>
          <w:sz w:val="28"/>
          <w:szCs w:val="28"/>
        </w:rPr>
        <w:t>万元，已按要求列入政府采购预算，详见政府采购预算表。</w:t>
      </w:r>
    </w:p>
    <w:p>
      <w:pPr>
        <w:jc w:val="center"/>
      </w:pPr>
      <w:r>
        <w:rPr>
          <w:rFonts w:hint="eastAsia" w:ascii="方正小标宋_GBK" w:hAnsi="方正小标宋_GBK" w:eastAsia="方正小标宋_GBK" w:cs="方正小标宋_GBK"/>
          <w:color w:val="000000"/>
          <w:sz w:val="36"/>
          <w:szCs w:val="36"/>
        </w:rPr>
        <w:t>单位固定资产占用情况表</w:t>
      </w:r>
    </w:p>
    <w:tbl>
      <w:tblPr>
        <w:tblStyle w:val="10"/>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4"/>
              <w:keepNext w:val="0"/>
              <w:keepLines w:val="0"/>
              <w:widowControl/>
              <w:suppressLineNumbers w:val="0"/>
              <w:spacing w:before="0" w:beforeAutospacing="0" w:after="0" w:afterAutospacing="0"/>
              <w:ind w:left="0" w:right="0"/>
              <w:rPr>
                <w:rFonts w:hint="default" w:cs="Times New Roman"/>
              </w:rPr>
            </w:pPr>
            <w:r>
              <w:rPr>
                <w:rFonts w:hint="default"/>
              </w:rPr>
              <w:t>975001</w:t>
            </w:r>
            <w:r>
              <w:rPr>
                <w:rFonts w:hint="eastAsia"/>
              </w:rPr>
              <w:t>隆尧县供销合作社本级</w:t>
            </w:r>
          </w:p>
        </w:tc>
        <w:tc>
          <w:tcPr>
            <w:tcW w:w="5670" w:type="dxa"/>
            <w:gridSpan w:val="2"/>
            <w:tcBorders>
              <w:top w:val="single" w:color="FFFFFF" w:sz="6" w:space="0"/>
              <w:left w:val="single" w:color="FFFFFF" w:sz="6" w:space="0"/>
              <w:right w:val="single" w:color="FFFFFF" w:sz="6" w:space="0"/>
            </w:tcBorders>
            <w:vAlign w:val="center"/>
          </w:tcPr>
          <w:p>
            <w:pPr>
              <w:pStyle w:val="12"/>
              <w:keepNext w:val="0"/>
              <w:keepLines w:val="0"/>
              <w:widowControl/>
              <w:suppressLineNumbers w:val="0"/>
              <w:spacing w:before="0" w:beforeAutospacing="0" w:after="0" w:afterAutospacing="0"/>
              <w:ind w:left="0" w:right="0"/>
              <w:rPr>
                <w:rFonts w:hint="default"/>
              </w:rPr>
            </w:pPr>
            <w:r>
              <w:rPr>
                <w:rFonts w:hint="eastAsia"/>
              </w:rPr>
              <w:t>截止时间：</w:t>
            </w:r>
            <w:r>
              <w:rPr>
                <w:rFonts w:hint="default"/>
              </w:rPr>
              <w:t>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项</w:t>
            </w:r>
            <w:r>
              <w:rPr>
                <w:rFonts w:hint="default"/>
              </w:rPr>
              <w:t xml:space="preserve">   </w:t>
            </w:r>
            <w:r>
              <w:rPr>
                <w:rFonts w:hint="eastAsia"/>
              </w:rPr>
              <w:t>目</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数量</w:t>
            </w:r>
          </w:p>
        </w:tc>
        <w:tc>
          <w:tcPr>
            <w:tcW w:w="2835" w:type="dxa"/>
            <w:vAlign w:val="center"/>
          </w:tcPr>
          <w:p>
            <w:pPr>
              <w:pStyle w:val="15"/>
              <w:keepNext w:val="0"/>
              <w:keepLines w:val="0"/>
              <w:widowControl/>
              <w:suppressLineNumbers w:val="0"/>
              <w:spacing w:before="0" w:beforeAutospacing="0" w:after="0" w:afterAutospacing="0"/>
              <w:ind w:left="0" w:right="0"/>
              <w:rPr>
                <w:rFonts w:hint="default" w:cs="Times New Roman"/>
              </w:rPr>
            </w:pPr>
            <w:r>
              <w:rPr>
                <w:rFonts w:hint="eastAsia"/>
              </w:rP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资产总额</w:t>
            </w:r>
          </w:p>
        </w:tc>
        <w:tc>
          <w:tcPr>
            <w:tcW w:w="2835"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1</w:t>
            </w:r>
            <w:r>
              <w:rPr>
                <w:rFonts w:hint="eastAsia"/>
              </w:rPr>
              <w:t>、房屋（平方米）</w:t>
            </w:r>
          </w:p>
        </w:tc>
        <w:tc>
          <w:tcPr>
            <w:tcW w:w="2835"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1300</w:t>
            </w:r>
          </w:p>
        </w:tc>
        <w:tc>
          <w:tcPr>
            <w:tcW w:w="2835"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eastAsia"/>
              </w:rPr>
              <w:t>　　其中：办公用房（平方米）</w:t>
            </w:r>
          </w:p>
        </w:tc>
        <w:tc>
          <w:tcPr>
            <w:tcW w:w="2835" w:type="dxa"/>
            <w:vAlign w:val="center"/>
          </w:tcPr>
          <w:p>
            <w:pPr>
              <w:pStyle w:val="18"/>
              <w:keepNext w:val="0"/>
              <w:keepLines w:val="0"/>
              <w:widowControl/>
              <w:suppressLineNumbers w:val="0"/>
              <w:spacing w:before="0" w:beforeAutospacing="0" w:after="0" w:afterAutospacing="0"/>
              <w:ind w:left="0" w:right="0"/>
              <w:rPr>
                <w:rFonts w:hint="default"/>
              </w:rPr>
            </w:pPr>
            <w:r>
              <w:rPr>
                <w:rFonts w:hint="default"/>
              </w:rPr>
              <w:t>1300</w:t>
            </w:r>
          </w:p>
        </w:tc>
        <w:tc>
          <w:tcPr>
            <w:tcW w:w="2835" w:type="dxa"/>
            <w:vAlign w:val="center"/>
          </w:tcPr>
          <w:p>
            <w:pPr>
              <w:pStyle w:val="16"/>
              <w:keepNext w:val="0"/>
              <w:keepLines w:val="0"/>
              <w:widowControl/>
              <w:suppressLineNumbers w:val="0"/>
              <w:spacing w:before="0" w:beforeAutospacing="0" w:after="0" w:afterAutospacing="0"/>
              <w:ind w:left="0" w:right="0"/>
              <w:rPr>
                <w:rFonts w:hint="default"/>
              </w:rPr>
            </w:pPr>
            <w:r>
              <w:rPr>
                <w:rFonts w:hint="default"/>
              </w:rPr>
              <w:t>292.43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2</w:t>
            </w:r>
            <w:r>
              <w:rPr>
                <w:rFonts w:hint="eastAsia"/>
              </w:rPr>
              <w:t>、车辆（台、辆）</w:t>
            </w:r>
          </w:p>
        </w:tc>
        <w:tc>
          <w:tcPr>
            <w:tcW w:w="2835"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3</w:t>
            </w:r>
            <w:r>
              <w:rPr>
                <w:rFonts w:hint="eastAsia"/>
              </w:rPr>
              <w:t>、单价在</w:t>
            </w:r>
            <w:r>
              <w:rPr>
                <w:rFonts w:hint="default"/>
              </w:rPr>
              <w:t>20</w:t>
            </w:r>
            <w:r>
              <w:rPr>
                <w:rFonts w:hint="eastAsia"/>
              </w:rPr>
              <w:t>万元以上的设备</w:t>
            </w:r>
          </w:p>
        </w:tc>
        <w:tc>
          <w:tcPr>
            <w:tcW w:w="2835"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7"/>
              <w:keepNext w:val="0"/>
              <w:keepLines w:val="0"/>
              <w:widowControl/>
              <w:suppressLineNumbers w:val="0"/>
              <w:spacing w:before="0" w:beforeAutospacing="0" w:after="0" w:afterAutospacing="0"/>
              <w:ind w:left="0" w:right="0"/>
              <w:rPr>
                <w:rFonts w:hint="default" w:cs="Times New Roman"/>
              </w:rPr>
            </w:pPr>
            <w:r>
              <w:rPr>
                <w:rFonts w:hint="default"/>
              </w:rPr>
              <w:t>4</w:t>
            </w:r>
            <w:r>
              <w:rPr>
                <w:rFonts w:hint="eastAsia"/>
              </w:rPr>
              <w:t>、其他固定资产</w:t>
            </w:r>
          </w:p>
        </w:tc>
        <w:tc>
          <w:tcPr>
            <w:tcW w:w="2835" w:type="dxa"/>
            <w:vAlign w:val="center"/>
          </w:tcPr>
          <w:p>
            <w:pPr>
              <w:pStyle w:val="18"/>
              <w:keepNext w:val="0"/>
              <w:keepLines w:val="0"/>
              <w:widowControl/>
              <w:suppressLineNumbers w:val="0"/>
              <w:spacing w:before="0" w:beforeAutospacing="0" w:after="0" w:afterAutospacing="0"/>
              <w:ind w:left="0" w:right="0"/>
              <w:rPr>
                <w:rFonts w:hint="default" w:cs="Times New Roman"/>
              </w:rPr>
            </w:pPr>
          </w:p>
        </w:tc>
        <w:tc>
          <w:tcPr>
            <w:tcW w:w="2835" w:type="dxa"/>
            <w:vAlign w:val="center"/>
          </w:tcPr>
          <w:p>
            <w:pPr>
              <w:pStyle w:val="16"/>
              <w:keepNext w:val="0"/>
              <w:keepLines w:val="0"/>
              <w:widowControl/>
              <w:suppressLineNumbers w:val="0"/>
              <w:spacing w:before="0" w:beforeAutospacing="0" w:after="0" w:afterAutospacing="0"/>
              <w:ind w:left="0" w:right="0"/>
              <w:rPr>
                <w:rFonts w:hint="default" w:cs="Times New Roman"/>
              </w:rPr>
            </w:pPr>
          </w:p>
        </w:tc>
      </w:tr>
    </w:tbl>
    <w:p>
      <w:pPr>
        <w:ind w:firstLine="640"/>
      </w:pPr>
      <w:r>
        <w:rPr>
          <w:rFonts w:eastAsia="方正仿宋_GBK"/>
          <w:color w:val="000000"/>
          <w:sz w:val="32"/>
          <w:szCs w:val="32"/>
        </w:rPr>
        <w:t xml:space="preserve"> </w:t>
      </w:r>
    </w:p>
    <w:p>
      <w:pPr>
        <w:spacing w:before="10" w:after="10"/>
        <w:ind w:firstLine="640"/>
        <w:outlineLvl w:val="5"/>
      </w:pPr>
      <w:r>
        <w:rPr>
          <w:rFonts w:hint="eastAsia" w:ascii="黑体" w:hAnsi="黑体" w:eastAsia="黑体" w:cs="黑体"/>
          <w:color w:val="000000"/>
          <w:sz w:val="32"/>
          <w:szCs w:val="32"/>
        </w:rPr>
        <w:t>八、名词解释</w:t>
      </w:r>
    </w:p>
    <w:p>
      <w:pPr>
        <w:spacing w:line="500" w:lineRule="exact"/>
        <w:ind w:firstLine="560"/>
      </w:pPr>
      <w:r>
        <w:rPr>
          <w:rFonts w:eastAsia="方正仿宋_GBK"/>
          <w:color w:val="000000"/>
          <w:sz w:val="28"/>
          <w:szCs w:val="28"/>
        </w:rPr>
        <w:t>1</w:t>
      </w:r>
      <w:r>
        <w:rPr>
          <w:rFonts w:hint="eastAsia" w:eastAsia="方正仿宋_GBK" w:cs="方正仿宋_GBK"/>
          <w:color w:val="000000"/>
          <w:sz w:val="28"/>
          <w:szCs w:val="28"/>
        </w:rPr>
        <w:t>、</w:t>
      </w:r>
      <w:r>
        <w:rPr>
          <w:rFonts w:hint="eastAsia" w:eastAsia="方正仿宋_GBK" w:cs="方正仿宋_GBK"/>
          <w:b/>
          <w:bCs/>
          <w:color w:val="000000"/>
          <w:sz w:val="28"/>
          <w:szCs w:val="28"/>
        </w:rPr>
        <w:t>一般公共预算拨款收入：</w:t>
      </w:r>
      <w:r>
        <w:rPr>
          <w:rFonts w:hint="eastAsia" w:eastAsia="方正仿宋_GBK" w:cs="方正仿宋_GBK"/>
          <w:color w:val="000000"/>
          <w:sz w:val="28"/>
          <w:szCs w:val="28"/>
        </w:rPr>
        <w:t>指</w:t>
      </w:r>
      <w:r>
        <w:rPr>
          <w:rFonts w:hint="eastAsia" w:eastAsia="方正仿宋_GBK" w:cs="方正仿宋_GBK"/>
          <w:color w:val="000000"/>
          <w:sz w:val="28"/>
          <w:szCs w:val="28"/>
          <w:lang w:val="en-US" w:eastAsia="zh-CN"/>
        </w:rPr>
        <w:t>县级</w:t>
      </w:r>
      <w:r>
        <w:rPr>
          <w:rFonts w:hint="eastAsia" w:eastAsia="方正仿宋_GBK" w:cs="方正仿宋_GBK"/>
          <w:color w:val="000000"/>
          <w:sz w:val="28"/>
          <w:szCs w:val="28"/>
        </w:rPr>
        <w:t>财政当年拨付的资金。</w:t>
      </w:r>
    </w:p>
    <w:p>
      <w:pPr>
        <w:spacing w:line="500" w:lineRule="exact"/>
        <w:ind w:firstLine="560"/>
      </w:pPr>
      <w:r>
        <w:rPr>
          <w:rFonts w:eastAsia="方正仿宋_GBK"/>
          <w:color w:val="000000"/>
          <w:sz w:val="28"/>
          <w:szCs w:val="28"/>
        </w:rPr>
        <w:t>2</w:t>
      </w:r>
      <w:r>
        <w:rPr>
          <w:rFonts w:hint="eastAsia" w:eastAsia="方正仿宋_GBK" w:cs="方正仿宋_GBK"/>
          <w:color w:val="000000"/>
          <w:sz w:val="28"/>
          <w:szCs w:val="28"/>
        </w:rPr>
        <w:t>、</w:t>
      </w:r>
      <w:r>
        <w:rPr>
          <w:rFonts w:hint="eastAsia" w:eastAsia="方正仿宋_GBK" w:cs="方正仿宋_GBK"/>
          <w:b/>
          <w:bCs/>
          <w:color w:val="000000"/>
          <w:sz w:val="28"/>
          <w:szCs w:val="28"/>
        </w:rPr>
        <w:t>事业收入：</w:t>
      </w:r>
      <w:r>
        <w:rPr>
          <w:rFonts w:hint="eastAsia" w:eastAsia="方正仿宋_GBK" w:cs="方正仿宋_GBK"/>
          <w:color w:val="000000"/>
          <w:sz w:val="28"/>
          <w:szCs w:val="28"/>
        </w:rPr>
        <w:t>指事业单位开展专业业务活动及辅助活动所取得的收入。</w:t>
      </w:r>
    </w:p>
    <w:p>
      <w:pPr>
        <w:spacing w:line="500" w:lineRule="exact"/>
        <w:ind w:firstLine="560"/>
      </w:pPr>
      <w:r>
        <w:rPr>
          <w:rFonts w:eastAsia="方正仿宋_GBK"/>
          <w:color w:val="000000"/>
          <w:sz w:val="28"/>
          <w:szCs w:val="28"/>
        </w:rPr>
        <w:t>3</w:t>
      </w:r>
      <w:r>
        <w:rPr>
          <w:rFonts w:hint="eastAsia" w:eastAsia="方正仿宋_GBK" w:cs="方正仿宋_GBK"/>
          <w:color w:val="000000"/>
          <w:sz w:val="28"/>
          <w:szCs w:val="28"/>
        </w:rPr>
        <w:t>、</w:t>
      </w:r>
      <w:r>
        <w:rPr>
          <w:rFonts w:hint="eastAsia" w:eastAsia="方正仿宋_GBK" w:cs="方正仿宋_GBK"/>
          <w:b/>
          <w:bCs/>
          <w:color w:val="000000"/>
          <w:sz w:val="28"/>
          <w:szCs w:val="28"/>
        </w:rPr>
        <w:t>其他收入：</w:t>
      </w:r>
      <w:r>
        <w:rPr>
          <w:rFonts w:hint="eastAsia" w:eastAsia="方正仿宋_GBK" w:cs="方正仿宋_GBK"/>
          <w:color w:val="000000"/>
          <w:sz w:val="28"/>
          <w:szCs w:val="28"/>
        </w:rPr>
        <w:t>指除</w:t>
      </w:r>
      <w:r>
        <w:rPr>
          <w:rFonts w:eastAsia="方正仿宋_GBK"/>
          <w:color w:val="000000"/>
          <w:sz w:val="28"/>
          <w:szCs w:val="28"/>
        </w:rPr>
        <w:t>“</w:t>
      </w:r>
      <w:r>
        <w:rPr>
          <w:rFonts w:hint="eastAsia" w:eastAsia="方正仿宋_GBK" w:cs="方正仿宋_GBK"/>
          <w:color w:val="000000"/>
          <w:sz w:val="28"/>
          <w:szCs w:val="28"/>
        </w:rPr>
        <w:t>一般公共预算拨款收入</w:t>
      </w:r>
      <w:r>
        <w:rPr>
          <w:rFonts w:eastAsia="方正仿宋_GBK"/>
          <w:color w:val="000000"/>
          <w:sz w:val="28"/>
          <w:szCs w:val="28"/>
        </w:rPr>
        <w:t>”</w:t>
      </w:r>
      <w:r>
        <w:rPr>
          <w:rFonts w:hint="eastAsia" w:eastAsia="方正仿宋_GBK" w:cs="方正仿宋_GBK"/>
          <w:color w:val="000000"/>
          <w:sz w:val="28"/>
          <w:szCs w:val="28"/>
        </w:rPr>
        <w:t>、</w:t>
      </w:r>
      <w:r>
        <w:rPr>
          <w:rFonts w:eastAsia="方正仿宋_GBK"/>
          <w:color w:val="000000"/>
          <w:sz w:val="28"/>
          <w:szCs w:val="28"/>
        </w:rPr>
        <w:t>“</w:t>
      </w:r>
      <w:r>
        <w:rPr>
          <w:rFonts w:hint="eastAsia" w:eastAsia="方正仿宋_GBK" w:cs="方正仿宋_GBK"/>
          <w:color w:val="000000"/>
          <w:sz w:val="28"/>
          <w:szCs w:val="28"/>
        </w:rPr>
        <w:t>事业收入</w:t>
      </w:r>
      <w:r>
        <w:rPr>
          <w:rFonts w:eastAsia="方正仿宋_GBK"/>
          <w:color w:val="000000"/>
          <w:sz w:val="28"/>
          <w:szCs w:val="28"/>
        </w:rPr>
        <w:t>”</w:t>
      </w:r>
      <w:r>
        <w:rPr>
          <w:rFonts w:hint="eastAsia" w:eastAsia="方正仿宋_GBK" w:cs="方正仿宋_GBK"/>
          <w:color w:val="000000"/>
          <w:sz w:val="28"/>
          <w:szCs w:val="28"/>
        </w:rPr>
        <w:t>等以外的收入。主要是按规定动用的租房收入、存款利息收入等。</w:t>
      </w:r>
    </w:p>
    <w:p>
      <w:pPr>
        <w:spacing w:line="500" w:lineRule="exact"/>
        <w:ind w:firstLine="560"/>
      </w:pPr>
      <w:r>
        <w:rPr>
          <w:rFonts w:eastAsia="方正仿宋_GBK"/>
          <w:color w:val="000000"/>
          <w:sz w:val="28"/>
          <w:szCs w:val="28"/>
        </w:rPr>
        <w:t>4</w:t>
      </w:r>
      <w:r>
        <w:rPr>
          <w:rFonts w:hint="eastAsia" w:eastAsia="方正仿宋_GBK" w:cs="方正仿宋_GBK"/>
          <w:color w:val="000000"/>
          <w:sz w:val="28"/>
          <w:szCs w:val="28"/>
        </w:rPr>
        <w:t>、</w:t>
      </w:r>
      <w:r>
        <w:rPr>
          <w:rFonts w:hint="eastAsia" w:eastAsia="方正仿宋_GBK" w:cs="方正仿宋_GBK"/>
          <w:b/>
          <w:bCs/>
          <w:color w:val="000000"/>
          <w:sz w:val="28"/>
          <w:szCs w:val="28"/>
        </w:rPr>
        <w:t>基本支出：</w:t>
      </w:r>
      <w:r>
        <w:rPr>
          <w:rFonts w:hint="eastAsia" w:eastAsia="方正仿宋_GBK" w:cs="方正仿宋_GBK"/>
          <w:color w:val="000000"/>
          <w:sz w:val="28"/>
          <w:szCs w:val="28"/>
        </w:rPr>
        <w:t>指为保障机构正常运转、完成日常工作任务而发生的人员支出和公用支出。</w:t>
      </w:r>
    </w:p>
    <w:p>
      <w:pPr>
        <w:spacing w:line="500" w:lineRule="exact"/>
        <w:ind w:firstLine="560"/>
      </w:pPr>
      <w:r>
        <w:rPr>
          <w:rFonts w:eastAsia="方正仿宋_GBK"/>
          <w:color w:val="000000"/>
          <w:sz w:val="28"/>
          <w:szCs w:val="28"/>
        </w:rPr>
        <w:t>5</w:t>
      </w:r>
      <w:r>
        <w:rPr>
          <w:rFonts w:hint="eastAsia" w:eastAsia="方正仿宋_GBK" w:cs="方正仿宋_GBK"/>
          <w:color w:val="000000"/>
          <w:sz w:val="28"/>
          <w:szCs w:val="28"/>
        </w:rPr>
        <w:t>、</w:t>
      </w:r>
      <w:r>
        <w:rPr>
          <w:rFonts w:hint="eastAsia" w:eastAsia="方正仿宋_GBK" w:cs="方正仿宋_GBK"/>
          <w:b/>
          <w:bCs/>
          <w:color w:val="000000"/>
          <w:sz w:val="28"/>
          <w:szCs w:val="28"/>
        </w:rPr>
        <w:t>项目支出：</w:t>
      </w:r>
      <w:r>
        <w:rPr>
          <w:rFonts w:hint="eastAsia" w:eastAsia="方正仿宋_GBK" w:cs="方正仿宋_GBK"/>
          <w:color w:val="000000"/>
          <w:sz w:val="28"/>
          <w:szCs w:val="28"/>
        </w:rPr>
        <w:t>指在基本支出之外为完成特定行政任务和事业发展目标所发生的支出。</w:t>
      </w:r>
    </w:p>
    <w:p>
      <w:pPr>
        <w:spacing w:line="500" w:lineRule="exact"/>
        <w:ind w:firstLine="560"/>
      </w:pPr>
      <w:r>
        <w:rPr>
          <w:rFonts w:eastAsia="方正仿宋_GBK"/>
          <w:color w:val="000000"/>
          <w:sz w:val="28"/>
          <w:szCs w:val="28"/>
        </w:rPr>
        <w:t>6</w:t>
      </w:r>
      <w:r>
        <w:rPr>
          <w:rFonts w:hint="eastAsia" w:eastAsia="方正仿宋_GBK" w:cs="方正仿宋_GBK"/>
          <w:color w:val="000000"/>
          <w:sz w:val="28"/>
          <w:szCs w:val="28"/>
        </w:rPr>
        <w:t>、</w:t>
      </w:r>
      <w:r>
        <w:rPr>
          <w:rFonts w:hint="eastAsia" w:eastAsia="方正仿宋_GBK" w:cs="方正仿宋_GBK"/>
          <w:b/>
          <w:bCs/>
          <w:color w:val="000000"/>
          <w:sz w:val="28"/>
          <w:szCs w:val="28"/>
        </w:rPr>
        <w:t>上缴上级支出：</w:t>
      </w:r>
      <w:r>
        <w:rPr>
          <w:rFonts w:hint="eastAsia" w:eastAsia="方正仿宋_GBK" w:cs="方正仿宋_GBK"/>
          <w:color w:val="000000"/>
          <w:sz w:val="28"/>
          <w:szCs w:val="28"/>
        </w:rPr>
        <w:t>指下级单位上缴上级的支出。</w:t>
      </w:r>
    </w:p>
    <w:p>
      <w:pPr>
        <w:spacing w:line="500" w:lineRule="exact"/>
        <w:ind w:firstLine="560"/>
      </w:pPr>
      <w:r>
        <w:rPr>
          <w:rFonts w:eastAsia="方正仿宋_GBK"/>
          <w:color w:val="000000"/>
          <w:sz w:val="28"/>
          <w:szCs w:val="28"/>
        </w:rPr>
        <w:t>7</w:t>
      </w:r>
      <w:r>
        <w:rPr>
          <w:rFonts w:hint="eastAsia" w:eastAsia="方正仿宋_GBK" w:cs="方正仿宋_GBK"/>
          <w:color w:val="000000"/>
          <w:sz w:val="28"/>
          <w:szCs w:val="28"/>
        </w:rPr>
        <w:t>、</w:t>
      </w:r>
      <w:r>
        <w:rPr>
          <w:rFonts w:eastAsia="方正仿宋_GBK"/>
          <w:b/>
          <w:bCs/>
          <w:color w:val="000000"/>
          <w:sz w:val="28"/>
          <w:szCs w:val="28"/>
        </w:rPr>
        <w:t>“</w:t>
      </w:r>
      <w:r>
        <w:rPr>
          <w:rFonts w:hint="eastAsia" w:eastAsia="方正仿宋_GBK" w:cs="方正仿宋_GBK"/>
          <w:b/>
          <w:bCs/>
          <w:color w:val="000000"/>
          <w:sz w:val="28"/>
          <w:szCs w:val="28"/>
        </w:rPr>
        <w:t>三公</w:t>
      </w:r>
      <w:r>
        <w:rPr>
          <w:rFonts w:eastAsia="方正仿宋_GBK"/>
          <w:b/>
          <w:bCs/>
          <w:color w:val="000000"/>
          <w:sz w:val="28"/>
          <w:szCs w:val="28"/>
        </w:rPr>
        <w:t>”</w:t>
      </w:r>
      <w:r>
        <w:rPr>
          <w:rFonts w:hint="eastAsia" w:eastAsia="方正仿宋_GBK" w:cs="方正仿宋_GBK"/>
          <w:b/>
          <w:bCs/>
          <w:color w:val="000000"/>
          <w:sz w:val="28"/>
          <w:szCs w:val="28"/>
        </w:rPr>
        <w:t>经费：</w:t>
      </w:r>
      <w:r>
        <w:rPr>
          <w:rFonts w:hint="eastAsia" w:eastAsia="方正仿宋_GBK" w:cs="方正仿宋_GBK"/>
          <w:color w:val="000000"/>
          <w:sz w:val="28"/>
          <w:szCs w:val="28"/>
        </w:rPr>
        <w:t>纳入</w:t>
      </w:r>
      <w:r>
        <w:rPr>
          <w:rFonts w:hint="eastAsia" w:eastAsia="方正仿宋_GBK" w:cs="方正仿宋_GBK"/>
          <w:color w:val="000000"/>
          <w:sz w:val="28"/>
          <w:szCs w:val="28"/>
          <w:lang w:val="en-US" w:eastAsia="zh-CN"/>
        </w:rPr>
        <w:t>县</w:t>
      </w:r>
      <w:r>
        <w:rPr>
          <w:rFonts w:hint="eastAsia" w:eastAsia="方正仿宋_GBK" w:cs="方正仿宋_GBK"/>
          <w:color w:val="000000"/>
          <w:sz w:val="28"/>
          <w:szCs w:val="28"/>
        </w:rPr>
        <w:t>级财政预算管理的</w:t>
      </w:r>
      <w:r>
        <w:rPr>
          <w:rFonts w:eastAsia="方正仿宋_GBK"/>
          <w:color w:val="000000"/>
          <w:sz w:val="28"/>
          <w:szCs w:val="28"/>
        </w:rPr>
        <w:t>“</w:t>
      </w:r>
      <w:r>
        <w:rPr>
          <w:rFonts w:hint="eastAsia" w:eastAsia="方正仿宋_GBK" w:cs="方正仿宋_GBK"/>
          <w:color w:val="000000"/>
          <w:sz w:val="28"/>
          <w:szCs w:val="28"/>
        </w:rPr>
        <w:t>三公</w:t>
      </w:r>
      <w:r>
        <w:rPr>
          <w:rFonts w:eastAsia="方正仿宋_GBK"/>
          <w:color w:val="000000"/>
          <w:sz w:val="28"/>
          <w:szCs w:val="28"/>
        </w:rPr>
        <w:t>”</w:t>
      </w:r>
      <w:r>
        <w:rPr>
          <w:rFonts w:hint="eastAsia" w:eastAsia="方正仿宋_GBK" w:cs="方正仿宋_GBK"/>
          <w:color w:val="000000"/>
          <w:sz w:val="28"/>
          <w:szCs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szCs w:val="28"/>
        </w:rPr>
        <w:t>8</w:t>
      </w:r>
      <w:r>
        <w:rPr>
          <w:rFonts w:hint="eastAsia" w:eastAsia="方正仿宋_GBK" w:cs="方正仿宋_GBK"/>
          <w:color w:val="000000"/>
          <w:sz w:val="28"/>
          <w:szCs w:val="28"/>
        </w:rPr>
        <w:t>、</w:t>
      </w:r>
      <w:r>
        <w:rPr>
          <w:rFonts w:hint="eastAsia" w:eastAsia="方正仿宋_GBK" w:cs="方正仿宋_GBK"/>
          <w:b/>
          <w:bCs/>
          <w:color w:val="000000"/>
          <w:sz w:val="28"/>
          <w:szCs w:val="28"/>
        </w:rPr>
        <w:t>机关运行费：</w:t>
      </w:r>
      <w:r>
        <w:rPr>
          <w:rFonts w:hint="eastAsia" w:eastAsia="方正仿宋_GBK" w:cs="方正仿宋_GBK"/>
          <w:color w:val="000000"/>
          <w:sz w:val="28"/>
          <w:szCs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szCs w:val="28"/>
        </w:rPr>
        <w:t>9</w:t>
      </w:r>
      <w:r>
        <w:rPr>
          <w:rFonts w:hint="eastAsia" w:eastAsia="方正仿宋_GBK" w:cs="方正仿宋_GBK"/>
          <w:color w:val="000000"/>
          <w:sz w:val="28"/>
          <w:szCs w:val="28"/>
        </w:rPr>
        <w:t>、</w:t>
      </w:r>
      <w:r>
        <w:rPr>
          <w:rFonts w:hint="eastAsia" w:eastAsia="方正仿宋_GBK" w:cs="方正仿宋_GBK"/>
          <w:b/>
          <w:bCs/>
          <w:color w:val="000000"/>
          <w:sz w:val="28"/>
          <w:szCs w:val="28"/>
        </w:rPr>
        <w:t>上年结转：</w:t>
      </w:r>
      <w:r>
        <w:rPr>
          <w:rFonts w:hint="eastAsia" w:eastAsia="方正仿宋_GBK" w:cs="方正仿宋_GBK"/>
          <w:color w:val="000000"/>
          <w:sz w:val="28"/>
          <w:szCs w:val="28"/>
        </w:rPr>
        <w:t>指以前年度尚未完成、结转到本年仍按原规定用途继续使用的资金。</w:t>
      </w:r>
    </w:p>
    <w:p>
      <w:pPr>
        <w:spacing w:line="500" w:lineRule="exact"/>
        <w:ind w:firstLine="560"/>
      </w:pPr>
      <w:r>
        <w:rPr>
          <w:rFonts w:eastAsia="方正仿宋_GBK"/>
          <w:color w:val="000000"/>
          <w:sz w:val="28"/>
          <w:szCs w:val="28"/>
        </w:rPr>
        <w:t>10</w:t>
      </w:r>
      <w:r>
        <w:rPr>
          <w:rFonts w:hint="eastAsia" w:eastAsia="方正仿宋_GBK" w:cs="方正仿宋_GBK"/>
          <w:color w:val="000000"/>
          <w:sz w:val="28"/>
          <w:szCs w:val="28"/>
        </w:rPr>
        <w:t>、</w:t>
      </w:r>
      <w:r>
        <w:rPr>
          <w:rFonts w:hint="eastAsia" w:eastAsia="方正仿宋_GBK" w:cs="方正仿宋_GBK"/>
          <w:b/>
          <w:bCs/>
          <w:color w:val="000000"/>
          <w:sz w:val="28"/>
          <w:szCs w:val="28"/>
        </w:rPr>
        <w:t>事业单位经营支出：</w:t>
      </w:r>
      <w:r>
        <w:rPr>
          <w:rFonts w:hint="eastAsia" w:eastAsia="方正仿宋_GBK" w:cs="方正仿宋_GBK"/>
          <w:color w:val="000000"/>
          <w:sz w:val="28"/>
          <w:szCs w:val="28"/>
        </w:rPr>
        <w:t>指事业单位在专业业务活动及其辅助活动之外开展非独立核算经营活动发生的支出。</w:t>
      </w:r>
    </w:p>
    <w:p>
      <w:pPr>
        <w:spacing w:before="10" w:after="10"/>
        <w:ind w:firstLine="640"/>
        <w:outlineLvl w:val="5"/>
      </w:pPr>
      <w:r>
        <w:rPr>
          <w:rFonts w:hint="eastAsia" w:ascii="黑体" w:hAnsi="黑体" w:eastAsia="黑体" w:cs="黑体"/>
          <w:color w:val="000000"/>
          <w:sz w:val="32"/>
          <w:szCs w:val="32"/>
        </w:rPr>
        <w:t>九、其他需要说明的事项</w:t>
      </w:r>
    </w:p>
    <w:p>
      <w:pPr>
        <w:spacing w:line="500" w:lineRule="exact"/>
        <w:ind w:firstLine="1209" w:firstLineChars="432"/>
      </w:pPr>
      <w:r>
        <w:rPr>
          <w:rFonts w:hint="eastAsia" w:eastAsia="方正仿宋_GBK" w:cs="方正仿宋_GBK"/>
          <w:color w:val="000000"/>
          <w:sz w:val="28"/>
          <w:szCs w:val="28"/>
        </w:rPr>
        <w:t>我单位无其他需要说明的事项。</w:t>
      </w:r>
    </w:p>
    <w:p>
      <w:pPr>
        <w:jc w:val="both"/>
        <w:rPr>
          <w:rFonts w:hint="eastAsia" w:eastAsia="方正小标宋_GBK"/>
          <w:lang w:val="en-US" w:eastAsia="zh-CN"/>
        </w:rPr>
        <w:sectPr>
          <w:headerReference r:id="rId3" w:type="default"/>
          <w:footerReference r:id="rId5" w:type="default"/>
          <w:headerReference r:id="rId4" w:type="even"/>
          <w:footerReference r:id="rId6" w:type="even"/>
          <w:pgSz w:w="16840" w:h="11900" w:orient="landscape"/>
          <w:pgMar w:top="1361" w:right="1020" w:bottom="1134" w:left="1020" w:header="720" w:footer="720" w:gutter="0"/>
          <w:pgNumType w:start="1"/>
          <w:cols w:space="720" w:num="1"/>
        </w:sectPr>
      </w:pPr>
    </w:p>
    <w:p>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宋体"/>
    <w:panose1 w:val="00000000000000000000"/>
    <w:charset w:val="86"/>
    <w:family w:val="roman"/>
    <w:pitch w:val="default"/>
    <w:sig w:usb0="00000000" w:usb1="00000000" w:usb2="00000010" w:usb3="00000000" w:csb0="00040000" w:csb1="00000000"/>
  </w:font>
  <w:font w:name="方正小标宋_GBK">
    <w:altName w:val="宋体"/>
    <w:panose1 w:val="00000000000000000000"/>
    <w:charset w:val="86"/>
    <w:family w:val="roman"/>
    <w:pitch w:val="default"/>
    <w:sig w:usb0="00000000" w:usb1="00000000" w:usb2="00000010" w:usb3="00000000" w:csb0="00040000" w:csb1="00000000"/>
  </w:font>
  <w:font w:name="方正书宋_GBK">
    <w:altName w:val="宋体"/>
    <w:panose1 w:val="00000000000000000000"/>
    <w:charset w:val="86"/>
    <w:family w:val="roman"/>
    <w:pitch w:val="default"/>
    <w:sig w:usb0="00000000" w:usb1="00000000" w:usb2="00000010" w:usb3="00000000" w:csb0="00040000" w:csb1="00000000"/>
  </w:font>
  <w:font w:name="方正楷体_GBK">
    <w:altName w:val="宋体"/>
    <w:panose1 w:val="00000000000000000000"/>
    <w:charset w:val="86"/>
    <w:family w:val="roman"/>
    <w:pitch w:val="default"/>
    <w:sig w:usb0="00000000" w:usb1="00000000" w:usb2="00000010" w:usb3="00000000" w:csb0="00040000" w:csb1="00000000"/>
  </w:font>
  <w:font w:name="Vrinda">
    <w:panose1 w:val="020B0502040204020203"/>
    <w:charset w:val="00"/>
    <w:family w:val="swiss"/>
    <w:pitch w:val="default"/>
    <w:sig w:usb0="0001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20</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720"/>
  <w:doNotHyphenateCaps/>
  <w:displayHorizontalDrawingGridEvery w:val="0"/>
  <w:displayVerticalDrawingGridEvery w:val="2"/>
  <w:characterSpacingControl w:val="doNotCompress"/>
  <w:noLineBreaksAfter w:lang="zh-CN" w:val="$([{£¥·‘“〈《「『【〔〖〝﹙﹛﹝＄（．［｛￡￥"/>
  <w:noLineBreaksBefore w:lang="zh-CN" w:val="!%),.:;&gt;?]}¢¨°·ˇˉ―‖’”…‰′″›℃∶、。〃〉》」』】〕〗〞︶︺︾﹀﹄﹚﹜﹞！＂％＇），．：；？］｀｜｝～￠"/>
  <w:doNotValidateAgainstSchema/>
  <w:doNotDemarcateInvalidXml/>
  <w:compat>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zI3YzcwNGQ0OGFiNTRjZDMzOGNiMDQzMGIxM2JhY2QifQ=="/>
  </w:docVars>
  <w:rsids>
    <w:rsidRoot w:val="00D7039D"/>
    <w:rsid w:val="002346CA"/>
    <w:rsid w:val="004672B9"/>
    <w:rsid w:val="004A43F8"/>
    <w:rsid w:val="00956A95"/>
    <w:rsid w:val="00D7039D"/>
    <w:rsid w:val="00DD3E70"/>
    <w:rsid w:val="00F567BF"/>
    <w:rsid w:val="00F97D1C"/>
    <w:rsid w:val="036F4D79"/>
    <w:rsid w:val="046248DD"/>
    <w:rsid w:val="04EB79B3"/>
    <w:rsid w:val="05233DAA"/>
    <w:rsid w:val="06F37A6F"/>
    <w:rsid w:val="09000221"/>
    <w:rsid w:val="09D973F0"/>
    <w:rsid w:val="0AB303A7"/>
    <w:rsid w:val="0AD81455"/>
    <w:rsid w:val="0BC65752"/>
    <w:rsid w:val="0DCF33B9"/>
    <w:rsid w:val="0E7F0D54"/>
    <w:rsid w:val="0F046CBD"/>
    <w:rsid w:val="1090632E"/>
    <w:rsid w:val="13272F7A"/>
    <w:rsid w:val="13CB5FFB"/>
    <w:rsid w:val="16B04879"/>
    <w:rsid w:val="198A7DBF"/>
    <w:rsid w:val="1F7A0C8B"/>
    <w:rsid w:val="1FF561AE"/>
    <w:rsid w:val="22C95DFC"/>
    <w:rsid w:val="22D660AF"/>
    <w:rsid w:val="235D6544"/>
    <w:rsid w:val="242B091F"/>
    <w:rsid w:val="24521E21"/>
    <w:rsid w:val="24D80578"/>
    <w:rsid w:val="2504136D"/>
    <w:rsid w:val="26585A02"/>
    <w:rsid w:val="280451E0"/>
    <w:rsid w:val="29464EDD"/>
    <w:rsid w:val="2AF14141"/>
    <w:rsid w:val="2B82123D"/>
    <w:rsid w:val="2C534988"/>
    <w:rsid w:val="2CD45AC9"/>
    <w:rsid w:val="31771F6F"/>
    <w:rsid w:val="31B9528D"/>
    <w:rsid w:val="33B57804"/>
    <w:rsid w:val="34401C96"/>
    <w:rsid w:val="34DF5338"/>
    <w:rsid w:val="36D13079"/>
    <w:rsid w:val="37C130EE"/>
    <w:rsid w:val="38FE7A29"/>
    <w:rsid w:val="3A287454"/>
    <w:rsid w:val="3ACD1DA9"/>
    <w:rsid w:val="3DB66B25"/>
    <w:rsid w:val="3DE6565C"/>
    <w:rsid w:val="40DF6392"/>
    <w:rsid w:val="40F167F2"/>
    <w:rsid w:val="410903BC"/>
    <w:rsid w:val="41D43A1D"/>
    <w:rsid w:val="43E238B2"/>
    <w:rsid w:val="4456696C"/>
    <w:rsid w:val="457B0D80"/>
    <w:rsid w:val="45BE6EBE"/>
    <w:rsid w:val="465515D1"/>
    <w:rsid w:val="46844637"/>
    <w:rsid w:val="475A2C17"/>
    <w:rsid w:val="4AAF5028"/>
    <w:rsid w:val="4C115F9A"/>
    <w:rsid w:val="4C4243A5"/>
    <w:rsid w:val="4DCB3F26"/>
    <w:rsid w:val="4E6F51FA"/>
    <w:rsid w:val="4E820FA5"/>
    <w:rsid w:val="4FE8518C"/>
    <w:rsid w:val="5052092F"/>
    <w:rsid w:val="50715259"/>
    <w:rsid w:val="50F47C38"/>
    <w:rsid w:val="51856AE2"/>
    <w:rsid w:val="532461F4"/>
    <w:rsid w:val="540E7263"/>
    <w:rsid w:val="55A97243"/>
    <w:rsid w:val="573D10D4"/>
    <w:rsid w:val="5A236E98"/>
    <w:rsid w:val="5B7025B1"/>
    <w:rsid w:val="5B9A5FC5"/>
    <w:rsid w:val="5BC36DA3"/>
    <w:rsid w:val="5D7A7717"/>
    <w:rsid w:val="5FF437B1"/>
    <w:rsid w:val="6051475F"/>
    <w:rsid w:val="60D84E80"/>
    <w:rsid w:val="60E76E71"/>
    <w:rsid w:val="616E30EF"/>
    <w:rsid w:val="620121B5"/>
    <w:rsid w:val="62854B94"/>
    <w:rsid w:val="62C3746A"/>
    <w:rsid w:val="62DA75BD"/>
    <w:rsid w:val="62E0626E"/>
    <w:rsid w:val="6CCB3AEB"/>
    <w:rsid w:val="6E49116B"/>
    <w:rsid w:val="6E9543B1"/>
    <w:rsid w:val="6FFA03B4"/>
    <w:rsid w:val="700215D2"/>
    <w:rsid w:val="70DC4F54"/>
    <w:rsid w:val="71357785"/>
    <w:rsid w:val="745368A0"/>
    <w:rsid w:val="757965D9"/>
    <w:rsid w:val="76816FC9"/>
    <w:rsid w:val="77505319"/>
    <w:rsid w:val="77756B2D"/>
    <w:rsid w:val="77D47CF8"/>
    <w:rsid w:val="78085BF3"/>
    <w:rsid w:val="78F85C68"/>
    <w:rsid w:val="796055BB"/>
    <w:rsid w:val="798E037A"/>
    <w:rsid w:val="7A53266C"/>
    <w:rsid w:val="7BDD624C"/>
    <w:rsid w:val="7E4D4360"/>
    <w:rsid w:val="7F623E3B"/>
    <w:rsid w:val="7F954211"/>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qFormat="1" w:unhideWhenUsed="0" w:uiPriority="99" w:name="toc 3"/>
    <w:lsdException w:qFormat="1" w:unhideWhenUsed="0" w:uiPriority="99"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qFormat="1" w:unhideWhenUsed="0"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Times New Roman"/>
      <w:kern w:val="0"/>
      <w:sz w:val="24"/>
      <w:szCs w:val="24"/>
      <w:lang w:val="en-US" w:eastAsia="uk-UA" w:bidi="ar-SA"/>
    </w:rPr>
  </w:style>
  <w:style w:type="character" w:default="1" w:styleId="9">
    <w:name w:val="Default Paragraph Font"/>
    <w:semiHidden/>
    <w:qFormat/>
    <w:uiPriority w:val="99"/>
  </w:style>
  <w:style w:type="table" w:default="1" w:styleId="10">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Layout w:type="fixed"/>
      <w:tblCellMar>
        <w:top w:w="0" w:type="dxa"/>
        <w:left w:w="108" w:type="dxa"/>
        <w:bottom w:w="0" w:type="dxa"/>
        <w:right w:w="108" w:type="dxa"/>
      </w:tblCellMar>
    </w:tblPr>
  </w:style>
  <w:style w:type="paragraph" w:styleId="2">
    <w:name w:val="Document Map"/>
    <w:basedOn w:val="1"/>
    <w:link w:val="34"/>
    <w:semiHidden/>
    <w:qFormat/>
    <w:uiPriority w:val="99"/>
    <w:pPr>
      <w:shd w:val="clear" w:color="auto" w:fill="000080"/>
    </w:pPr>
  </w:style>
  <w:style w:type="paragraph" w:styleId="3">
    <w:name w:val="toc 3"/>
    <w:basedOn w:val="1"/>
    <w:next w:val="1"/>
    <w:semiHidden/>
    <w:qFormat/>
    <w:uiPriority w:val="99"/>
    <w:pPr>
      <w:ind w:left="480"/>
    </w:pPr>
  </w:style>
  <w:style w:type="paragraph" w:styleId="4">
    <w:name w:val="footer"/>
    <w:basedOn w:val="1"/>
    <w:semiHidden/>
    <w:unhideWhenUsed/>
    <w:qFormat/>
    <w:uiPriority w:val="99"/>
    <w:pPr>
      <w:tabs>
        <w:tab w:val="center" w:pos="4153"/>
        <w:tab w:val="right" w:pos="8306"/>
      </w:tabs>
      <w:snapToGrid w:val="0"/>
      <w:jc w:val="left"/>
    </w:pPr>
    <w:rPr>
      <w:sz w:val="18"/>
    </w:rPr>
  </w:style>
  <w:style w:type="paragraph" w:styleId="5">
    <w:name w:val="header"/>
    <w:basedOn w:val="1"/>
    <w:semiHidden/>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toc 1"/>
    <w:basedOn w:val="1"/>
    <w:next w:val="1"/>
    <w:semiHidden/>
    <w:qFormat/>
    <w:uiPriority w:val="99"/>
    <w:pPr>
      <w:spacing w:before="120"/>
      <w:ind w:firstLine="560"/>
    </w:pPr>
    <w:rPr>
      <w:rFonts w:eastAsia="方正仿宋_GBK"/>
      <w:color w:val="000000"/>
      <w:sz w:val="28"/>
      <w:szCs w:val="28"/>
    </w:rPr>
  </w:style>
  <w:style w:type="paragraph" w:styleId="7">
    <w:name w:val="toc 4"/>
    <w:basedOn w:val="1"/>
    <w:next w:val="1"/>
    <w:semiHidden/>
    <w:qFormat/>
    <w:uiPriority w:val="99"/>
    <w:pPr>
      <w:ind w:left="720"/>
    </w:pPr>
  </w:style>
  <w:style w:type="paragraph" w:styleId="8">
    <w:name w:val="toc 2"/>
    <w:basedOn w:val="1"/>
    <w:next w:val="1"/>
    <w:semiHidden/>
    <w:qFormat/>
    <w:uiPriority w:val="99"/>
    <w:pPr>
      <w:ind w:left="240"/>
    </w:pPr>
  </w:style>
  <w:style w:type="table" w:styleId="11">
    <w:name w:val="Table Grid"/>
    <w:basedOn w:val="10"/>
    <w:qFormat/>
    <w:uiPriority w:val="99"/>
    <w:rPr>
      <w:kern w:val="0"/>
      <w:sz w:val="20"/>
      <w:szCs w:val="20"/>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12">
    <w:name w:val="单元格样式22"/>
    <w:basedOn w:val="1"/>
    <w:qFormat/>
    <w:uiPriority w:val="99"/>
    <w:pPr>
      <w:jc w:val="right"/>
    </w:pPr>
    <w:rPr>
      <w:rFonts w:ascii="方正小标宋_GBK" w:hAnsi="方正小标宋_GBK" w:eastAsia="方正小标宋_GBK" w:cs="方正小标宋_GBK"/>
    </w:rPr>
  </w:style>
  <w:style w:type="paragraph" w:customStyle="1" w:styleId="13">
    <w:name w:val="单元格样式21"/>
    <w:basedOn w:val="1"/>
    <w:qFormat/>
    <w:uiPriority w:val="99"/>
    <w:pPr>
      <w:jc w:val="center"/>
    </w:pPr>
    <w:rPr>
      <w:rFonts w:ascii="方正小标宋_GBK" w:hAnsi="方正小标宋_GBK" w:eastAsia="方正小标宋_GBK" w:cs="方正小标宋_GBK"/>
    </w:rPr>
  </w:style>
  <w:style w:type="paragraph" w:customStyle="1" w:styleId="14">
    <w:name w:val="单元格样式20"/>
    <w:basedOn w:val="1"/>
    <w:qFormat/>
    <w:uiPriority w:val="99"/>
    <w:rPr>
      <w:rFonts w:ascii="方正小标宋_GBK" w:hAnsi="方正小标宋_GBK" w:eastAsia="方正小标宋_GBK" w:cs="方正小标宋_GBK"/>
    </w:rPr>
  </w:style>
  <w:style w:type="paragraph" w:customStyle="1" w:styleId="15">
    <w:name w:val="单元格样式1"/>
    <w:basedOn w:val="1"/>
    <w:qFormat/>
    <w:uiPriority w:val="99"/>
    <w:pPr>
      <w:jc w:val="center"/>
    </w:pPr>
    <w:rPr>
      <w:rFonts w:ascii="方正书宋_GBK" w:hAnsi="方正书宋_GBK" w:eastAsia="方正书宋_GBK" w:cs="方正书宋_GBK"/>
      <w:b/>
      <w:bCs/>
      <w:sz w:val="21"/>
      <w:szCs w:val="21"/>
    </w:rPr>
  </w:style>
  <w:style w:type="paragraph" w:customStyle="1" w:styleId="16">
    <w:name w:val="单元格样式4"/>
    <w:basedOn w:val="1"/>
    <w:qFormat/>
    <w:uiPriority w:val="99"/>
    <w:pPr>
      <w:jc w:val="right"/>
    </w:pPr>
    <w:rPr>
      <w:rFonts w:ascii="方正书宋_GBK" w:hAnsi="方正书宋_GBK" w:eastAsia="方正书宋_GBK" w:cs="方正书宋_GBK"/>
      <w:sz w:val="21"/>
      <w:szCs w:val="21"/>
    </w:rPr>
  </w:style>
  <w:style w:type="paragraph" w:customStyle="1" w:styleId="17">
    <w:name w:val="单元格样式2"/>
    <w:basedOn w:val="1"/>
    <w:qFormat/>
    <w:uiPriority w:val="99"/>
    <w:rPr>
      <w:rFonts w:ascii="方正书宋_GBK" w:hAnsi="方正书宋_GBK" w:eastAsia="方正书宋_GBK" w:cs="方正书宋_GBK"/>
      <w:sz w:val="21"/>
      <w:szCs w:val="21"/>
    </w:rPr>
  </w:style>
  <w:style w:type="paragraph" w:customStyle="1" w:styleId="18">
    <w:name w:val="单元格样式3"/>
    <w:basedOn w:val="1"/>
    <w:qFormat/>
    <w:uiPriority w:val="99"/>
    <w:pPr>
      <w:jc w:val="center"/>
    </w:pPr>
    <w:rPr>
      <w:rFonts w:ascii="方正书宋_GBK" w:hAnsi="方正书宋_GBK" w:eastAsia="方正书宋_GBK" w:cs="方正书宋_GBK"/>
      <w:sz w:val="21"/>
      <w:szCs w:val="21"/>
    </w:rPr>
  </w:style>
  <w:style w:type="paragraph" w:customStyle="1" w:styleId="19">
    <w:name w:val="单元格样式6"/>
    <w:basedOn w:val="1"/>
    <w:qFormat/>
    <w:uiPriority w:val="99"/>
    <w:pPr>
      <w:jc w:val="center"/>
    </w:pPr>
    <w:rPr>
      <w:rFonts w:ascii="方正书宋_GBK" w:hAnsi="方正书宋_GBK" w:eastAsia="方正书宋_GBK" w:cs="方正书宋_GBK"/>
      <w:b/>
      <w:bCs/>
      <w:sz w:val="21"/>
      <w:szCs w:val="21"/>
    </w:rPr>
  </w:style>
  <w:style w:type="paragraph" w:customStyle="1" w:styleId="20">
    <w:name w:val="单元格样式7"/>
    <w:basedOn w:val="1"/>
    <w:qFormat/>
    <w:uiPriority w:val="99"/>
    <w:pPr>
      <w:jc w:val="right"/>
    </w:pPr>
    <w:rPr>
      <w:rFonts w:ascii="方正书宋_GBK" w:hAnsi="方正书宋_GBK" w:eastAsia="方正书宋_GBK" w:cs="方正书宋_GBK"/>
      <w:b/>
      <w:bCs/>
      <w:sz w:val="21"/>
      <w:szCs w:val="21"/>
    </w:rPr>
  </w:style>
  <w:style w:type="paragraph" w:customStyle="1" w:styleId="21">
    <w:name w:val="单元格样式5"/>
    <w:basedOn w:val="1"/>
    <w:qFormat/>
    <w:uiPriority w:val="99"/>
    <w:rPr>
      <w:rFonts w:ascii="方正书宋_GBK" w:hAnsi="方正书宋_GBK" w:eastAsia="方正书宋_GBK" w:cs="方正书宋_GBK"/>
      <w:b/>
      <w:bCs/>
      <w:sz w:val="21"/>
      <w:szCs w:val="21"/>
    </w:rPr>
  </w:style>
  <w:style w:type="paragraph" w:customStyle="1" w:styleId="22">
    <w:name w:val="插入文本样式-插入部门职责文件"/>
    <w:basedOn w:val="1"/>
    <w:qFormat/>
    <w:uiPriority w:val="99"/>
    <w:pPr>
      <w:spacing w:line="500" w:lineRule="exact"/>
      <w:ind w:firstLine="560"/>
    </w:pPr>
    <w:rPr>
      <w:rFonts w:eastAsia="方正仿宋_GBK"/>
      <w:sz w:val="28"/>
      <w:szCs w:val="28"/>
    </w:rPr>
  </w:style>
  <w:style w:type="paragraph" w:customStyle="1" w:styleId="23">
    <w:name w:val="插入文本样式-插入预算公开部门预算安排的总体情况文件"/>
    <w:basedOn w:val="1"/>
    <w:qFormat/>
    <w:uiPriority w:val="99"/>
    <w:pPr>
      <w:spacing w:line="500" w:lineRule="exact"/>
      <w:ind w:firstLine="560"/>
    </w:pPr>
    <w:rPr>
      <w:rFonts w:eastAsia="方正仿宋_GBK"/>
      <w:sz w:val="28"/>
      <w:szCs w:val="28"/>
    </w:rPr>
  </w:style>
  <w:style w:type="paragraph" w:customStyle="1" w:styleId="24">
    <w:name w:val="插入文本样式-插入预算公开部门机关运行经费安排情况文件"/>
    <w:basedOn w:val="1"/>
    <w:qFormat/>
    <w:uiPriority w:val="99"/>
    <w:pPr>
      <w:spacing w:line="500" w:lineRule="exact"/>
      <w:ind w:firstLine="560"/>
    </w:pPr>
    <w:rPr>
      <w:rFonts w:eastAsia="方正仿宋_GBK"/>
      <w:sz w:val="28"/>
      <w:szCs w:val="28"/>
    </w:rPr>
  </w:style>
  <w:style w:type="paragraph" w:customStyle="1" w:styleId="25">
    <w:name w:val="插入文本样式-插入预算公开部门财政拨款三公经费预算情况及增减变化原因文件"/>
    <w:basedOn w:val="1"/>
    <w:qFormat/>
    <w:uiPriority w:val="99"/>
    <w:pPr>
      <w:spacing w:line="500" w:lineRule="exact"/>
      <w:ind w:firstLine="560"/>
    </w:pPr>
    <w:rPr>
      <w:rFonts w:eastAsia="方正仿宋_GBK"/>
      <w:sz w:val="28"/>
      <w:szCs w:val="28"/>
    </w:rPr>
  </w:style>
  <w:style w:type="paragraph" w:customStyle="1" w:styleId="26">
    <w:name w:val="插入文本样式-插入总体目标文件"/>
    <w:basedOn w:val="1"/>
    <w:qFormat/>
    <w:uiPriority w:val="99"/>
    <w:pPr>
      <w:spacing w:line="500" w:lineRule="exact"/>
      <w:ind w:firstLine="560"/>
    </w:pPr>
    <w:rPr>
      <w:rFonts w:eastAsia="方正仿宋_GBK"/>
      <w:sz w:val="28"/>
      <w:szCs w:val="28"/>
    </w:rPr>
  </w:style>
  <w:style w:type="paragraph" w:customStyle="1" w:styleId="27">
    <w:name w:val="插入文本样式-插入职责分类绩效目标文件"/>
    <w:basedOn w:val="1"/>
    <w:qFormat/>
    <w:uiPriority w:val="99"/>
    <w:pPr>
      <w:spacing w:line="500" w:lineRule="exact"/>
      <w:ind w:firstLine="560"/>
    </w:pPr>
    <w:rPr>
      <w:rFonts w:eastAsia="方正仿宋_GBK"/>
      <w:sz w:val="28"/>
      <w:szCs w:val="28"/>
    </w:rPr>
  </w:style>
  <w:style w:type="paragraph" w:customStyle="1" w:styleId="28">
    <w:name w:val="插入文本样式-插入实现年度发展规划目标的保障措施文件"/>
    <w:basedOn w:val="1"/>
    <w:qFormat/>
    <w:uiPriority w:val="99"/>
    <w:pPr>
      <w:spacing w:line="500" w:lineRule="exact"/>
      <w:ind w:firstLine="560"/>
    </w:pPr>
    <w:rPr>
      <w:rFonts w:eastAsia="方正仿宋_GBK"/>
      <w:sz w:val="28"/>
      <w:szCs w:val="28"/>
    </w:rPr>
  </w:style>
  <w:style w:type="paragraph" w:customStyle="1" w:styleId="29">
    <w:name w:val="单元格样式23"/>
    <w:basedOn w:val="1"/>
    <w:qFormat/>
    <w:uiPriority w:val="99"/>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99"/>
    <w:pPr>
      <w:spacing w:line="500" w:lineRule="exact"/>
      <w:ind w:firstLine="560"/>
    </w:pPr>
    <w:rPr>
      <w:rFonts w:eastAsia="方正仿宋_GBK"/>
      <w:sz w:val="28"/>
      <w:szCs w:val="28"/>
    </w:rPr>
  </w:style>
  <w:style w:type="paragraph" w:customStyle="1" w:styleId="31">
    <w:name w:val="插入文本样式-插入预算公开单位预算安排的总体情况文件"/>
    <w:basedOn w:val="1"/>
    <w:qFormat/>
    <w:uiPriority w:val="99"/>
    <w:pPr>
      <w:spacing w:line="500" w:lineRule="exact"/>
      <w:ind w:firstLine="560"/>
    </w:pPr>
    <w:rPr>
      <w:rFonts w:eastAsia="方正仿宋_GBK"/>
      <w:sz w:val="28"/>
      <w:szCs w:val="28"/>
    </w:rPr>
  </w:style>
  <w:style w:type="paragraph" w:customStyle="1" w:styleId="32">
    <w:name w:val="插入文本样式-插入预算公开单位机关运行经费安排情况文件"/>
    <w:basedOn w:val="1"/>
    <w:qFormat/>
    <w:uiPriority w:val="99"/>
    <w:pPr>
      <w:spacing w:line="500" w:lineRule="exact"/>
      <w:ind w:firstLine="560"/>
    </w:pPr>
    <w:rPr>
      <w:rFonts w:eastAsia="方正仿宋_GBK"/>
      <w:sz w:val="28"/>
      <w:szCs w:val="28"/>
    </w:rPr>
  </w:style>
  <w:style w:type="paragraph" w:customStyle="1" w:styleId="33">
    <w:name w:val="插入文本样式-插入预算公开单位财政拨款三公经费预算情况及增减变化原因文件"/>
    <w:basedOn w:val="1"/>
    <w:qFormat/>
    <w:uiPriority w:val="99"/>
    <w:pPr>
      <w:spacing w:line="500" w:lineRule="exact"/>
      <w:ind w:firstLine="560"/>
    </w:pPr>
    <w:rPr>
      <w:rFonts w:eastAsia="方正仿宋_GBK"/>
      <w:sz w:val="28"/>
      <w:szCs w:val="28"/>
    </w:rPr>
  </w:style>
  <w:style w:type="character" w:customStyle="1" w:styleId="34">
    <w:name w:val="Document Map Char"/>
    <w:basedOn w:val="9"/>
    <w:link w:val="2"/>
    <w:semiHidden/>
    <w:qFormat/>
    <w:uiPriority w:val="99"/>
    <w:rPr>
      <w:kern w:val="0"/>
      <w:sz w:val="0"/>
      <w:szCs w:val="0"/>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Microsoft</Company>
  <Pages>1</Pages>
  <Words>4712</Words>
  <Characters>26864</Characters>
  <Lines>1</Lines>
  <Paragraphs>1</Paragraphs>
  <TotalTime>3</TotalTime>
  <ScaleCrop>false</ScaleCrop>
  <LinksUpToDate>false</LinksUpToDate>
  <CharactersWithSpaces>0</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2022-02-16T14:29:00Z</dcterms:created>
  <dc:creator>User</dc:creator>
  <cp:lastModifiedBy>Administrator</cp:lastModifiedBy>
  <dcterms:modified xsi:type="dcterms:W3CDTF">2023-09-04T06:51:47Z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y fmtid="{D5CDD505-2E9C-101B-9397-08002B2CF9AE}" pid="3" name="ICV">
    <vt:lpwstr>20182935385941D686B07A1BA32D1CDF</vt:lpwstr>
  </property>
</Properties>
</file>