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bookmarkStart w:id="4" w:name="_GoBack"/>
    </w:p>
    <w:p>
      <w:pPr>
        <w:jc w:val="center"/>
        <w:rPr>
          <w:rFonts w:ascii="Times New Roman" w:hAnsi="Times New Roman" w:eastAsia="方正小标宋_GBK" w:cs="Times New Roman"/>
          <w:sz w:val="44"/>
          <w:szCs w:val="44"/>
        </w:rPr>
      </w:pPr>
      <w:r>
        <w:rPr>
          <w:rFonts w:hint="eastAsia" w:ascii="宋体" w:hAnsi="宋体" w:cs="宋体"/>
          <w:b/>
          <w:bCs/>
          <w:color w:val="000000"/>
          <w:sz w:val="44"/>
          <w:szCs w:val="44"/>
        </w:rPr>
        <w:t>隆尧县农业农村局</w:t>
      </w:r>
      <w:r>
        <w:rPr>
          <w:rFonts w:hint="eastAsia" w:ascii="Times New Roman" w:hAnsi="Times New Roman" w:eastAsia="方正小标宋_GBK" w:cs="Times New Roman"/>
          <w:sz w:val="44"/>
          <w:szCs w:val="44"/>
        </w:rPr>
        <w:t>2020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按照《预算法》、《地方预决算公开操作规程》和《河北省省级预算公开办法》规定，现将隆尧县农业农村局2020年部门预算公开如下：</w:t>
      </w:r>
    </w:p>
    <w:p>
      <w:pPr>
        <w:autoSpaceDE w:val="0"/>
        <w:autoSpaceDN w:val="0"/>
        <w:rPr>
          <w:rFonts w:ascii="仿宋" w:hAnsi="仿宋" w:eastAsia="仿宋" w:cs="Times New Roman"/>
          <w:b/>
          <w:bCs/>
          <w:color w:val="000000"/>
          <w:sz w:val="32"/>
          <w:szCs w:val="32"/>
        </w:rPr>
      </w:pPr>
      <w:r>
        <w:rPr>
          <w:rFonts w:hint="eastAsia" w:ascii="仿宋" w:hAnsi="仿宋" w:eastAsia="仿宋" w:cs="仿宋"/>
          <w:b/>
          <w:bCs/>
          <w:color w:val="000000"/>
          <w:sz w:val="32"/>
          <w:szCs w:val="32"/>
        </w:rPr>
        <w:t>一、部门职责及机构设置情况</w:t>
      </w:r>
    </w:p>
    <w:p>
      <w:pPr>
        <w:snapToGrid w:val="0"/>
        <w:spacing w:line="560" w:lineRule="exact"/>
        <w:ind w:firstLine="643" w:firstLineChars="200"/>
        <w:textAlignment w:val="bottom"/>
        <w:rPr>
          <w:rFonts w:ascii="仿宋" w:hAnsi="仿宋" w:eastAsia="仿宋" w:cs="仿宋"/>
          <w:b/>
          <w:bCs/>
          <w:color w:val="000000"/>
          <w:sz w:val="32"/>
          <w:szCs w:val="32"/>
        </w:rPr>
      </w:pPr>
      <w:r>
        <w:rPr>
          <w:rFonts w:hint="eastAsia" w:ascii="仿宋" w:hAnsi="仿宋" w:eastAsia="仿宋" w:cs="仿宋"/>
          <w:b/>
          <w:bCs/>
          <w:color w:val="000000"/>
          <w:sz w:val="32"/>
          <w:szCs w:val="32"/>
        </w:rPr>
        <w:t>部门职责：</w:t>
      </w:r>
    </w:p>
    <w:p>
      <w:pPr>
        <w:spacing w:line="560" w:lineRule="exact"/>
        <w:rPr>
          <w:rFonts w:ascii="仿宋" w:hAnsi="仿宋" w:eastAsia="仿宋" w:cs="仿宋"/>
          <w:kern w:val="1"/>
          <w:sz w:val="32"/>
          <w:szCs w:val="32"/>
        </w:rPr>
      </w:pPr>
      <w:r>
        <w:rPr>
          <w:rFonts w:ascii="宋体" w:hAnsi="宋体"/>
          <w:sz w:val="32"/>
        </w:rPr>
        <w:t>（</w:t>
      </w:r>
      <w:r>
        <w:rPr>
          <w:rFonts w:hint="eastAsia" w:ascii="仿宋" w:hAnsi="仿宋" w:eastAsia="仿宋" w:cs="仿宋"/>
          <w:kern w:val="1"/>
          <w:sz w:val="32"/>
          <w:szCs w:val="32"/>
        </w:rPr>
        <w:t>一）统筹研究和组织实施全县“三农”工作的发展战略、中长期规划、重大政策。</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（二）协调推动发展全县农村社会事业、农村公共服务、农村文化、农村基础设施和乡村治理。牵头组织改善农村人居环境。协调推进乡村文明和优秀农耕文化建设。指导农业行业安全生产工作。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三）拟订县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五）负责全县种植业、畜牧业、渔业、农垦、农业机械化等农业各产业的监督管理。指导粮、棉、油、菜、果、肉、蛋、奶、蜜、渔等农产品生产。组织构建现代农业产业体系、生产体系、经营体系，指导农业标准化生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（六）负责全县农产品质量安全监督管理。组织开展农产品质量安全监测、追湖、风险评估和监督抽查。参与制定农产品质量安全地方标准并会同有关部门组织实施。指导农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业检验监测体系建设。</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（八）负责有关农业生产资料和农业投入品的监督管理。组织农业生产资料市场体系建设，拟订有关农业生产资料县级标准并监督实施。制定兽药残留限量和残留检测方法县级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标准并按规定发布。组织兽医医政、兽药药政药检工作，负责执业兽医和畜禽屠宰行业管理。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（九）负责农业防灾减灾、农作物重大病虫害预测预报及防治工作。指导动植物防疫检疫体系建设，组织、监督县内动植物防疫检疫工作，依法发布疫情并组织扑灭。</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负责农业投资管理。提出农业投融资体制机制改革建议。编制县级投资安排的农业投资项目建设规划，提出农业投资规模和方向、扶持农业农村发展财政项目的建议，按规定权限审批农业投资项目，负责农业投资项目资金安排</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和监督管理。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一）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（十二）指导农业农村人才工作。拟订农业农村人才队伍建设规划并组织实施，指导农业教育和农业职业技能开发指导新型职业农民培育、农业科技人才培养和农村实用人才培训工作。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（十三）牵头开展农业对外合作工作。承办政府间农业涉外事务，组织开展对外农业贸易和有关国际交流合作，具体执行有关农业援外项目。</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（十四）完成县委、县政府和县委农村工作领导小组交办的其他任务。</w:t>
      </w:r>
    </w:p>
    <w:p>
      <w:pPr>
        <w:tabs>
          <w:tab w:val="left" w:pos="1395"/>
        </w:tabs>
        <w:spacing w:line="540" w:lineRule="exact"/>
        <w:ind w:firstLine="643" w:firstLineChars="200"/>
        <w:rPr>
          <w:rFonts w:ascii="仿宋" w:hAnsi="仿宋" w:eastAsia="仿宋" w:cs="仿宋"/>
          <w:b/>
          <w:bCs/>
          <w:kern w:val="0"/>
          <w:sz w:val="32"/>
          <w:szCs w:val="32"/>
        </w:rPr>
      </w:pPr>
    </w:p>
    <w:p>
      <w:pPr>
        <w:tabs>
          <w:tab w:val="left" w:pos="1395"/>
        </w:tabs>
        <w:spacing w:line="540" w:lineRule="exact"/>
        <w:ind w:firstLine="643" w:firstLineChars="200"/>
        <w:rPr>
          <w:rFonts w:ascii="仿宋" w:hAnsi="仿宋" w:eastAsia="仿宋" w:cs="仿宋"/>
          <w:b/>
          <w:bCs/>
          <w:kern w:val="0"/>
          <w:sz w:val="32"/>
          <w:szCs w:val="32"/>
        </w:rPr>
      </w:pPr>
      <w:r>
        <w:rPr>
          <w:rFonts w:hint="eastAsia" w:ascii="仿宋" w:hAnsi="仿宋" w:eastAsia="仿宋" w:cs="仿宋"/>
          <w:b/>
          <w:bCs/>
          <w:kern w:val="0"/>
          <w:sz w:val="32"/>
          <w:szCs w:val="32"/>
        </w:rPr>
        <w:t>机构设置</w:t>
      </w:r>
      <w:r>
        <w:rPr>
          <w:rFonts w:ascii="仿宋" w:hAnsi="仿宋" w:eastAsia="仿宋" w:cs="仿宋"/>
          <w:b/>
          <w:bCs/>
          <w:kern w:val="0"/>
          <w:sz w:val="32"/>
          <w:szCs w:val="32"/>
        </w:rPr>
        <w:t xml:space="preserve"> </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隆尧县农业农村局部门机构设置情况：</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单位名称</w:t>
            </w:r>
          </w:p>
        </w:tc>
        <w:tc>
          <w:tcPr>
            <w:tcW w:w="3543"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单位性质</w:t>
            </w:r>
          </w:p>
        </w:tc>
        <w:tc>
          <w:tcPr>
            <w:tcW w:w="247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单位规格</w:t>
            </w:r>
          </w:p>
        </w:tc>
        <w:tc>
          <w:tcPr>
            <w:tcW w:w="2769"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隆尧县农业农村局</w:t>
            </w:r>
          </w:p>
        </w:tc>
        <w:tc>
          <w:tcPr>
            <w:tcW w:w="3543"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行政</w:t>
            </w:r>
          </w:p>
        </w:tc>
        <w:tc>
          <w:tcPr>
            <w:tcW w:w="247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正科级</w:t>
            </w:r>
          </w:p>
        </w:tc>
        <w:tc>
          <w:tcPr>
            <w:tcW w:w="2769"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14597.08</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13697.08</w:t>
      </w:r>
      <w:r>
        <w:rPr>
          <w:rFonts w:hint="eastAsia" w:ascii="Times New Roman" w:hAnsi="Times New Roman" w:eastAsia="仿宋" w:cs="仿宋"/>
          <w:sz w:val="32"/>
          <w:szCs w:val="32"/>
        </w:rPr>
        <w:t>万元，基金预算收入</w:t>
      </w:r>
      <w:r>
        <w:rPr>
          <w:rFonts w:hint="eastAsia" w:ascii="Times New Roman" w:hAnsi="Times New Roman" w:eastAsia="仿宋" w:cs="Times New Roman"/>
          <w:sz w:val="32"/>
          <w:szCs w:val="32"/>
        </w:rPr>
        <w:t>900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autoSpaceDE w:val="0"/>
        <w:autoSpaceDN w:val="0"/>
        <w:rPr>
          <w:rFonts w:ascii="仿宋" w:hAnsi="仿宋" w:eastAsia="仿宋" w:cs="Times New Roman"/>
          <w:b/>
          <w:bCs/>
          <w:color w:val="000000"/>
          <w:sz w:val="32"/>
          <w:szCs w:val="32"/>
        </w:rPr>
      </w:pPr>
      <w:r>
        <w:rPr>
          <w:rFonts w:ascii="仿宋" w:hAnsi="仿宋" w:eastAsia="仿宋" w:cs="仿宋"/>
          <w:b/>
          <w:bCs/>
          <w:color w:val="000000"/>
          <w:sz w:val="32"/>
          <w:szCs w:val="32"/>
        </w:rPr>
        <w:t xml:space="preserve">    2</w:t>
      </w:r>
      <w:r>
        <w:rPr>
          <w:rFonts w:hint="eastAsia" w:ascii="仿宋" w:hAnsi="仿宋" w:eastAsia="仿宋" w:cs="仿宋"/>
          <w:b/>
          <w:bCs/>
          <w:color w:val="000000"/>
          <w:sz w:val="32"/>
          <w:szCs w:val="32"/>
        </w:rPr>
        <w:t>、支出说明</w:t>
      </w:r>
    </w:p>
    <w:p>
      <w:pPr>
        <w:ind w:firstLine="640"/>
        <w:jc w:val="left"/>
        <w:rPr>
          <w:rFonts w:ascii="仿宋" w:hAnsi="仿宋" w:eastAsia="仿宋" w:cs="Times New Roman"/>
          <w:sz w:val="32"/>
          <w:szCs w:val="32"/>
        </w:rPr>
      </w:pPr>
      <w:r>
        <w:rPr>
          <w:rFonts w:hint="eastAsia" w:ascii="仿宋" w:hAnsi="仿宋" w:eastAsia="仿宋" w:cs="仿宋"/>
          <w:color w:val="000000"/>
          <w:sz w:val="32"/>
          <w:szCs w:val="32"/>
        </w:rPr>
        <w:t>收支预算总表支出栏、基本支出表、项目支出表按经济分类和支出功能分类科目编制，反映隆尧县农业农村局年度部门预算中支出预算的总体情况。</w:t>
      </w:r>
      <w:r>
        <w:rPr>
          <w:rFonts w:hint="eastAsia" w:ascii="仿宋" w:hAnsi="仿宋" w:eastAsia="仿宋" w:cs="仿宋"/>
          <w:sz w:val="32"/>
          <w:szCs w:val="32"/>
        </w:rPr>
        <w:t>2020年支出预算14597.08万元</w:t>
      </w:r>
      <w:r>
        <w:rPr>
          <w:rFonts w:hint="eastAsia" w:ascii="仿宋" w:hAnsi="仿宋" w:eastAsia="仿宋" w:cs="仿宋"/>
          <w:spacing w:val="2"/>
          <w:kern w:val="0"/>
          <w:sz w:val="32"/>
          <w:szCs w:val="32"/>
        </w:rPr>
        <w:t>，其中社会保障和就业支出247.65万元，包括离退休费、养老保险缴费；卫生健康支出48.51万元，包括职工医疗保险支出；节能环保支出469.05万元，包括大气治理、节能减排；城乡社区支出900万元，包括农村基础设施建设支出和其他国有土地使用权出让收入安排的支出；农林水支出12841.84万元，包括行政运行、科技转化与技术推广、病虫害控制、农产品质量安全、行业业务管理、农业生产发展、农村合作经济、农业资源保护修复与利用、农田建设、其他农业农村支出等；住房保障支出90.03万元，包括住房公积金支出。</w:t>
      </w:r>
    </w:p>
    <w:p>
      <w:pPr>
        <w:ind w:firstLine="648" w:firstLineChars="200"/>
        <w:jc w:val="left"/>
        <w:rPr>
          <w:rFonts w:ascii="仿宋" w:hAnsi="仿宋" w:eastAsia="仿宋" w:cs="Times New Roman"/>
          <w:spacing w:val="2"/>
          <w:kern w:val="0"/>
          <w:sz w:val="32"/>
          <w:szCs w:val="32"/>
        </w:rPr>
      </w:pPr>
      <w:r>
        <w:rPr>
          <w:rFonts w:ascii="仿宋" w:hAnsi="仿宋" w:eastAsia="仿宋" w:cs="仿宋"/>
          <w:spacing w:val="2"/>
          <w:kern w:val="0"/>
          <w:sz w:val="32"/>
          <w:szCs w:val="32"/>
        </w:rPr>
        <w:t>3</w:t>
      </w:r>
      <w:r>
        <w:rPr>
          <w:rFonts w:hint="eastAsia" w:ascii="仿宋" w:hAnsi="仿宋" w:eastAsia="仿宋" w:cs="仿宋"/>
          <w:spacing w:val="2"/>
          <w:kern w:val="0"/>
          <w:sz w:val="32"/>
          <w:szCs w:val="32"/>
        </w:rPr>
        <w:t>、比上年增减情况</w:t>
      </w:r>
    </w:p>
    <w:p>
      <w:pPr>
        <w:jc w:val="left"/>
        <w:rPr>
          <w:rFonts w:ascii="Times New Roman" w:hAnsi="Times New Roman" w:eastAsia="仿宋" w:cs="Times New Roman"/>
          <w:color w:val="FF0000"/>
          <w:sz w:val="32"/>
          <w:szCs w:val="32"/>
        </w:rPr>
      </w:pPr>
      <w:r>
        <w:rPr>
          <w:rFonts w:ascii="仿宋" w:hAnsi="仿宋" w:eastAsia="仿宋" w:cs="仿宋"/>
          <w:spacing w:val="2"/>
          <w:kern w:val="0"/>
          <w:sz w:val="32"/>
          <w:szCs w:val="32"/>
        </w:rPr>
        <w:t xml:space="preserve">    </w:t>
      </w:r>
      <w:r>
        <w:rPr>
          <w:rFonts w:hint="eastAsia" w:ascii="仿宋" w:hAnsi="仿宋" w:eastAsia="仿宋" w:cs="仿宋"/>
          <w:spacing w:val="2"/>
          <w:kern w:val="0"/>
          <w:sz w:val="32"/>
          <w:szCs w:val="32"/>
        </w:rPr>
        <w:t>2020年部门预算收支安排</w:t>
      </w:r>
      <w:r>
        <w:rPr>
          <w:rFonts w:hint="eastAsia" w:ascii="仿宋" w:hAnsi="仿宋" w:eastAsia="仿宋" w:cs="仿宋"/>
          <w:sz w:val="32"/>
          <w:szCs w:val="32"/>
        </w:rPr>
        <w:t>14597.08</w:t>
      </w:r>
      <w:r>
        <w:rPr>
          <w:rFonts w:hint="eastAsia" w:ascii="仿宋" w:hAnsi="仿宋" w:eastAsia="仿宋" w:cs="仿宋"/>
          <w:spacing w:val="2"/>
          <w:kern w:val="0"/>
          <w:sz w:val="32"/>
          <w:szCs w:val="32"/>
        </w:rPr>
        <w:t>万元，较</w:t>
      </w:r>
      <w:r>
        <w:rPr>
          <w:rFonts w:ascii="仿宋" w:hAnsi="仿宋" w:eastAsia="仿宋" w:cs="仿宋"/>
          <w:spacing w:val="2"/>
          <w:kern w:val="0"/>
          <w:sz w:val="32"/>
          <w:szCs w:val="32"/>
        </w:rPr>
        <w:t>201</w:t>
      </w:r>
      <w:r>
        <w:rPr>
          <w:rFonts w:hint="eastAsia" w:ascii="仿宋" w:hAnsi="仿宋" w:eastAsia="仿宋" w:cs="仿宋"/>
          <w:spacing w:val="2"/>
          <w:kern w:val="0"/>
          <w:sz w:val="32"/>
          <w:szCs w:val="32"/>
        </w:rPr>
        <w:t>9年减少9064.98万元，其中：基本支出增加23.96万元，主要是结构改革人员变动；项目支出减少9089.95万元，主要为专项支农资金减少。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54.91</w:t>
      </w:r>
      <w:r>
        <w:rPr>
          <w:rFonts w:hint="eastAsia" w:ascii="Times New Roman" w:hAnsi="Times New Roman" w:eastAsia="仿宋" w:cs="仿宋"/>
          <w:sz w:val="32"/>
          <w:szCs w:val="32"/>
        </w:rPr>
        <w:t>万元，主要用于保证机关正常运转的办公费、邮电费、差旅费、福利费、办公用房水电费、日常维修费、公务交通补贴、公务车运行维护费、工会经费、劳务费等支出。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10.35</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，与上年无变化</w:t>
      </w:r>
      <w:r>
        <w:rPr>
          <w:rFonts w:hint="eastAsia" w:ascii="Times New Roman" w:hAnsi="Times New Roman" w:eastAsia="仿宋" w:cs="仿宋"/>
          <w:sz w:val="32"/>
          <w:szCs w:val="32"/>
        </w:rPr>
        <w:t>；公务用车购置及运维费</w:t>
      </w:r>
      <w:r>
        <w:rPr>
          <w:rFonts w:hint="eastAsia" w:ascii="Times New Roman" w:hAnsi="Times New Roman" w:eastAsia="仿宋" w:cs="Times New Roman"/>
          <w:sz w:val="32"/>
          <w:szCs w:val="32"/>
        </w:rPr>
        <w:t>7.5</w:t>
      </w:r>
      <w:r>
        <w:rPr>
          <w:rFonts w:hint="eastAsia" w:ascii="Times New Roman" w:hAnsi="Times New Roman" w:eastAsia="仿宋" w:cs="仿宋"/>
          <w:sz w:val="32"/>
          <w:szCs w:val="32"/>
        </w:rPr>
        <w:t>万元，比上年增加1.67万元</w:t>
      </w:r>
      <w:r>
        <w:rPr>
          <w:rFonts w:hint="eastAsia" w:ascii="Times New Roman" w:hAnsi="Times New Roman" w:eastAsia="仿宋" w:cs="仿宋"/>
          <w:sz w:val="32"/>
          <w:szCs w:val="32"/>
          <w:lang w:eastAsia="zh-CN"/>
        </w:rPr>
        <w:t>，其</w:t>
      </w:r>
      <w:r>
        <w:rPr>
          <w:rFonts w:hint="eastAsia" w:ascii="Times New Roman" w:hAnsi="Times New Roman" w:eastAsia="仿宋" w:cs="仿宋"/>
          <w:sz w:val="32"/>
          <w:szCs w:val="32"/>
        </w:rPr>
        <w:t>原因系机构改革单位合并增加</w:t>
      </w:r>
      <w:r>
        <w:rPr>
          <w:rFonts w:hint="eastAsia" w:ascii="Times New Roman" w:hAnsi="Times New Roman" w:eastAsia="仿宋" w:cs="仿宋"/>
          <w:sz w:val="32"/>
          <w:szCs w:val="32"/>
          <w:lang w:eastAsia="zh-CN"/>
        </w:rPr>
        <w:t>公务用车运行维护费</w:t>
      </w:r>
      <w:r>
        <w:rPr>
          <w:rFonts w:hint="eastAsia" w:ascii="Times New Roman" w:hAnsi="Times New Roman" w:eastAsia="仿宋" w:cs="仿宋"/>
          <w:sz w:val="32"/>
          <w:szCs w:val="32"/>
        </w:rPr>
        <w:t>预算支出；公务接待费</w:t>
      </w:r>
      <w:r>
        <w:rPr>
          <w:rFonts w:hint="eastAsia" w:ascii="Times New Roman" w:hAnsi="Times New Roman" w:eastAsia="仿宋" w:cs="Times New Roman"/>
          <w:sz w:val="32"/>
          <w:szCs w:val="32"/>
        </w:rPr>
        <w:t>2.85</w:t>
      </w:r>
      <w:r>
        <w:rPr>
          <w:rFonts w:hint="eastAsia" w:ascii="Times New Roman" w:hAnsi="Times New Roman" w:eastAsia="仿宋" w:cs="仿宋"/>
          <w:sz w:val="32"/>
          <w:szCs w:val="32"/>
        </w:rPr>
        <w:t>万元，比上年增加0.35万元</w:t>
      </w:r>
      <w:r>
        <w:rPr>
          <w:rFonts w:hint="eastAsia" w:ascii="Times New Roman" w:hAnsi="Times New Roman" w:eastAsia="仿宋" w:cs="仿宋"/>
          <w:sz w:val="32"/>
          <w:szCs w:val="32"/>
          <w:lang w:eastAsia="zh-CN"/>
        </w:rPr>
        <w:t>，其</w:t>
      </w:r>
      <w:r>
        <w:rPr>
          <w:rFonts w:hint="eastAsia" w:ascii="Times New Roman" w:hAnsi="Times New Roman" w:eastAsia="仿宋" w:cs="仿宋"/>
          <w:sz w:val="32"/>
          <w:szCs w:val="32"/>
        </w:rPr>
        <w:t>原因系机构改革单位合并增加</w:t>
      </w:r>
      <w:r>
        <w:rPr>
          <w:rFonts w:hint="eastAsia" w:ascii="Times New Roman" w:hAnsi="Times New Roman" w:eastAsia="仿宋" w:cs="仿宋"/>
          <w:sz w:val="32"/>
          <w:szCs w:val="32"/>
          <w:lang w:eastAsia="zh-CN"/>
        </w:rPr>
        <w:t>公务接待费</w:t>
      </w:r>
      <w:r>
        <w:rPr>
          <w:rFonts w:hint="eastAsia" w:ascii="Times New Roman" w:hAnsi="Times New Roman" w:eastAsia="仿宋" w:cs="仿宋"/>
          <w:sz w:val="32"/>
          <w:szCs w:val="32"/>
        </w:rPr>
        <w:t>预算支出。</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0" w:firstLineChars="200"/>
        <w:jc w:val="left"/>
        <w:rPr>
          <w:rFonts w:ascii="Times New Roman" w:hAnsi="Times New Roman" w:eastAsia="仿宋" w:cs="仿宋"/>
          <w:sz w:val="32"/>
          <w:szCs w:val="32"/>
        </w:rPr>
      </w:pPr>
      <w:bookmarkStart w:id="0" w:name="_Toc471398463"/>
      <w:r>
        <w:rPr>
          <w:rFonts w:hint="eastAsia" w:ascii="黑体" w:hAnsi="黑体" w:eastAsia="黑体" w:cs="黑体"/>
          <w:sz w:val="32"/>
          <w:szCs w:val="32"/>
        </w:rPr>
        <w:t>总体绩效目标：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指导粮食，农产品生产，组织落实促进主要农产品生产发展的相关政策措施，引导农业产业结构调整和产品品质的改善。会同有关部门指导农业标准化、规模化生产。负责提出农业固定资产投资规模和方向、财政性资金安排的意见。编报部门预算并组织执行。提出扶持农业农村发展的财政政策和项目建议，经批准后制定实施方案并指导实施。</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负责农作物重大病虫害防治。会同有关部门制定动植物防疫检疫办法并指导实施，指导动植物防疫和检疫体系建设。组织、监督对县内动植物的防疫检疫工作，发布疫情并组织扑灭。组织植物检疫性有害生物普查。组织兽医医政、兽药药政药检工作。负责执业兽医的管理。</w:t>
      </w:r>
    </w:p>
    <w:p>
      <w:pPr>
        <w:autoSpaceDE w:val="0"/>
        <w:autoSpaceDN w:val="0"/>
        <w:adjustRightInd w:val="0"/>
        <w:ind w:left="198" w:firstLine="640" w:firstLineChars="200"/>
        <w:jc w:val="left"/>
        <w:rPr>
          <w:rFonts w:ascii="Times New Roman" w:hAnsi="Times New Roman" w:eastAsia="仿宋" w:cs="Times New Roman"/>
          <w:b/>
          <w:bCs/>
          <w:sz w:val="32"/>
          <w:szCs w:val="32"/>
          <w:highlight w:val="yellow"/>
        </w:rPr>
      </w:pPr>
      <w:r>
        <w:rPr>
          <w:rFonts w:hint="eastAsia" w:ascii="Times New Roman" w:hAnsi="Times New Roman" w:eastAsia="仿宋" w:cs="仿宋"/>
          <w:sz w:val="32"/>
          <w:szCs w:val="32"/>
        </w:rPr>
        <w:t>3、负责农机作业规范和技术标准的组织实施工作；承担依法组织实施农业机械安全监理和试验鉴定等有关工作；依法组织对在用的特定种类农业机械产品进行调查；指导农机作业安全和维修管理。</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职责分类绩效目标：</w:t>
      </w:r>
    </w:p>
    <w:p>
      <w:pPr>
        <w:pStyle w:val="15"/>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一、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pPr>
        <w:pStyle w:val="15"/>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二、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pPr>
        <w:pStyle w:val="15"/>
        <w:ind w:firstLine="640"/>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三、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30"/>
      <w:r>
        <w:rPr>
          <w:rFonts w:hint="eastAsia" w:ascii="Times New Roman" w:hAnsi="Times New Roman" w:eastAsia="方正仿宋_GBK" w:cs="Times New Roman"/>
          <w:b/>
          <w:sz w:val="32"/>
          <w:szCs w:val="32"/>
        </w:rPr>
        <w:instrText xml:space="preserve">工作保障措施</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在县委、县政府的正确领导下，农业农村局认真落实中央和省市“三农”工作决策部署，坚持稳中求进工作总基调，推进乡村振兴战略，深化农业供给侧改革，着力改善农村人居环境，全面提升我县农业现代化水平。</w:t>
      </w:r>
      <w:r>
        <w:rPr>
          <w:rFonts w:hint="eastAsia" w:ascii="Times New Roman" w:hAnsi="Times New Roman" w:eastAsia="仿宋" w:cs="仿宋"/>
          <w:sz w:val="32"/>
          <w:szCs w:val="32"/>
        </w:rPr>
        <w:br w:type="textWrapping"/>
      </w:r>
      <w:r>
        <w:rPr>
          <w:rFonts w:hint="eastAsia" w:ascii="Times New Roman" w:hAnsi="Times New Roman" w:eastAsia="仿宋" w:cs="仿宋"/>
          <w:sz w:val="32"/>
          <w:szCs w:val="32"/>
        </w:rPr>
        <w:t xml:space="preserve">    (一)聚焦“一个中心”，全面实施乡村振兴战略。聚焦全面实施乡村振兴战略这个中心，围绕“产业兴旺、生态宜居、乡风文明、治理有效、生活富裕”20个字总要求，发挥好乡村振兴办公室决策参谋、牵头抓总、协调落实作用，以乡村振兴战略五年规划确定的31项主要指标、102项重大工程、重大计划、重大行动为抓手，对照分工方案，加强督导调度，确保重点工作扎实推进，各项任务按照时间节点按时完成。</w:t>
      </w:r>
    </w:p>
    <w:p>
      <w:pPr>
        <w:autoSpaceDE w:val="0"/>
        <w:autoSpaceDN w:val="0"/>
        <w:adjustRightInd w:val="0"/>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 xml:space="preserve"> （二）打好农村人居环境整治硬仗。发挥农业农村部门牵头抓总的作用，认真学习推广浙江“千万工程”经验，推动相关职能部门履职尽责，做好观摩评比及明察暗访工作，抓好农村垃圾治理工作，特别是五清三建一改、畜禽养殖废弃物资源化利用、两高沿线村容村貌提升使农村面貌不断提升，推进人居环境常态化管理。完善各项制度，实现乡村文明提升与环境整治互促互进。</w:t>
      </w:r>
    </w:p>
    <w:p>
      <w:pPr>
        <w:autoSpaceDE w:val="0"/>
        <w:autoSpaceDN w:val="0"/>
        <w:adjustRightInd w:val="0"/>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扎实稳定粮食、蔬菜生产。1、调优粮食种植结构。大力推进农业供给侧改革，农业结构不断优化，农业综合生产能力不断加强。调减高效低质低效农作物面积3.7万亩，全县推广优质强筋麦34万亩（重点推广乡镇隆尧镇、牛桥乡、大张庄乡、固城镇等）；完成粮食生产功能区划定工作的验收工作。2、抓好特色产业发展工作。2020年，全县优质蔬菜种植面积达到4.9万亩，优质果品种植面积达到2.8万亩，中药材种植稳定在0.16万亩，高油酸花生达到0.2万亩，大豆种植面积达到1.59万亩，特色杂粮种植面积达到1.34万亩，饲草种植面积2万亩，设施农业建设达到2.26万亩。协助隆尧县分良家庭农场创建蔬菜产业园；继续抓好对农民的技术培训，提高科技素质，加快推广新技术、新品种；继续开展蔬菜农药残留检测工作，重点抓好外销蔬菜种植基地的抽查检测力度，确保我县蔬菜产品质量安全放心。3、搞好大田作物考察，加强农业科技培训。全年分不同阶段组织、考察主要农作物20期以上，撰写不同作物、不同生育时期管理技术意见20期以上。结合农时，深入乡村田间地头，开展技术培训，现场讲解，技术指导。利用电视栏目、印发技术资料、农村广播喇叭等形式广泛开展宣传，全年举办不同规模、不同类型培训班30场以上，现场技术指导35趟次以上，在县电视台《关注三农》栏目举办技术讲座10期以上，印发资料2万份以上，利用广播喇叭宣传50场次以上。</w:t>
      </w:r>
    </w:p>
    <w:p>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3"/>
        <w:rPr>
          <w:rFonts w:ascii="Times New Roman" w:hAnsi="Times New Roman" w:eastAsia="仿宋" w:cs="仿宋"/>
          <w:sz w:val="32"/>
          <w:szCs w:val="32"/>
        </w:rPr>
      </w:pPr>
      <w:r>
        <w:rPr>
          <w:rFonts w:hint="eastAsia" w:ascii="Times New Roman" w:hAnsi="Times New Roman" w:eastAsia="仿宋" w:cs="仿宋"/>
          <w:sz w:val="32"/>
          <w:szCs w:val="32"/>
        </w:rPr>
        <w:t>（四）“三品一标”创建工作。继续做好农产品“三品一标”认证工作，加大三品一标的宣传力度，提高人们对三品一标的认知程度，2020年新增三品一标农产品2个。</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736"/>
        <w:jc w:val="both"/>
        <w:rPr>
          <w:rFonts w:ascii="Times New Roman" w:hAnsi="Times New Roman" w:eastAsia="仿宋" w:cs="仿宋"/>
          <w:sz w:val="32"/>
          <w:szCs w:val="32"/>
        </w:rPr>
      </w:pPr>
      <w:r>
        <w:rPr>
          <w:rFonts w:hint="eastAsia" w:ascii="Times New Roman" w:hAnsi="Times New Roman" w:eastAsia="仿宋" w:cs="仿宋"/>
          <w:sz w:val="32"/>
          <w:szCs w:val="32"/>
        </w:rPr>
        <w:t>（五）着力提升农产品质量安全水平。在“元旦、春节”“中秋、十一”等重点节日期间，开展农产品质量安全集中整治活动，全年内常态化搞好农业投入品市场、种养殖企业、屠宰市场的检查工作，做好“瘦肉精”专项整治工作，积极开展“瘦肉精”拉网检测，加大对农兽药、肥料饲料、添加剂经营门店的监管，杜绝禁用投入品的使用，做好全县农产品质量安全追溯体系建设。主要农产品监测合格率不低于97%。</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736"/>
        <w:jc w:val="both"/>
        <w:rPr>
          <w:rFonts w:ascii="Times New Roman" w:hAnsi="Times New Roman" w:eastAsia="仿宋" w:cs="仿宋"/>
          <w:sz w:val="32"/>
          <w:szCs w:val="32"/>
        </w:rPr>
      </w:pPr>
      <w:r>
        <w:rPr>
          <w:rFonts w:hint="eastAsia" w:ascii="Times New Roman" w:hAnsi="Times New Roman" w:eastAsia="仿宋" w:cs="仿宋"/>
          <w:sz w:val="32"/>
          <w:szCs w:val="32"/>
        </w:rPr>
        <w:t>（六）畜牧工作。按照“扩大生猪、稳定蛋鸡、发展肉羊”的工作思路，2020年肉、蛋、奶产量分别达到3.67万吨、8.38万吨和2.55万吨，生猪出栏29.3万头、肉牛出栏1.28万头、肉羊出栏9.54万只，蛋鸡存栏756万只。继续搞好春秋两季的动物疫病防治工作，毫不松懈抓好非洲猪瘟防控，确保不发生动物疫情，确保畜产品生产安全。继续开展粮改饲试点县项目工作，推进农业供给侧结构调整。继续推进抓好全县畜禽养殖废弃物的资源化综合利用工作，2020年底全县畜禽废弃物综合利用率达80%以上，规模养殖场粪污配套处理设施装备率达到100%以上。</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736"/>
        <w:jc w:val="both"/>
        <w:rPr>
          <w:rFonts w:ascii="Times New Roman" w:hAnsi="Times New Roman" w:eastAsia="仿宋" w:cs="仿宋"/>
          <w:sz w:val="32"/>
          <w:szCs w:val="32"/>
        </w:rPr>
      </w:pPr>
      <w:r>
        <w:rPr>
          <w:rFonts w:hint="eastAsia" w:ascii="Times New Roman" w:hAnsi="Times New Roman" w:eastAsia="仿宋" w:cs="仿宋"/>
          <w:sz w:val="32"/>
          <w:szCs w:val="32"/>
        </w:rPr>
        <w:t>（七）提升农业机械化水平。认真落实好农机购置补贴等惠农政策，积极转变农业机械化增长方式，以增量调整带动存量优化，以存量优化促进结构升级。重点发展大马力、高性能、多功能复式作业的农机装备，加快动力机械的配套机具的开发和利用，提高配套比，使全县农业机械在总量发展、装备结构、技术水平上明显提高。农机购置补贴稳定在1100万元左右。</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736"/>
        <w:jc w:val="both"/>
        <w:rPr>
          <w:rFonts w:ascii="Times New Roman" w:hAnsi="Times New Roman" w:eastAsia="仿宋" w:cs="仿宋"/>
          <w:sz w:val="32"/>
          <w:szCs w:val="32"/>
        </w:rPr>
      </w:pPr>
      <w:r>
        <w:rPr>
          <w:rFonts w:hint="eastAsia" w:ascii="Times New Roman" w:hAnsi="Times New Roman" w:eastAsia="仿宋" w:cs="仿宋"/>
          <w:sz w:val="32"/>
          <w:szCs w:val="32"/>
        </w:rPr>
        <w:t>（八）农村改革。1、建立健全农村集体“三资”管理信息化平台，联合财政局、各乡镇政府，全面推行村级财务委托第三方代理记账服务稳定农村财会队伍，落实民主理财，规范财务公开，切实维护集体成员经济权益和监督管理权。2、培育壮大新型农业经营主体。开展农民合作社质量提升行动，鼓励发展合作社联合社，加大示范合作社、示范家庭农场创建力度。鼓励龙头企业、农民合作社和家庭农场等各类新型经营主体融合发展。3、扎实做好农村承包地确权登记颁证收尾工作。全面完成土地承包经营权证颁证扫尾、“一户一档”数字化档案、数据库修正和市级验收等工作，做好矛盾纠纷调处，积极探索放活土地经营权的有效途径，促进小农户与现代农业有机衔接。</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736"/>
        <w:jc w:val="both"/>
        <w:rPr>
          <w:rFonts w:ascii="黑体" w:hAnsi="黑体" w:eastAsia="黑体" w:cs="黑体"/>
          <w:sz w:val="32"/>
          <w:szCs w:val="32"/>
        </w:rPr>
      </w:pPr>
      <w:r>
        <w:rPr>
          <w:rFonts w:hint="eastAsia" w:ascii="Times New Roman" w:hAnsi="Times New Roman" w:eastAsia="仿宋" w:cs="仿宋"/>
          <w:sz w:val="32"/>
          <w:szCs w:val="32"/>
        </w:rPr>
        <w:t>（九）发展绿色农业减少农药使用量。促进农业绿色发展，加快农药更新换代，减少不合理使用,提高施用效益,切实保障农产品质量安全和生态环境安全, 2020年目标为全县农药使用量持续负增长，比2019年减少2%以上。主要农作物统防统治覆盖率40%以上,主要农作物绿色防控覆盖率30%以上,主要农作物农药利用率40%以上。</w:t>
      </w:r>
    </w:p>
    <w:p>
      <w:pPr>
        <w:autoSpaceDE w:val="0"/>
        <w:autoSpaceDN w:val="0"/>
        <w:adjustRightInd w:val="0"/>
        <w:ind w:left="198" w:firstLine="640" w:firstLineChars="200"/>
        <w:jc w:val="left"/>
        <w:rPr>
          <w:rFonts w:ascii="黑体" w:hAnsi="黑体" w:eastAsia="黑体" w:cs="黑体"/>
          <w:sz w:val="32"/>
          <w:szCs w:val="32"/>
        </w:rPr>
      </w:pPr>
      <w:r>
        <w:rPr>
          <w:rFonts w:hint="eastAsia" w:ascii="黑体" w:hAnsi="黑体" w:eastAsia="黑体" w:cs="黑体"/>
          <w:sz w:val="32"/>
          <w:szCs w:val="32"/>
        </w:rPr>
        <w:t>部门这个难题支出绩效指标情况：</w:t>
      </w:r>
      <w:bookmarkEnd w:id="0"/>
    </w:p>
    <w:p>
      <w:pPr>
        <w:autoSpaceDE w:val="0"/>
        <w:autoSpaceDN w:val="0"/>
        <w:adjustRightInd w:val="0"/>
        <w:ind w:left="198" w:firstLine="640" w:firstLineChars="200"/>
        <w:jc w:val="left"/>
        <w:rPr>
          <w:rFonts w:ascii="方正小标宋_GBK" w:eastAsia="方正小标宋_GBK" w:cs="方正小标宋_GBK"/>
          <w:sz w:val="32"/>
          <w:szCs w:val="32"/>
        </w:rPr>
      </w:pPr>
      <w:r>
        <w:rPr>
          <w:rFonts w:hint="eastAsia" w:ascii="方正小标宋_GBK" w:eastAsia="方正小标宋_GBK" w:cs="方正小标宋_GBK"/>
          <w:sz w:val="32"/>
          <w:szCs w:val="32"/>
        </w:rPr>
        <w:t>部门整体支出绩效指标情况</w:t>
      </w:r>
    </w:p>
    <w:p>
      <w:pPr>
        <w:autoSpaceDE w:val="0"/>
        <w:autoSpaceDN w:val="0"/>
        <w:adjustRightInd w:val="0"/>
        <w:ind w:left="198" w:firstLine="640" w:firstLineChars="200"/>
        <w:jc w:val="left"/>
        <w:rPr>
          <w:rFonts w:ascii="方正小标宋_GBK" w:eastAsia="方正小标宋_GBK" w:cs="方正小标宋_GBK"/>
          <w:sz w:val="32"/>
          <w:szCs w:val="32"/>
        </w:rPr>
      </w:pPr>
    </w:p>
    <w:tbl>
      <w:tblPr>
        <w:tblStyle w:val="7"/>
        <w:tblW w:w="13260" w:type="dxa"/>
        <w:tblInd w:w="0" w:type="dxa"/>
        <w:tblLayout w:type="fixed"/>
        <w:tblCellMar>
          <w:top w:w="0" w:type="dxa"/>
          <w:left w:w="0" w:type="dxa"/>
          <w:bottom w:w="0" w:type="dxa"/>
          <w:right w:w="0" w:type="dxa"/>
        </w:tblCellMar>
      </w:tblPr>
      <w:tblGrid>
        <w:gridCol w:w="484"/>
        <w:gridCol w:w="942"/>
        <w:gridCol w:w="759"/>
        <w:gridCol w:w="1814"/>
        <w:gridCol w:w="2253"/>
        <w:gridCol w:w="1361"/>
        <w:gridCol w:w="908"/>
        <w:gridCol w:w="2117"/>
        <w:gridCol w:w="2622"/>
      </w:tblGrid>
      <w:tr>
        <w:tblPrEx>
          <w:tblCellMar>
            <w:top w:w="0" w:type="dxa"/>
            <w:left w:w="0" w:type="dxa"/>
            <w:bottom w:w="0" w:type="dxa"/>
            <w:right w:w="0" w:type="dxa"/>
          </w:tblCellMar>
        </w:tblPrEx>
        <w:trPr>
          <w:trHeight w:val="600" w:hRule="atLeast"/>
        </w:trPr>
        <w:tc>
          <w:tcPr>
            <w:tcW w:w="13260" w:type="dxa"/>
            <w:gridSpan w:val="9"/>
            <w:tcBorders>
              <w:top w:val="nil"/>
              <w:left w:val="nil"/>
              <w:bottom w:val="nil"/>
              <w:right w:val="nil"/>
            </w:tcBorders>
            <w:shd w:val="clear" w:color="auto" w:fill="D3DCE9"/>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rPr>
              <w:t>部门整体支出绩效指标情况</w:t>
            </w: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2.00</w:t>
            </w:r>
          </w:p>
        </w:tc>
        <w:tc>
          <w:tcPr>
            <w:tcW w:w="942" w:type="dxa"/>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759" w:type="dxa"/>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814" w:type="dxa"/>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253" w:type="dxa"/>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w:t>
            </w:r>
          </w:p>
        </w:tc>
        <w:tc>
          <w:tcPr>
            <w:tcW w:w="4386" w:type="dxa"/>
            <w:gridSpan w:val="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622" w:type="dxa"/>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指标值确定依据</w:t>
            </w: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1814" w:type="dxa"/>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253" w:type="dxa"/>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361"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908"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单位（文字描述）</w:t>
            </w:r>
          </w:p>
        </w:tc>
        <w:tc>
          <w:tcPr>
            <w:tcW w:w="2622" w:type="dxa"/>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85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4.00</w:t>
            </w:r>
          </w:p>
        </w:tc>
        <w:tc>
          <w:tcPr>
            <w:tcW w:w="942" w:type="dxa"/>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产出指标</w:t>
            </w: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814"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完成率</w:t>
            </w:r>
          </w:p>
        </w:tc>
        <w:tc>
          <w:tcPr>
            <w:tcW w:w="2253"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按照要求和计划完成研究任务的项目在所有立项项目中的比例（百分比）</w:t>
            </w:r>
          </w:p>
        </w:tc>
        <w:tc>
          <w:tcPr>
            <w:tcW w:w="1361"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&gt;=</w:t>
            </w:r>
          </w:p>
        </w:tc>
        <w:tc>
          <w:tcPr>
            <w:tcW w:w="90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262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依据《农业法》及省 市 县有关文件。</w:t>
            </w:r>
          </w:p>
        </w:tc>
      </w:tr>
      <w:tr>
        <w:tblPrEx>
          <w:tblCellMar>
            <w:top w:w="0" w:type="dxa"/>
            <w:left w:w="0" w:type="dxa"/>
            <w:bottom w:w="0" w:type="dxa"/>
            <w:right w:w="0" w:type="dxa"/>
          </w:tblCellMar>
        </w:tblPrEx>
        <w:trPr>
          <w:trHeight w:val="103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814"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农产品质量提高</w:t>
            </w:r>
          </w:p>
        </w:tc>
        <w:tc>
          <w:tcPr>
            <w:tcW w:w="2253"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拉伸农业产业链条，提升农产品附加值，增加农民收入，创造县域经济发展新增长点。</w:t>
            </w:r>
          </w:p>
        </w:tc>
        <w:tc>
          <w:tcPr>
            <w:tcW w:w="1361"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&gt;=</w:t>
            </w:r>
          </w:p>
        </w:tc>
        <w:tc>
          <w:tcPr>
            <w:tcW w:w="90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2622"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6.00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1814"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253"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136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908"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117"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622"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85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7.00</w:t>
            </w:r>
          </w:p>
        </w:tc>
        <w:tc>
          <w:tcPr>
            <w:tcW w:w="942" w:type="dxa"/>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814"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达到绿色产业标准</w:t>
            </w:r>
          </w:p>
        </w:tc>
        <w:tc>
          <w:tcPr>
            <w:tcW w:w="2253"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促进农业现代化，提高农业劳动生产率，增加农民收入。</w:t>
            </w:r>
          </w:p>
        </w:tc>
        <w:tc>
          <w:tcPr>
            <w:tcW w:w="1361"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&gt;=</w:t>
            </w:r>
          </w:p>
        </w:tc>
        <w:tc>
          <w:tcPr>
            <w:tcW w:w="90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262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依据《农业法》及省 市 县有关文件。</w:t>
            </w:r>
          </w:p>
        </w:tc>
      </w:tr>
      <w:tr>
        <w:tblPrEx>
          <w:tblCellMar>
            <w:top w:w="0" w:type="dxa"/>
            <w:left w:w="0" w:type="dxa"/>
            <w:bottom w:w="0" w:type="dxa"/>
            <w:right w:w="0" w:type="dxa"/>
          </w:tblCellMar>
        </w:tblPrEx>
        <w:trPr>
          <w:trHeight w:val="103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8.00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814"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农村面貌提升</w:t>
            </w:r>
          </w:p>
        </w:tc>
        <w:tc>
          <w:tcPr>
            <w:tcW w:w="2253"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推进新民居中心村示范工程建设，打造一批符合全面小康要求的新型农村社区和美丽乡村。</w:t>
            </w:r>
          </w:p>
        </w:tc>
        <w:tc>
          <w:tcPr>
            <w:tcW w:w="1361"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&gt;=</w:t>
            </w:r>
          </w:p>
        </w:tc>
        <w:tc>
          <w:tcPr>
            <w:tcW w:w="90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262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依据《农业法》及省 市 县有关文件。</w:t>
            </w: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1814"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253"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136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908"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117"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622"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10.00</w:t>
            </w:r>
          </w:p>
        </w:tc>
        <w:tc>
          <w:tcPr>
            <w:tcW w:w="942" w:type="dxa"/>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满意度指标</w:t>
            </w: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1814"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2253"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群众满意数量占总数的比例。</w:t>
            </w:r>
          </w:p>
        </w:tc>
        <w:tc>
          <w:tcPr>
            <w:tcW w:w="1361"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&gt;=</w:t>
            </w:r>
          </w:p>
        </w:tc>
        <w:tc>
          <w:tcPr>
            <w:tcW w:w="90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21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262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依据《农业法》及省 市 县有关文件。</w:t>
            </w: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11.00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1814"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253"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136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908"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117"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622"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375" w:hRule="atLeast"/>
        </w:trPr>
        <w:tc>
          <w:tcPr>
            <w:tcW w:w="484"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12.00</w:t>
            </w:r>
          </w:p>
        </w:tc>
        <w:tc>
          <w:tcPr>
            <w:tcW w:w="942" w:type="dxa"/>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1814"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253"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136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 w:val="18"/>
                <w:szCs w:val="18"/>
              </w:rPr>
            </w:pPr>
          </w:p>
        </w:tc>
        <w:tc>
          <w:tcPr>
            <w:tcW w:w="908"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2117"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c>
          <w:tcPr>
            <w:tcW w:w="2622" w:type="dxa"/>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18"/>
                <w:szCs w:val="18"/>
              </w:rPr>
            </w:pPr>
          </w:p>
        </w:tc>
      </w:tr>
    </w:tbl>
    <w:p>
      <w:pPr>
        <w:outlineLvl w:val="0"/>
        <w:rPr>
          <w:rFonts w:ascii="方正小标宋_GBK" w:hAnsi="Times New Roman" w:eastAsia="方正小标宋_GBK" w:cs="Times New Roman"/>
          <w:sz w:val="32"/>
          <w:szCs w:val="32"/>
        </w:rPr>
      </w:pPr>
    </w:p>
    <w:p>
      <w:pPr>
        <w:numPr>
          <w:ilvl w:val="0"/>
          <w:numId w:val="1"/>
        </w:num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政府采购预算情况</w:t>
      </w:r>
    </w:p>
    <w:p>
      <w:pPr>
        <w:ind w:firstLine="640" w:firstLineChars="200"/>
        <w:outlineLvl w:val="0"/>
        <w:rPr>
          <w:rFonts w:ascii="方正小标宋_GBK" w:eastAsia="方正小标宋_GBK" w:cs="方正小标宋_GBK"/>
          <w:sz w:val="32"/>
          <w:szCs w:val="32"/>
        </w:rPr>
      </w:pPr>
      <w:bookmarkStart w:id="2" w:name="_Toc471398468"/>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2020</w:t>
      </w:r>
      <w:r>
        <w:rPr>
          <w:rFonts w:hint="eastAsia" w:ascii="Times New Roman" w:hAnsi="Times New Roman" w:eastAsia="仿宋" w:cs="仿宋"/>
          <w:sz w:val="32"/>
          <w:szCs w:val="32"/>
        </w:rPr>
        <w:t>年，我部门政府采购预算建议数</w:t>
      </w:r>
      <w:r>
        <w:rPr>
          <w:rFonts w:hint="eastAsia" w:ascii="Times New Roman" w:hAnsi="Times New Roman" w:eastAsia="仿宋" w:cs="Times New Roman"/>
          <w:sz w:val="32"/>
          <w:szCs w:val="32"/>
        </w:rPr>
        <w:t>3026.39</w:t>
      </w:r>
      <w:r>
        <w:rPr>
          <w:rFonts w:hint="eastAsia" w:ascii="Times New Roman" w:hAnsi="Times New Roman" w:eastAsia="仿宋" w:cs="仿宋"/>
          <w:sz w:val="32"/>
          <w:szCs w:val="32"/>
        </w:rPr>
        <w:t>万元。具体内容见下表</w:t>
      </w:r>
      <w:bookmarkEnd w:id="2"/>
      <w:bookmarkStart w:id="3" w:name="_Toc1921905"/>
      <w:r>
        <w:rPr>
          <w:rFonts w:hint="eastAsia" w:ascii="Times New Roman" w:hAnsi="Times New Roman" w:eastAsia="仿宋" w:cs="仿宋"/>
          <w:sz w:val="32"/>
          <w:szCs w:val="32"/>
        </w:rPr>
        <w:t>。</w:t>
      </w:r>
    </w:p>
    <w:bookmarkEnd w:id="3"/>
    <w:tbl>
      <w:tblPr>
        <w:tblStyle w:val="7"/>
        <w:tblW w:w="14829" w:type="dxa"/>
        <w:tblInd w:w="0" w:type="dxa"/>
        <w:tblLayout w:type="fixed"/>
        <w:tblCellMar>
          <w:top w:w="0" w:type="dxa"/>
          <w:left w:w="0" w:type="dxa"/>
          <w:bottom w:w="0" w:type="dxa"/>
          <w:right w:w="0" w:type="dxa"/>
        </w:tblCellMar>
      </w:tblPr>
      <w:tblGrid>
        <w:gridCol w:w="119"/>
        <w:gridCol w:w="298"/>
        <w:gridCol w:w="4032"/>
        <w:gridCol w:w="790"/>
        <w:gridCol w:w="343"/>
        <w:gridCol w:w="119"/>
        <w:gridCol w:w="388"/>
        <w:gridCol w:w="1506"/>
        <w:gridCol w:w="209"/>
        <w:gridCol w:w="119"/>
        <w:gridCol w:w="119"/>
        <w:gridCol w:w="164"/>
        <w:gridCol w:w="522"/>
        <w:gridCol w:w="343"/>
        <w:gridCol w:w="522"/>
        <w:gridCol w:w="522"/>
        <w:gridCol w:w="522"/>
        <w:gridCol w:w="209"/>
        <w:gridCol w:w="432"/>
        <w:gridCol w:w="343"/>
        <w:gridCol w:w="209"/>
        <w:gridCol w:w="209"/>
        <w:gridCol w:w="209"/>
        <w:gridCol w:w="522"/>
        <w:gridCol w:w="209"/>
        <w:gridCol w:w="388"/>
        <w:gridCol w:w="209"/>
        <w:gridCol w:w="209"/>
        <w:gridCol w:w="209"/>
        <w:gridCol w:w="209"/>
        <w:gridCol w:w="209"/>
        <w:gridCol w:w="298"/>
        <w:gridCol w:w="119"/>
      </w:tblGrid>
      <w:tr>
        <w:tblPrEx>
          <w:tblCellMar>
            <w:top w:w="0" w:type="dxa"/>
            <w:left w:w="0" w:type="dxa"/>
            <w:bottom w:w="0" w:type="dxa"/>
            <w:right w:w="0" w:type="dxa"/>
          </w:tblCellMar>
        </w:tblPrEx>
        <w:trPr>
          <w:trHeight w:val="750" w:hRule="atLeast"/>
        </w:trPr>
        <w:tc>
          <w:tcPr>
            <w:tcW w:w="14829" w:type="dxa"/>
            <w:gridSpan w:val="33"/>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rPr>
              <w:t>河北省省级部门政府采购预算建议计划表</w:t>
            </w:r>
          </w:p>
        </w:tc>
      </w:tr>
      <w:tr>
        <w:tblPrEx>
          <w:tblCellMar>
            <w:top w:w="0" w:type="dxa"/>
            <w:left w:w="0" w:type="dxa"/>
            <w:bottom w:w="0" w:type="dxa"/>
            <w:right w:w="0" w:type="dxa"/>
          </w:tblCellMar>
        </w:tblPrEx>
        <w:trPr>
          <w:trHeight w:val="300" w:hRule="atLeast"/>
        </w:trPr>
        <w:tc>
          <w:tcPr>
            <w:tcW w:w="13785" w:type="dxa"/>
            <w:gridSpan w:val="28"/>
            <w:tcBorders>
              <w:top w:val="nil"/>
              <w:left w:val="nil"/>
              <w:bottom w:val="nil"/>
              <w:right w:val="nil"/>
            </w:tcBorders>
            <w:shd w:val="clear" w:color="auto" w:fill="E4ECF7"/>
            <w:tcMar>
              <w:top w:w="15" w:type="dxa"/>
              <w:left w:w="15" w:type="dxa"/>
              <w:right w:w="15" w:type="dxa"/>
            </w:tcMar>
            <w:vAlign w:val="center"/>
          </w:tcPr>
          <w:p>
            <w:pPr>
              <w:widowControl/>
              <w:textAlignment w:val="center"/>
              <w:rPr>
                <w:rFonts w:ascii="宋体" w:hAnsi="宋体" w:cs="宋体"/>
                <w:color w:val="000000"/>
                <w:sz w:val="18"/>
                <w:szCs w:val="18"/>
              </w:rPr>
            </w:pPr>
            <w:r>
              <w:rPr>
                <w:rFonts w:hint="eastAsia" w:ascii="宋体" w:hAnsi="宋体" w:cs="宋体"/>
                <w:color w:val="000000"/>
                <w:kern w:val="0"/>
                <w:sz w:val="18"/>
                <w:szCs w:val="18"/>
              </w:rPr>
              <w:t>部门编码及名称：[326]隆尧县农业农村局</w:t>
            </w:r>
          </w:p>
        </w:tc>
        <w:tc>
          <w:tcPr>
            <w:tcW w:w="627" w:type="dxa"/>
            <w:gridSpan w:val="3"/>
            <w:tcBorders>
              <w:top w:val="nil"/>
              <w:left w:val="nil"/>
              <w:bottom w:val="nil"/>
              <w:right w:val="nil"/>
            </w:tcBorders>
            <w:shd w:val="clear" w:color="auto" w:fill="E4ECF7"/>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年度：</w:t>
            </w:r>
          </w:p>
        </w:tc>
        <w:tc>
          <w:tcPr>
            <w:tcW w:w="417" w:type="dxa"/>
            <w:gridSpan w:val="2"/>
            <w:tcBorders>
              <w:top w:val="nil"/>
              <w:left w:val="nil"/>
              <w:bottom w:val="nil"/>
              <w:right w:val="nil"/>
            </w:tcBorders>
            <w:shd w:val="clear" w:color="auto" w:fill="E4ECF7"/>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金额单位：元</w:t>
            </w:r>
          </w:p>
        </w:tc>
      </w:tr>
      <w:tr>
        <w:tblPrEx>
          <w:tblCellMar>
            <w:top w:w="0" w:type="dxa"/>
            <w:left w:w="0" w:type="dxa"/>
            <w:bottom w:w="0" w:type="dxa"/>
            <w:right w:w="0" w:type="dxa"/>
          </w:tblCellMar>
        </w:tblPrEx>
        <w:trPr>
          <w:trHeight w:val="300" w:hRule="atLeast"/>
        </w:trPr>
        <w:tc>
          <w:tcPr>
            <w:tcW w:w="11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序号</w:t>
            </w:r>
          </w:p>
        </w:tc>
        <w:tc>
          <w:tcPr>
            <w:tcW w:w="298"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单位编码</w:t>
            </w:r>
          </w:p>
        </w:tc>
        <w:tc>
          <w:tcPr>
            <w:tcW w:w="4032"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单位名称（项目名称）</w:t>
            </w:r>
          </w:p>
        </w:tc>
        <w:tc>
          <w:tcPr>
            <w:tcW w:w="1640" w:type="dxa"/>
            <w:gridSpan w:val="4"/>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所属项目</w:t>
            </w:r>
          </w:p>
        </w:tc>
        <w:tc>
          <w:tcPr>
            <w:tcW w:w="1506"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采购物品目录序号、物品名称</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采购类别</w:t>
            </w:r>
          </w:p>
        </w:tc>
        <w:tc>
          <w:tcPr>
            <w:tcW w:w="11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采购物品产地</w:t>
            </w:r>
          </w:p>
        </w:tc>
        <w:tc>
          <w:tcPr>
            <w:tcW w:w="11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产品规格</w:t>
            </w:r>
          </w:p>
        </w:tc>
        <w:tc>
          <w:tcPr>
            <w:tcW w:w="164"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计量单位</w:t>
            </w:r>
          </w:p>
        </w:tc>
        <w:tc>
          <w:tcPr>
            <w:tcW w:w="522"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单价</w:t>
            </w:r>
          </w:p>
        </w:tc>
        <w:tc>
          <w:tcPr>
            <w:tcW w:w="343"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w:t>
            </w:r>
          </w:p>
        </w:tc>
        <w:tc>
          <w:tcPr>
            <w:tcW w:w="5341" w:type="dxa"/>
            <w:gridSpan w:val="17"/>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政府采购计划金额</w:t>
            </w:r>
          </w:p>
        </w:tc>
        <w:tc>
          <w:tcPr>
            <w:tcW w:w="298"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政府采购政策功能</w:t>
            </w:r>
          </w:p>
        </w:tc>
        <w:tc>
          <w:tcPr>
            <w:tcW w:w="11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是否本级采购</w:t>
            </w:r>
          </w:p>
        </w:tc>
      </w:tr>
      <w:tr>
        <w:tblPrEx>
          <w:tblCellMar>
            <w:top w:w="0" w:type="dxa"/>
            <w:left w:w="0" w:type="dxa"/>
            <w:bottom w:w="0" w:type="dxa"/>
            <w:right w:w="0" w:type="dxa"/>
          </w:tblCellMar>
        </w:tblPrEx>
        <w:trPr>
          <w:trHeight w:val="300" w:hRule="atLeast"/>
        </w:trPr>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403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640" w:type="dxa"/>
            <w:gridSpan w:val="4"/>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506"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64"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343"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总计</w:t>
            </w:r>
          </w:p>
        </w:tc>
        <w:tc>
          <w:tcPr>
            <w:tcW w:w="4610" w:type="dxa"/>
            <w:gridSpan w:val="15"/>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当年部门预算安排资金</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其他渠道资金</w:t>
            </w: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403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790"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项目编码</w:t>
            </w:r>
          </w:p>
        </w:tc>
        <w:tc>
          <w:tcPr>
            <w:tcW w:w="343"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功能分类科目编码</w:t>
            </w:r>
          </w:p>
        </w:tc>
        <w:tc>
          <w:tcPr>
            <w:tcW w:w="11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经济分类科目编码</w:t>
            </w:r>
          </w:p>
        </w:tc>
        <w:tc>
          <w:tcPr>
            <w:tcW w:w="388"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项目资金性质</w:t>
            </w:r>
          </w:p>
        </w:tc>
        <w:tc>
          <w:tcPr>
            <w:tcW w:w="1506"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64"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343"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3252" w:type="dxa"/>
            <w:gridSpan w:val="10"/>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一般公共预算拨款</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基金预算拨款安排</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财政专户核拨资金</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其他来源收入安排</w:t>
            </w:r>
          </w:p>
        </w:tc>
        <w:tc>
          <w:tcPr>
            <w:tcW w:w="209" w:type="dxa"/>
            <w:vMerge w:val="restart"/>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国有资本经营收入</w:t>
            </w: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2201" w:hRule="atLeast"/>
        </w:trPr>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403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790"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343"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38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506"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64"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343"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小计</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事业费限额</w:t>
            </w:r>
          </w:p>
        </w:tc>
        <w:tc>
          <w:tcPr>
            <w:tcW w:w="43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非限额补助</w:t>
            </w:r>
          </w:p>
        </w:tc>
        <w:tc>
          <w:tcPr>
            <w:tcW w:w="343"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行政事业性收费</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专项收入</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国有资源（资产）有偿使用收入</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政府住房基金收入</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上级财政通知提前转移支付</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地方政府一般债务收入</w:t>
            </w:r>
          </w:p>
        </w:tc>
        <w:tc>
          <w:tcPr>
            <w:tcW w:w="388"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0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298"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c>
          <w:tcPr>
            <w:tcW w:w="119" w:type="dxa"/>
            <w:vMerge w:val="continue"/>
            <w:tcBorders>
              <w:top w:val="nil"/>
              <w:left w:val="nil"/>
              <w:bottom w:val="nil"/>
              <w:right w:val="nil"/>
            </w:tcBorders>
            <w:shd w:val="clear" w:color="auto" w:fill="E4ECF7"/>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298"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403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90"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343"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1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388"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506"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1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1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164"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343"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43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343"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522"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388"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20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298"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119" w:type="dxa"/>
            <w:tcBorders>
              <w:top w:val="nil"/>
              <w:left w:val="nil"/>
              <w:bottom w:val="nil"/>
              <w:right w:val="nil"/>
            </w:tcBorders>
            <w:shd w:val="clear" w:color="auto" w:fill="E4ECF7"/>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总计</w:t>
            </w:r>
          </w:p>
        </w:tc>
        <w:tc>
          <w:tcPr>
            <w:tcW w:w="790"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506"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20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839940.00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29400000.00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w:t>
            </w: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隆尧县农业农村局</w:t>
            </w:r>
          </w:p>
        </w:tc>
        <w:tc>
          <w:tcPr>
            <w:tcW w:w="790"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506"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20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839940.00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29400000.00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326002</w:t>
            </w: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隆尧县农业农村局</w:t>
            </w:r>
          </w:p>
        </w:tc>
        <w:tc>
          <w:tcPr>
            <w:tcW w:w="790"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506"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20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343"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30263940.00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839940.00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29400000.00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2）维修费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日常公用</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[C050301]车辆维修和保养服务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年</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3）保险费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日常公用</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[C15040201]机动车保险服务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年</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4）其他交通费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日常公用</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[A160101]汽油</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年</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（1）办公费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日常公用</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[A0999]其他办公消耗用品及类似物品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农机安全监理机构经费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326-0401-JXN-51UG</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2130122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[A0999]其他办公消耗用品及类似物品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70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农机购置补贴工作经费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326-0401-JXN-DNFO</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2130122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[A020204]多功能一体机</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农业园区及科技示范建设</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326-0402-JXN-A3UC</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2130109</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[A080299]其他印刷品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54500.00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54500.00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54500.00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54500.00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畜牧动物检疫经费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326-0405-JXN-GH3I</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2130108</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[A05010499]其他普通期刊</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33000.00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33000.00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33000.00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33000.00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重大病虫草害防治经费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326-0405-JXN-HFAO</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2130108</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[A0999]其他办公消耗用品及类似物品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次</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90500.00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90500.00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90500.00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动物疾病防控应急资金</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326-0405-YXN-UP5H</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2130108</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[A05010401]日刊</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农产品质量安全监测经费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326-0406-JXN-TLMB</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2130109</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[C08140199]其他印刷服务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良种技术推广</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326-0408-JXN-347D</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2130106</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[A090199]其他纸制品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冀财农[2019]151号/提前下达2020年中央农业生产发展资金（农技基层技术推广补助）</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326-0408-JXN-UL10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2130106</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[C1806]专业技能培训服务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预算稳定调节资金/省级粮食生产、农产品生产保护区项目（冀财农[2018]48号）</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326-0408-YXN-ZCV4</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2130135</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[C010302]测绘科学技术研究服务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农村集体经济产权改革</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326-0503-YXN-7A5B</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2130112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[A090101]复印纸</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18000.00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农村人居环境整治经费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326-0601-YXN-0PH5</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2130199</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[A02010104]台式计算机</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450.00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23440.00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23440.00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23440.00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23440.00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办案补助/其他缴入国库的农业</w:t>
            </w:r>
            <w:r>
              <w:rPr>
                <w:rFonts w:hint="eastAsia" w:ascii="宋体" w:hAnsi="宋体" w:cs="宋体"/>
                <w:color w:val="000000"/>
                <w:kern w:val="0"/>
                <w:sz w:val="18"/>
                <w:szCs w:val="18"/>
                <w:lang w:eastAsia="zh-CN"/>
              </w:rPr>
              <w:t>行政事业性</w:t>
            </w:r>
            <w:r>
              <w:rPr>
                <w:rFonts w:hint="eastAsia" w:ascii="宋体" w:hAnsi="宋体" w:cs="宋体"/>
                <w:color w:val="000000"/>
                <w:kern w:val="0"/>
                <w:sz w:val="18"/>
                <w:szCs w:val="18"/>
              </w:rPr>
              <w:t>收费（农机监理费）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326-0701-JXN-7E30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[A0206180203]空调机</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台</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办案补助/其他一般罚没收入（农业罚没）</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326-0701-JXN-RYBX</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[A05010499]其他普通期刊</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冀财农[2019]168号/提前下达2020年省级农业生产发展资金（农村集体产权制度改革整省推进试点）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326-0702-YXN-NZBK</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2130122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[C08140199]其他印刷服务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冀财农[2019]146号/提前下达2020年中央农田建设补助资金</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326-0801-JXN-4161</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2130153</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[B99]其他建筑工程</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工程</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冀财农[2019]163号/提前下达2020年省级农田建设补助资金（地方政府债券）</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326-0801-JXN-HR6X</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2130153</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[B99]其他建筑工程</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工程</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8500000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冀财农[2019]168号/提前下达2020年省级农业生产发展资金（农田水利工程设施维修）</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326-0801-JXN-VVNI</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2130122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[B99]其他建筑工程</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工程</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产业化工作经费</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326-1001-YXN-M1AX</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2130112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[A0999]其他办公消耗用品及类似物品</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批</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农村土地流转纠纷调解仲裁</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326-1301-YXN-DK7F</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2130112</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[A0202050101]数字照相机</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货物</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册</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r>
        <w:tblPrEx>
          <w:tblCellMar>
            <w:top w:w="0" w:type="dxa"/>
            <w:left w:w="0" w:type="dxa"/>
            <w:bottom w:w="0" w:type="dxa"/>
            <w:right w:w="0" w:type="dxa"/>
          </w:tblCellMar>
        </w:tblPrEx>
        <w:trPr>
          <w:trHeight w:val="300" w:hRule="atLeast"/>
        </w:trPr>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298"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403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1）公务移动通讯费用补贴</w:t>
            </w: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2130101</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日常公用</w:t>
            </w:r>
          </w:p>
        </w:tc>
        <w:tc>
          <w:tcPr>
            <w:tcW w:w="150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[C030101]基础电信服务</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w:t>
            </w: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19" w:type="dxa"/>
            <w:tcBorders>
              <w:top w:val="nil"/>
              <w:left w:val="nil"/>
              <w:bottom w:val="nil"/>
              <w:right w:val="nil"/>
            </w:tcBorders>
            <w:shd w:val="clear" w:color="auto" w:fill="auto"/>
            <w:noWrap/>
            <w:tcMar>
              <w:top w:w="15" w:type="dxa"/>
              <w:left w:w="15" w:type="dxa"/>
              <w:right w:w="15" w:type="dxa"/>
            </w:tcMar>
            <w:vAlign w:val="center"/>
          </w:tcPr>
          <w:p>
            <w:pPr>
              <w:jc w:val="left"/>
              <w:rPr>
                <w:rFonts w:ascii="宋体" w:hAnsi="宋体" w:cs="宋体"/>
                <w:color w:val="000000"/>
                <w:sz w:val="18"/>
                <w:szCs w:val="18"/>
              </w:rPr>
            </w:pPr>
          </w:p>
        </w:tc>
        <w:tc>
          <w:tcPr>
            <w:tcW w:w="16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年</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43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15000.00</w:t>
            </w:r>
          </w:p>
        </w:tc>
        <w:tc>
          <w:tcPr>
            <w:tcW w:w="343"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522"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388"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09" w:type="dxa"/>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298"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w:t>
            </w:r>
          </w:p>
        </w:tc>
        <w:tc>
          <w:tcPr>
            <w:tcW w:w="119"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否</w:t>
            </w: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隆尧县农业农村局</w:t>
      </w:r>
      <w:r>
        <w:rPr>
          <w:rFonts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rPr>
        <w:t>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889.19</w:t>
      </w:r>
      <w:r>
        <w:rPr>
          <w:rFonts w:hint="eastAsia" w:ascii="Times New Roman" w:hAnsi="Times New Roman" w:eastAsia="仿宋" w:cs="仿宋"/>
          <w:color w:val="000000"/>
          <w:sz w:val="32"/>
          <w:szCs w:val="32"/>
        </w:rPr>
        <w:t>万元（详见下表），本年度各单位（处室）拟购置固定资产总额为</w:t>
      </w:r>
      <w:r>
        <w:rPr>
          <w:rFonts w:hint="eastAsia" w:ascii="Times New Roman" w:hAnsi="Times New Roman" w:eastAsia="仿宋" w:cs="Times New Roman"/>
          <w:color w:val="000000"/>
          <w:sz w:val="32"/>
          <w:szCs w:val="32"/>
        </w:rPr>
        <w:t>2.05</w:t>
      </w:r>
      <w:r>
        <w:rPr>
          <w:rFonts w:hint="eastAsia" w:ascii="Times New Roman" w:hAnsi="Times New Roman" w:eastAsia="仿宋" w:cs="仿宋"/>
          <w:color w:val="000000"/>
          <w:sz w:val="32"/>
          <w:szCs w:val="32"/>
        </w:rPr>
        <w:t>万元，主要为电脑、空调、打印机等办公设备，已列入政府采购预算表，详见政府采购预算表。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隆尧县农业农村局固定资产占用情况表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编制部门：隆尧县农业农村局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w:t>
            </w:r>
            <w:r>
              <w:rPr>
                <w:rFonts w:hint="eastAsia" w:ascii="Times New Roman" w:hAnsi="Times New Roman" w:eastAsia="仿宋" w:cs="Times New Roman"/>
                <w:kern w:val="0"/>
                <w:sz w:val="22"/>
                <w:szCs w:val="22"/>
              </w:rPr>
              <w:t>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889.19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5985.43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224.19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3919.93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152.3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72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bookmarkEnd w:id="4"/>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C44856"/>
    <w:multiLevelType w:val="singleLevel"/>
    <w:tmpl w:val="CDC4485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mQ1ZjhlYzRhMDcyNGZiZWI0OWI1YTk1MDU3OTYifQ=="/>
  </w:docVars>
  <w:rsids>
    <w:rsidRoot w:val="00C67CC4"/>
    <w:rsid w:val="0000235E"/>
    <w:rsid w:val="0005732F"/>
    <w:rsid w:val="00081076"/>
    <w:rsid w:val="000D63D4"/>
    <w:rsid w:val="0010725F"/>
    <w:rsid w:val="0011751E"/>
    <w:rsid w:val="00120219"/>
    <w:rsid w:val="00163F6B"/>
    <w:rsid w:val="002270AA"/>
    <w:rsid w:val="00260C7B"/>
    <w:rsid w:val="002A7A88"/>
    <w:rsid w:val="003F4292"/>
    <w:rsid w:val="0044640C"/>
    <w:rsid w:val="0046545D"/>
    <w:rsid w:val="004A72A6"/>
    <w:rsid w:val="004D5BCD"/>
    <w:rsid w:val="00606E3E"/>
    <w:rsid w:val="006427C6"/>
    <w:rsid w:val="00743136"/>
    <w:rsid w:val="007941F0"/>
    <w:rsid w:val="007C7158"/>
    <w:rsid w:val="007E07C0"/>
    <w:rsid w:val="00851097"/>
    <w:rsid w:val="00946A0B"/>
    <w:rsid w:val="00947DE4"/>
    <w:rsid w:val="009E545B"/>
    <w:rsid w:val="00A5050A"/>
    <w:rsid w:val="00AE2981"/>
    <w:rsid w:val="00B72B78"/>
    <w:rsid w:val="00B80636"/>
    <w:rsid w:val="00C40AA4"/>
    <w:rsid w:val="00C45C25"/>
    <w:rsid w:val="00C67CC4"/>
    <w:rsid w:val="00CD1B26"/>
    <w:rsid w:val="00D62021"/>
    <w:rsid w:val="00E01E6B"/>
    <w:rsid w:val="00E3015D"/>
    <w:rsid w:val="00EA44DD"/>
    <w:rsid w:val="00EC3709"/>
    <w:rsid w:val="00F730BE"/>
    <w:rsid w:val="00F73D27"/>
    <w:rsid w:val="02D17B65"/>
    <w:rsid w:val="05033F9B"/>
    <w:rsid w:val="09AB281B"/>
    <w:rsid w:val="0B792976"/>
    <w:rsid w:val="13CC666F"/>
    <w:rsid w:val="144C104A"/>
    <w:rsid w:val="178E46AE"/>
    <w:rsid w:val="180462B3"/>
    <w:rsid w:val="18FB062B"/>
    <w:rsid w:val="19C31D17"/>
    <w:rsid w:val="29A73FEE"/>
    <w:rsid w:val="2DA60F90"/>
    <w:rsid w:val="2F4B3026"/>
    <w:rsid w:val="3363402E"/>
    <w:rsid w:val="35C258A1"/>
    <w:rsid w:val="391B147D"/>
    <w:rsid w:val="3D514009"/>
    <w:rsid w:val="3FA21B2F"/>
    <w:rsid w:val="437237ED"/>
    <w:rsid w:val="447938D3"/>
    <w:rsid w:val="46D0334D"/>
    <w:rsid w:val="4B677D6C"/>
    <w:rsid w:val="4C901807"/>
    <w:rsid w:val="509375E9"/>
    <w:rsid w:val="55BC781A"/>
    <w:rsid w:val="57D260DC"/>
    <w:rsid w:val="58721E0B"/>
    <w:rsid w:val="5C2146E3"/>
    <w:rsid w:val="601249F7"/>
    <w:rsid w:val="624C0CE9"/>
    <w:rsid w:val="64D075F9"/>
    <w:rsid w:val="65034FDF"/>
    <w:rsid w:val="6B4E6CA3"/>
    <w:rsid w:val="72AA1077"/>
    <w:rsid w:val="7B5A5AA4"/>
    <w:rsid w:val="7CE35CC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3"/>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page number"/>
    <w:basedOn w:val="8"/>
    <w:semiHidden/>
    <w:qFormat/>
    <w:uiPriority w:val="99"/>
  </w:style>
  <w:style w:type="character" w:styleId="10">
    <w:name w:val="footnote reference"/>
    <w:basedOn w:val="8"/>
    <w:semiHidden/>
    <w:qFormat/>
    <w:uiPriority w:val="99"/>
    <w:rPr>
      <w:vertAlign w:val="superscript"/>
    </w:rPr>
  </w:style>
  <w:style w:type="character" w:customStyle="1" w:styleId="11">
    <w:name w:val="页脚 Char"/>
    <w:basedOn w:val="8"/>
    <w:link w:val="2"/>
    <w:semiHidden/>
    <w:qFormat/>
    <w:locked/>
    <w:uiPriority w:val="99"/>
    <w:rPr>
      <w:rFonts w:ascii="Times New Roman" w:hAnsi="Times New Roman" w:eastAsia="宋体" w:cs="Times New Roman"/>
      <w:sz w:val="18"/>
      <w:szCs w:val="18"/>
    </w:rPr>
  </w:style>
  <w:style w:type="character" w:customStyle="1" w:styleId="12">
    <w:name w:val="页眉 Char"/>
    <w:basedOn w:val="8"/>
    <w:link w:val="3"/>
    <w:semiHidden/>
    <w:qFormat/>
    <w:locked/>
    <w:uiPriority w:val="99"/>
    <w:rPr>
      <w:rFonts w:ascii="Times New Roman" w:hAnsi="Times New Roman" w:eastAsia="宋体" w:cs="Times New Roman"/>
      <w:sz w:val="18"/>
      <w:szCs w:val="18"/>
    </w:rPr>
  </w:style>
  <w:style w:type="character" w:customStyle="1" w:styleId="13">
    <w:name w:val="脚注文本 Char"/>
    <w:basedOn w:val="8"/>
    <w:link w:val="5"/>
    <w:semiHidden/>
    <w:qFormat/>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paragraph" w:customStyle="1" w:styleId="15">
    <w:name w:val="[Normal]"/>
    <w:qFormat/>
    <w:uiPriority w:val="6"/>
    <w:rPr>
      <w:rFonts w:ascii="宋体" w:hAnsi="宋体" w:eastAsia="宋体" w:cstheme="minorBidi"/>
      <w:sz w:val="24"/>
      <w:lang w:val="en-US" w:eastAsia="en-US" w:bidi="ar-SA"/>
    </w:rPr>
  </w:style>
  <w:style w:type="paragraph" w:customStyle="1" w:styleId="16">
    <w:name w:val="普通(网站)11"/>
    <w:basedOn w:val="1"/>
    <w:qFormat/>
    <w:uiPriority w:val="2"/>
    <w:pPr>
      <w:jc w:val="left"/>
    </w:pPr>
    <w:rPr>
      <w:rFonts w:ascii="宋体" w:hAnsi="宋体"/>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20</Pages>
  <Words>8266</Words>
  <Characters>11528</Characters>
  <Lines>38</Lines>
  <Paragraphs>25</Paragraphs>
  <TotalTime>2</TotalTime>
  <ScaleCrop>false</ScaleCrop>
  <LinksUpToDate>false</LinksUpToDate>
  <CharactersWithSpaces>11569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2023-06-08T03:26:53Z</dcterms:modified>
  <cp:revision>11</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F5BE92D06C8B44EA888FBC241A831016_13</vt:lpwstr>
  </property>
</Properties>
</file>