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ascii="Times New Roman" w:hAnsi="Times New Roman" w:eastAsia="方正小标宋_GBK"/>
          <w:sz w:val="44"/>
          <w:szCs w:val="44"/>
        </w:rPr>
      </w:pPr>
      <w:r>
        <w:rPr>
          <w:rFonts w:hint="eastAsia" w:ascii="Times New Roman" w:hAnsi="Times New Roman" w:eastAsia="方正小标宋_GBK"/>
          <w:sz w:val="44"/>
          <w:szCs w:val="44"/>
          <w:lang w:eastAsia="zh-CN"/>
        </w:rPr>
        <w:t>隆尧县委网络安全和信息化委员会办公室</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keepNext w:val="0"/>
        <w:keepLines w:val="0"/>
        <w:pageBreakBefore w:val="0"/>
        <w:widowControl w:val="0"/>
        <w:kinsoku/>
        <w:wordWrap/>
        <w:overflowPunct/>
        <w:topLinePunct w:val="0"/>
        <w:autoSpaceDE/>
        <w:autoSpaceDN/>
        <w:bidi w:val="0"/>
        <w:adjustRightInd/>
        <w:snapToGrid/>
        <w:spacing w:before="313" w:beforeLines="10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w:t>
      </w:r>
      <w:r>
        <w:rPr>
          <w:rFonts w:hint="eastAsia" w:ascii="仿宋_GB2312" w:hAnsi="仿宋_GB2312" w:eastAsia="仿宋_GB2312" w:cs="仿宋_GB2312"/>
          <w:sz w:val="32"/>
          <w:szCs w:val="32"/>
          <w:lang w:eastAsia="zh-CN"/>
        </w:rPr>
        <w:t>中共隆尧县委网络安全和信息化委员会办公室</w:t>
      </w:r>
      <w:r>
        <w:rPr>
          <w:rFonts w:hint="eastAsia" w:ascii="仿宋_GB2312" w:hAnsi="仿宋_GB2312" w:eastAsia="仿宋_GB2312" w:cs="仿宋_GB2312"/>
          <w:sz w:val="32"/>
          <w:szCs w:val="32"/>
        </w:rPr>
        <w:t>2021年部门预算公开如下：</w:t>
      </w:r>
    </w:p>
    <w:p>
      <w:pPr>
        <w:ind w:firstLine="640"/>
        <w:rPr>
          <w:rFonts w:hint="eastAsia" w:ascii="黑体" w:hAnsi="黑体" w:eastAsia="黑体" w:cs="黑体"/>
          <w:sz w:val="32"/>
          <w:szCs w:val="32"/>
        </w:rPr>
      </w:pPr>
      <w:r>
        <w:rPr>
          <w:rFonts w:hint="eastAsia" w:ascii="黑体" w:hAnsi="黑体" w:eastAsia="黑体" w:cs="黑体"/>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hint="eastAsia" w:ascii="仿宋_GB2312" w:hAnsi="仿宋_GB2312" w:eastAsia="仿宋_GB2312" w:cs="仿宋_GB2312"/>
          <w:b/>
          <w:sz w:val="32"/>
          <w:szCs w:val="32"/>
        </w:rPr>
        <w:t>部门职责：</w:t>
      </w:r>
      <w:r>
        <w:rPr>
          <w:rFonts w:ascii="仿宋" w:hAnsi="仿宋" w:eastAsia="仿宋" w:cs="Times New Roman"/>
          <w:sz w:val="32"/>
          <w:szCs w:val="32"/>
        </w:rPr>
        <w:t>中共隆尧县委网络安全和信息化委员会办公室(简称县委网信办),为中共隆尧县委网络安全和信息化委员会的办事机构,作为县委工作机关,机构规格正科级,加挂隆尧县互联网信息办公室牌子</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主要职责为</w:t>
      </w:r>
      <w:r>
        <w:rPr>
          <w:rFonts w:hint="eastAsia" w:ascii="仿宋" w:hAnsi="仿宋" w:eastAsia="仿宋"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一)负责处理县委网络安全和信息化委员会日常事务工作。协调督促有关方面落实委员会的决定事项、工作部署和要求,组织开展涉及我县政治、经济、文化、社会、生态及军事等各个领域的网络安全和信息化重大问题研究,向委员会提出工作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二)组织研究起草我县网络安全和信息化发展战略、宏观规划和相关政策。统筹推进我县网络安全和信息化法治、标准建设,根据职责权限负责相关法规、规章等的实施和监督检查,根据职责权限推动落实网络安全和信息化领域国家标准并监督实施;依法完善与信息化相关的统计调查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(四)督促落实我县涉及政治、经济、文化、社会、生态及军事等各个领域的网络安全和信息化重大事项;负责协调处理网络安全和信息化重大突发事件与有关应急工作。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五)负责全县互联网信息内容管理。统筹协调组织互联网宣传管理和舆论引导工作,组织开展网上评论,指导推动网络评论队伍建设,维护互联网意识形态安全;研究拟订互联网新闻信息传播相关政策;负责互联网信息内容监督管理执法,组织开展网络舆论生态治理,依法指导和管理本县落地网站及县内新媒体新应用,会同有关部门处置和封堵网上有害信息,依照相关法律和规定查处违法违规行为和网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(六)负责指导协调全县网络舆情工作。收集、分析、研判、报送和处置网络舆情信息,依法规范舆情服务市场。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(七)推动全县网络阵地建设和重点新闻网站规划建设。指导协调网络游戏、网络视听、网络出版等相关业务,推动移动互联网发展,会同有关部门推动传统媒体与新兴媒体融合发展;负</w:t>
      </w:r>
      <w:r>
        <w:rPr>
          <w:rFonts w:hint="eastAsia" w:ascii="仿宋" w:hAnsi="仿宋" w:eastAsia="仿宋" w:cs="Times New Roman"/>
          <w:sz w:val="32"/>
          <w:szCs w:val="32"/>
          <w:lang w:eastAsia="zh-CN"/>
        </w:rPr>
        <w:t>责</w:t>
      </w:r>
      <w:bookmarkStart w:id="6" w:name="_GoBack"/>
      <w:bookmarkEnd w:id="6"/>
      <w:r>
        <w:rPr>
          <w:rFonts w:ascii="仿宋" w:hAnsi="仿宋" w:eastAsia="仿宋" w:cs="Times New Roman"/>
          <w:sz w:val="32"/>
          <w:szCs w:val="32"/>
        </w:rPr>
        <w:t>全县网站转载新闻稿源的管理。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(八)推动全县网络社会工作和网络文化、网络文明建设;发展、联系、服务网络社会组织,指导互联网行业自律,推进网站党建工作。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九)落实国家互联网信息服务资本准入和信息网络行业安全审查的有关政策。负责全县网络新闻业务和论坛、博客、搜索引擎等具有新闻舆论及社会动员功能业务的日常监管,并配合省、市做好相关审批工作;指导全县有关部门督促电信运营企业、接入服务企业、域名注册管理和服务机构做好域名注册、互联网地址(IP地址)分配、网站登记备案、接入以及网络行为主体身份信息核对等基础管理工作;指导协调有关部门推进新技术新应用安全评估,统筹协调全县移动互联网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协调推进全县信息网络行业自主创新和发展。协调开展全县互联网经济和发展态势研究,推动建立健全我县信息网络行业投融资支持服务体系、技术创新服务体系,统筹协调全县重要信息资源的开发利用与共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(十一)规划指导县内机构开展金融信息服务业务。组织开展全县金融信息服务市场监管;协调金融监管部门建立全县网络金融信息发布、传播监管制度及工作机制。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(十二)组织拟订网络安全和信息化干部人才队伍发展规划,组织开展网信系统干部教育培训和人才队伍建设,规划指导全县互联网新闻信息服务从业人员教育培训和考评工作,组织开展网络媒介素养教育。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(十三)组织开展相关领域的交流与合作。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(十四)指导、检查、推动各乡镇和有关部门网络安全和信息化工作。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Times New Roman"/>
          <w:sz w:val="32"/>
          <w:szCs w:val="32"/>
        </w:rPr>
      </w:pPr>
      <w:r>
        <w:rPr>
          <w:rFonts w:ascii="仿宋" w:hAnsi="仿宋" w:eastAsia="仿宋" w:cs="Times New Roman"/>
          <w:sz w:val="32"/>
          <w:szCs w:val="32"/>
        </w:rPr>
        <w:t>(十五)完成省、市委网络安全和信息化委员会办公室(省、市互联网信息办公室)和县委、县政府及县委网络安全和信息化 委员会、县委宣传部交办的其他任务。</w:t>
      </w:r>
    </w:p>
    <w:p>
      <w:pPr>
        <w:autoSpaceDE w:val="0"/>
        <w:autoSpaceDN w:val="0"/>
        <w:adjustRightInd w:val="0"/>
        <w:ind w:firstLine="640"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10"/>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134"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276"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2902" w:type="dxa"/>
            <w:vMerge w:val="restart"/>
            <w:noWrap w:val="0"/>
            <w:vAlign w:val="center"/>
          </w:tcPr>
          <w:p>
            <w:pPr>
              <w:spacing w:line="300" w:lineRule="exact"/>
              <w:jc w:val="cente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1134"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1276"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c>
          <w:tcPr>
            <w:tcW w:w="2902" w:type="dxa"/>
            <w:vMerge w:val="continue"/>
            <w:noWrap w:val="0"/>
            <w:vAlign w:val="center"/>
          </w:tcPr>
          <w:p>
            <w:pPr>
              <w:spacing w:line="300" w:lineRule="exact"/>
              <w:jc w:val="left"/>
              <w:outlineLvl w:val="0"/>
              <w:rPr>
                <w:rFonts w:hint="eastAsia"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中共隆尧县委网络安全和信息化委员会办公室</w:t>
            </w:r>
          </w:p>
        </w:tc>
        <w:tc>
          <w:tcPr>
            <w:tcW w:w="1134" w:type="dxa"/>
            <w:noWrap w:val="0"/>
            <w:vAlign w:val="center"/>
          </w:tcPr>
          <w:p>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行政</w:t>
            </w:r>
          </w:p>
        </w:tc>
        <w:tc>
          <w:tcPr>
            <w:tcW w:w="1276" w:type="dxa"/>
            <w:noWrap w:val="0"/>
            <w:vAlign w:val="center"/>
          </w:tcPr>
          <w:p>
            <w:pPr>
              <w:spacing w:line="3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科级</w:t>
            </w:r>
          </w:p>
        </w:tc>
        <w:tc>
          <w:tcPr>
            <w:tcW w:w="2902" w:type="dxa"/>
            <w:noWrap w:val="0"/>
            <w:vAlign w:val="center"/>
          </w:tcPr>
          <w:p>
            <w:pPr>
              <w:spacing w:line="3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财政拨款</w:t>
            </w:r>
          </w:p>
        </w:tc>
      </w:tr>
    </w:tbl>
    <w:p>
      <w:pPr>
        <w:ind w:firstLine="560" w:firstLineChars="200"/>
        <w:rPr>
          <w:rFonts w:hint="eastAsia" w:ascii="仿宋_GB2312" w:hAnsi="仿宋_GB2312" w:eastAsia="仿宋_GB2312" w:cs="仿宋_GB2312"/>
          <w:sz w:val="28"/>
          <w:szCs w:val="28"/>
        </w:rPr>
      </w:pPr>
    </w:p>
    <w:p>
      <w:pPr>
        <w:ind w:firstLine="640"/>
        <w:rPr>
          <w:rFonts w:hint="eastAsia" w:ascii="黑体" w:hAnsi="黑体" w:eastAsia="黑体" w:cs="黑体"/>
          <w:sz w:val="32"/>
          <w:szCs w:val="32"/>
        </w:rPr>
      </w:pPr>
      <w:r>
        <w:rPr>
          <w:rFonts w:hint="eastAsia" w:ascii="黑体" w:hAnsi="黑体" w:eastAsia="黑体" w:cs="黑体"/>
          <w:sz w:val="32"/>
          <w:szCs w:val="32"/>
        </w:rPr>
        <w:t>二、部门预算安排的总体情况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部门预算的编制实行综合预算管理，即全部收入和支出都反映的预算中。</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的收支包含在部门预算中。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反映本部门当年全部收入。2021年预算收入55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元，其中：一般公共预算收入55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元，基金预算收入0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元，财政专户核拨收入0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元，其他来源收入（单位资金）0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元，上年结转</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年度部门预算中支出预算的总体情况。2021年支出预算55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元，其中基本支出30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元，包括人员经费26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3</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元和日常公用经费4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元；项目支出</w:t>
      </w:r>
      <w:r>
        <w:rPr>
          <w:rFonts w:hint="eastAsia" w:ascii="仿宋_GB2312" w:hAnsi="仿宋_GB2312" w:eastAsia="仿宋_GB2312" w:cs="仿宋_GB2312"/>
          <w:sz w:val="32"/>
          <w:szCs w:val="32"/>
          <w:lang w:val="en-US" w:eastAsia="zh-CN"/>
        </w:rPr>
        <w:t>25.00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w:t>
      </w:r>
      <w:r>
        <w:rPr>
          <w:rFonts w:hint="eastAsia" w:ascii="仿宋_GB2312" w:hAnsi="仿宋_GB2312" w:eastAsia="仿宋_GB2312" w:cs="仿宋_GB2312"/>
          <w:sz w:val="32"/>
          <w:szCs w:val="32"/>
          <w:lang w:eastAsia="zh-CN"/>
        </w:rPr>
        <w:t>要为专项业务项目支出</w:t>
      </w:r>
      <w:r>
        <w:rPr>
          <w:rFonts w:hint="eastAsia" w:ascii="仿宋_GB2312" w:hAnsi="仿宋_GB2312" w:eastAsia="仿宋_GB2312" w:cs="仿宋_GB2312"/>
          <w:sz w:val="32"/>
          <w:szCs w:val="32"/>
        </w:rPr>
        <w:t>。</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2021年预算收支安排55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元，较2020年预算增加</w:t>
      </w:r>
      <w:r>
        <w:rPr>
          <w:rFonts w:hint="eastAsia" w:ascii="仿宋_GB2312" w:hAnsi="仿宋_GB2312" w:eastAsia="仿宋_GB2312" w:cs="仿宋_GB2312"/>
          <w:sz w:val="32"/>
          <w:szCs w:val="32"/>
          <w:lang w:val="en-US" w:eastAsia="zh-CN"/>
        </w:rPr>
        <w:t>7.66</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元，其中：基本支出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2.34</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人员经费支出；项目支出增加</w:t>
      </w:r>
      <w:r>
        <w:rPr>
          <w:rFonts w:hint="eastAsia" w:ascii="仿宋_GB2312" w:hAnsi="仿宋_GB2312" w:eastAsia="仿宋_GB2312" w:cs="仿宋_GB2312"/>
          <w:sz w:val="32"/>
          <w:szCs w:val="32"/>
          <w:lang w:val="en-US" w:eastAsia="zh-CN"/>
        </w:rPr>
        <w:t>10.00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元，主要为</w:t>
      </w:r>
      <w:r>
        <w:rPr>
          <w:rFonts w:hint="eastAsia" w:ascii="仿宋_GB2312" w:hAnsi="仿宋_GB2312" w:eastAsia="仿宋_GB2312" w:cs="仿宋_GB2312"/>
          <w:sz w:val="32"/>
          <w:szCs w:val="32"/>
          <w:lang w:eastAsia="zh-CN"/>
        </w:rPr>
        <w:t>增加项目建设</w:t>
      </w:r>
      <w:r>
        <w:rPr>
          <w:rFonts w:hint="eastAsia" w:ascii="仿宋_GB2312" w:hAnsi="仿宋_GB2312" w:eastAsia="仿宋_GB2312" w:cs="仿宋_GB2312"/>
          <w:sz w:val="32"/>
          <w:szCs w:val="32"/>
        </w:rPr>
        <w:t>。</w:t>
      </w:r>
    </w:p>
    <w:p>
      <w:pPr>
        <w:ind w:firstLine="640"/>
        <w:rPr>
          <w:rFonts w:hint="eastAsia" w:ascii="黑体" w:hAnsi="黑体" w:eastAsia="黑体" w:cs="黑体"/>
          <w:sz w:val="32"/>
          <w:szCs w:val="32"/>
        </w:rPr>
      </w:pPr>
      <w:r>
        <w:rPr>
          <w:rFonts w:hint="eastAsia" w:ascii="黑体" w:hAnsi="黑体" w:eastAsia="黑体" w:cs="黑体"/>
          <w:sz w:val="32"/>
          <w:szCs w:val="32"/>
        </w:rPr>
        <w:t>三、机关运行经费安排情况</w:t>
      </w:r>
    </w:p>
    <w:p>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机关运行经费共计安排4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42</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元，主要用于保证机关正常运转的办公及印刷费、邮电费、差旅费、</w:t>
      </w:r>
      <w:r>
        <w:rPr>
          <w:rFonts w:hint="eastAsia" w:ascii="仿宋_GB2312" w:hAnsi="仿宋_GB2312" w:eastAsia="仿宋_GB2312" w:cs="仿宋_GB2312"/>
          <w:sz w:val="32"/>
          <w:szCs w:val="32"/>
          <w:lang w:eastAsia="zh-CN"/>
        </w:rPr>
        <w:t>党组织活动</w:t>
      </w:r>
      <w:r>
        <w:rPr>
          <w:rFonts w:hint="eastAsia" w:ascii="仿宋_GB2312" w:hAnsi="仿宋_GB2312" w:eastAsia="仿宋_GB2312" w:cs="仿宋_GB2312"/>
          <w:sz w:val="32"/>
          <w:szCs w:val="32"/>
        </w:rPr>
        <w:t>等支出。</w:t>
      </w:r>
    </w:p>
    <w:p>
      <w:pPr>
        <w:ind w:firstLine="640"/>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部门财政拨款“三公”经费预算安排</w:t>
      </w:r>
      <w:r>
        <w:rPr>
          <w:rFonts w:hint="eastAsia" w:ascii="仿宋_GB2312" w:hAnsi="仿宋_GB2312" w:eastAsia="仿宋_GB2312" w:cs="仿宋_GB2312"/>
          <w:sz w:val="32"/>
          <w:szCs w:val="32"/>
          <w:lang w:val="en-US" w:eastAsia="zh-CN"/>
        </w:rPr>
        <w:t>0</w:t>
      </w:r>
      <w:r>
        <w:rPr>
          <w:rFonts w:hint="eastAsia" w:ascii="Times New Roman" w:hAnsi="Times New Roman" w:eastAsia="仿宋" w:cs="Times New Roman"/>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Times New Roman" w:hAnsi="Times New Roman" w:eastAsia="仿宋" w:cs="Times New Roman"/>
          <w:sz w:val="32"/>
          <w:szCs w:val="32"/>
        </w:rPr>
        <w:t>其中：因公出国（境）费0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元；公务用车购置及运维费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元（其中：公务用车购置费0</w:t>
      </w:r>
      <w:r>
        <w:rPr>
          <w:rFonts w:hint="eastAsia" w:ascii="Times New Roman" w:hAnsi="Times New Roman" w:eastAsia="仿宋" w:cs="Times New Roman"/>
          <w:sz w:val="32"/>
          <w:szCs w:val="32"/>
          <w:lang w:val="en-US" w:eastAsia="zh-CN"/>
        </w:rPr>
        <w:t>万</w:t>
      </w:r>
      <w:r>
        <w:rPr>
          <w:rFonts w:hint="eastAsia" w:ascii="Times New Roman" w:hAnsi="Times New Roman" w:eastAsia="仿宋" w:cs="Times New Roman"/>
          <w:sz w:val="32"/>
          <w:szCs w:val="32"/>
        </w:rPr>
        <w:t>元，公务用车运行维护费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元)；公务接待费</w:t>
      </w:r>
      <w:r>
        <w:rPr>
          <w:rFonts w:hint="eastAsia" w:ascii="Times New Roman" w:hAnsi="Times New Roman" w:eastAsia="仿宋" w:cs="Times New Roman"/>
          <w:sz w:val="32"/>
          <w:szCs w:val="32"/>
          <w:lang w:val="en-US" w:eastAsia="zh-CN"/>
        </w:rPr>
        <w:t>0万</w:t>
      </w:r>
      <w:r>
        <w:rPr>
          <w:rFonts w:hint="eastAsia" w:ascii="Times New Roman" w:hAnsi="Times New Roman" w:eastAsia="仿宋" w:cs="Times New Roman"/>
          <w:sz w:val="32"/>
          <w:szCs w:val="32"/>
        </w:rPr>
        <w:t>元。</w:t>
      </w:r>
      <w:r>
        <w:rPr>
          <w:rFonts w:hint="eastAsia" w:ascii="仿宋_GB2312" w:hAnsi="仿宋_GB2312" w:eastAsia="仿宋_GB2312" w:cs="仿宋_GB2312"/>
          <w:sz w:val="32"/>
          <w:szCs w:val="32"/>
          <w:lang w:eastAsia="zh-CN"/>
        </w:rPr>
        <w:t>较上年相比三公经费无变化。</w:t>
      </w:r>
    </w:p>
    <w:p>
      <w:pPr>
        <w:ind w:firstLine="640"/>
        <w:rPr>
          <w:rFonts w:hint="eastAsia" w:ascii="黑体" w:hAnsi="黑体" w:eastAsia="黑体" w:cs="黑体"/>
          <w:sz w:val="32"/>
          <w:szCs w:val="32"/>
        </w:rPr>
      </w:pPr>
      <w:r>
        <w:rPr>
          <w:rFonts w:hint="eastAsia" w:ascii="黑体" w:hAnsi="黑体" w:eastAsia="黑体" w:cs="黑体"/>
          <w:sz w:val="32"/>
          <w:szCs w:val="32"/>
        </w:rPr>
        <w:t>五、预算绩效信息</w:t>
      </w:r>
    </w:p>
    <w:p>
      <w:pPr>
        <w:ind w:firstLine="640" w:firstLineChars="200"/>
        <w:jc w:val="left"/>
        <w:rPr>
          <w:rFonts w:hint="eastAsia" w:ascii="仿宋_GB2312" w:hAnsi="仿宋_GB2312" w:eastAsia="仿宋_GB2312" w:cs="仿宋_GB2312"/>
          <w:b/>
          <w:sz w:val="32"/>
          <w:szCs w:val="32"/>
        </w:rPr>
      </w:pPr>
      <w:bookmarkStart w:id="0" w:name="_Toc471398463"/>
      <w:r>
        <w:rPr>
          <w:rFonts w:hint="eastAsia" w:ascii="仿宋_GB2312" w:hAnsi="仿宋_GB2312" w:eastAsia="仿宋_GB2312" w:cs="仿宋_GB2312"/>
          <w:b/>
          <w:sz w:val="32"/>
          <w:szCs w:val="32"/>
        </w:rPr>
        <w:t>第一部分部门整体绩效目标</w:t>
      </w:r>
    </w:p>
    <w:p>
      <w:pPr>
        <w:numPr>
          <w:ilvl w:val="0"/>
          <w:numId w:val="1"/>
        </w:numPr>
        <w:ind w:left="-10" w:leftChars="0" w:firstLine="640" w:firstLineChars="0"/>
        <w:rPr>
          <w:rFonts w:hint="eastAsia" w:ascii="楷体_GB2312" w:hAnsi="楷体_GB2312" w:eastAsia="楷体_GB2312" w:cs="楷体_GB2312"/>
          <w:b w:val="0"/>
          <w:sz w:val="32"/>
          <w:szCs w:val="32"/>
        </w:rPr>
      </w:pPr>
      <w:r>
        <w:rPr>
          <w:rFonts w:hint="eastAsia" w:ascii="楷体_GB2312" w:hAnsi="楷体_GB2312" w:eastAsia="楷体_GB2312" w:cs="楷体_GB2312"/>
          <w:sz w:val="32"/>
          <w:szCs w:val="32"/>
        </w:rPr>
        <w:t>总体绩效目标</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2021</w:t>
      </w:r>
      <w:r>
        <w:rPr>
          <w:rFonts w:hint="eastAsia" w:ascii="仿宋_GB2312" w:hAnsi="仿宋_GB2312" w:eastAsia="仿宋_GB2312" w:cs="仿宋_GB2312"/>
          <w:b w:val="0"/>
          <w:sz w:val="32"/>
          <w:szCs w:val="32"/>
        </w:rPr>
        <w:t>年县委网信办将始终坚持以习近平新时代中国特色社会主义思想为指导，深入学习贯彻十九届四中全会和省、市、县委全会精神，自觉践行“四个意识”，始终坚定“四个自信”，坚决做到“两个维护”，全面落实“树正气、有激情、敢担当、干成事”四句话要求，强化“保五争三抢第一”的争先意识，以更加奋发有为的精神状态、更加扎实有效的措施做好工作，在建设经济强县、美丽隆尧中展现新形象、实现新作为。</w:t>
      </w:r>
    </w:p>
    <w:p>
      <w:pPr>
        <w:numPr>
          <w:ilvl w:val="0"/>
          <w:numId w:val="0"/>
        </w:numPr>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二</w:t>
      </w:r>
      <w:r>
        <w:rPr>
          <w:rFonts w:hint="eastAsia" w:ascii="仿宋_GB2312" w:hAnsi="仿宋_GB2312" w:eastAsia="仿宋_GB2312" w:cs="仿宋_GB2312"/>
          <w:b w:val="0"/>
          <w:sz w:val="32"/>
          <w:szCs w:val="32"/>
        </w:rPr>
        <w:t>）</w:t>
      </w:r>
      <w:r>
        <w:rPr>
          <w:rFonts w:hint="eastAsia" w:ascii="仿宋_GB2312" w:hAnsi="仿宋_GB2312" w:eastAsia="仿宋_GB2312" w:cs="仿宋_GB2312"/>
          <w:b w:val="0"/>
          <w:sz w:val="32"/>
          <w:szCs w:val="32"/>
          <w:lang w:eastAsia="zh-CN"/>
        </w:rPr>
        <w:t>分项绩效目标</w:t>
      </w:r>
    </w:p>
    <w:p>
      <w:pPr>
        <w:numPr>
          <w:ilvl w:val="0"/>
          <w:numId w:val="0"/>
        </w:numPr>
        <w:ind w:firstLine="640" w:firstLineChars="200"/>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突出政治，提升网信工作站位。以习近平新时代中国特色社会主义思想和网络强国思想为统领，坚决做到党管网络行动不动摇、方向不跑偏。突出思想引领，充分发挥网络和新媒体优势，阐释好、宣传好党的最新理论成果，弘扬正能量，培育精气神，始终牢牢把握网络意识形态工作主动权。</w:t>
      </w:r>
    </w:p>
    <w:p>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聚焦主业，助推经济社会发展。紧紧围绕网络意识形态安全，统筹推进信息化发展，抓好四件事。一是正向网络宣传。在国庆、国家网络安全宣传周等重要宣活动中落实上级要求，立足隆尧实际和网信工作特质，积极拓展宣传渠道和方式，搞出隆尧特色，把隆尧工作宣传出去，把隆尧形象培树起来。二是守牢两条底线。把网络安全</w:t>
      </w:r>
      <w:r>
        <w:rPr>
          <w:rFonts w:hint="eastAsia" w:ascii="仿宋_GB2312" w:hAnsi="仿宋_GB2312" w:eastAsia="仿宋_GB2312" w:cs="仿宋_GB2312"/>
          <w:b w:val="0"/>
          <w:sz w:val="32"/>
          <w:szCs w:val="32"/>
          <w:lang w:eastAsia="zh-CN"/>
        </w:rPr>
        <w:t>作</w:t>
      </w:r>
      <w:r>
        <w:rPr>
          <w:rFonts w:hint="eastAsia" w:ascii="仿宋_GB2312" w:hAnsi="仿宋_GB2312" w:eastAsia="仿宋_GB2312" w:cs="仿宋_GB2312"/>
          <w:b w:val="0"/>
          <w:sz w:val="32"/>
          <w:szCs w:val="32"/>
        </w:rPr>
        <w:t>为重中之重来抓，确保全县关键信息系统安全为全县经济社会发展营造良好网络环境。三是推进网络执法。进一步加大网络执法力度，形成对违法和不良信息以及打擦边球的标题党打击的高压态势，切实维护网络空间清朗。四是抓好信息化建设。积极对接上级部门，在智慧城市建设、电子政务等方面做好前瞻性研究，确保省市要求能够有效落地，为经济发展作出贡献。</w:t>
      </w:r>
    </w:p>
    <w:p>
      <w:pPr>
        <w:numPr>
          <w:ilvl w:val="0"/>
          <w:numId w:val="0"/>
        </w:numPr>
        <w:spacing w:line="500" w:lineRule="exact"/>
        <w:ind w:firstLine="640" w:firstLineChars="200"/>
        <w:jc w:val="left"/>
        <w:rPr>
          <w:rFonts w:hint="eastAsia" w:ascii="仿宋_GB2312" w:hAnsi="仿宋_GB2312" w:eastAsia="仿宋_GB2312" w:cs="仿宋_GB2312"/>
          <w:b w:val="0"/>
          <w:sz w:val="32"/>
          <w:szCs w:val="32"/>
        </w:rPr>
      </w:pPr>
      <w:bookmarkStart w:id="1" w:name="_Toc60391234"/>
      <w:bookmarkStart w:id="2" w:name="_Toc64110072"/>
      <w:bookmarkStart w:id="3" w:name="_Toc64110029"/>
      <w:r>
        <w:rPr>
          <w:rFonts w:hint="eastAsia" w:ascii="楷体_GB2312" w:hAnsi="楷体_GB2312" w:eastAsia="楷体_GB2312" w:cs="楷体_GB2312"/>
          <w:b w:val="0"/>
          <w:kern w:val="2"/>
          <w:sz w:val="32"/>
          <w:szCs w:val="32"/>
          <w:lang w:val="en-US" w:eastAsia="zh-CN" w:bidi="ar-SA"/>
        </w:rPr>
        <w:t>（三）工作保障措施</w:t>
      </w:r>
      <w:bookmarkEnd w:id="1"/>
      <w:bookmarkEnd w:id="2"/>
      <w:bookmarkEnd w:id="3"/>
      <w:r>
        <w:rPr>
          <w:rFonts w:hint="eastAsia" w:ascii="仿宋_GB2312" w:hAnsi="仿宋_GB2312" w:eastAsia="仿宋_GB2312" w:cs="仿宋_GB2312"/>
          <w:b w:val="0"/>
          <w:sz w:val="32"/>
          <w:szCs w:val="32"/>
        </w:rPr>
        <w:fldChar w:fldCharType="begin"/>
      </w:r>
      <w:r>
        <w:rPr>
          <w:rFonts w:hint="eastAsia" w:ascii="仿宋_GB2312" w:hAnsi="仿宋_GB2312" w:eastAsia="仿宋_GB2312" w:cs="仿宋_GB2312"/>
          <w:b w:val="0"/>
          <w:sz w:val="32"/>
          <w:szCs w:val="32"/>
        </w:rPr>
        <w:instrText xml:space="preserve">tc "工作保障措施" \f A \l 000000000000001</w:instrText>
      </w:r>
      <w:r>
        <w:rPr>
          <w:rFonts w:hint="eastAsia" w:ascii="仿宋_GB2312" w:hAnsi="仿宋_GB2312" w:eastAsia="仿宋_GB2312" w:cs="仿宋_GB2312"/>
          <w:b w:val="0"/>
          <w:sz w:val="32"/>
          <w:szCs w:val="32"/>
        </w:rPr>
        <w:fldChar w:fldCharType="end"/>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完善制度建设。将事前评估、目标管理、运行监控、绩效评价及结果应用等各项改革措施，有效融入预算编制、执行、监督的全过程，建立健全网络安全和信息化领域预算绩效管理的路径和制度体系，建立统筹协调、分工协作、密切配合、合力推进的工作机制。围绕网信部门职责和事业发展规划，细化工作方案，明确责任主体、实施进度要求，以预算资金为主线，从产出数量、运行成本、管理效率、履职效能、社会效应、可持续发展能力和服务对象满意度等方面，衡量部门整体及核心业务实施效果，推动提高部门整体绩效水平。</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加强支出管理和绩效监控。按照“谁花钱、谁负责，谁牵总、谁主责”的原则，调整优化支出结构，编细编实预算，严格履行政府采购手续，创新财政资金支出思路，合理改进支出方式，按进度和规定及时完成相关项目工作并下达资金，确保按照时间节点完成支出任务。</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3、</w:t>
      </w:r>
      <w:r>
        <w:rPr>
          <w:rFonts w:hint="eastAsia" w:ascii="仿宋_GB2312" w:hAnsi="仿宋_GB2312" w:eastAsia="仿宋_GB2312" w:cs="仿宋_GB2312"/>
          <w:b w:val="0"/>
          <w:sz w:val="32"/>
          <w:szCs w:val="32"/>
        </w:rPr>
        <w:t>做好绩效自评。由相关科室负责科学制定分管项目和内容的中期、终期绩效目标和评价指标，动态收集评估数据信息，开展预算绩效中期评估、终期评价。评价过程要最大程度信息公开，运用法律、经济和行政手段规范、管理和保障预算绩效工作的有效推进，做到程序规范、方法合理、结果可信。对评价中发现的问题及时整改，调整优化支出结构，提高财政资金使用效益。</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规范财务资产管理，加强内部监督。规范财政资金使用和管理，强化内部控制制度建设，严格做好固定资产的登记、使用和报废处置管理工作，做到支出合理，物尽其用，最大限度地发挥财政资金的使用效益。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3"/>
        <w:ind w:firstLine="640" w:firstLineChars="200"/>
        <w:rPr>
          <w:rFonts w:hint="eastAsia" w:ascii="仿宋_GB2312" w:hAnsi="仿宋_GB2312" w:eastAsia="仿宋_GB2312" w:cs="仿宋_GB2312"/>
          <w:b/>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加强宣传培训调研。通过对网信系统内部工作人员开展业务技能专项培训，不断提高部门整体队伍能力素质，在全体干部职工中牢固树立绩效理念，熟悉管理流程，掌握工作方法，提升管理能力，更好地适应做好新时代网络工作新要求。各科室还要积极探索工作经验，及时总结预算绩效管理成效，营造良好的舆论氛围；要加强调研，尽力提出优化财政资金配置、提高资金使用效益的意见；要加大宣传力度，通过“互联网+”等数据共享服务一体化信息管理平台，借助新媒体宣传及公众号发布等现代化信息手段，促进预算绩效管理水平进一步提升。</w:t>
      </w: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p>
    <w:p>
      <w:pP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第二部分：预算项目绩效目标：</w:t>
      </w:r>
    </w:p>
    <w:p>
      <w:pPr>
        <w:pStyle w:val="3"/>
        <w:numPr>
          <w:ilvl w:val="0"/>
          <w:numId w:val="2"/>
        </w:num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网络安全和信息化工作经费</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hAnsi="Calibri" w:eastAsia="方正书宋_GBK" w:cs="Times New Roman"/>
                <w:b/>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Calibri" w:eastAsia="方正书宋_GBK" w:cs="Times New Roman"/>
              </w:rPr>
            </w:pPr>
            <w:r>
              <w:rPr>
                <w:rFonts w:hint="eastAsia" w:ascii="方正书宋_GBK" w:hAnsi="Calibri" w:eastAsia="方正书宋_GBK" w:cs="Times New Roma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项目编码</w:t>
            </w:r>
          </w:p>
        </w:tc>
        <w:tc>
          <w:tcPr>
            <w:tcW w:w="2410" w:type="dxa"/>
            <w:gridSpan w:val="2"/>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1305252189LUX36NOVYSC</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项目名称</w:t>
            </w:r>
          </w:p>
        </w:tc>
        <w:tc>
          <w:tcPr>
            <w:tcW w:w="4281" w:type="dxa"/>
            <w:gridSpan w:val="3"/>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网络安全和信息化工作经费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预算规模及资金用途</w:t>
            </w:r>
          </w:p>
        </w:tc>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预算数</w:t>
            </w:r>
          </w:p>
        </w:tc>
        <w:tc>
          <w:tcPr>
            <w:tcW w:w="1276" w:type="dxa"/>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其中：财政资金</w:t>
            </w:r>
          </w:p>
        </w:tc>
        <w:tc>
          <w:tcPr>
            <w:tcW w:w="1304" w:type="dxa"/>
            <w:shd w:val="clear" w:color="auto" w:fill="auto"/>
            <w:vAlign w:val="center"/>
          </w:tcPr>
          <w:p>
            <w:pPr>
              <w:spacing w:line="300" w:lineRule="exact"/>
              <w:jc w:val="left"/>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5.00</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其他资金</w:t>
            </w:r>
          </w:p>
        </w:tc>
        <w:tc>
          <w:tcPr>
            <w:tcW w:w="1701" w:type="dxa"/>
            <w:shd w:val="clear" w:color="auto" w:fill="auto"/>
            <w:vAlign w:val="center"/>
          </w:tcPr>
          <w:p>
            <w:pPr>
              <w:spacing w:line="300" w:lineRule="exact"/>
              <w:jc w:val="left"/>
              <w:rPr>
                <w:rFonts w:ascii="方正书宋_GBK" w:hAnsi="Calibri" w:eastAsia="方正书宋_GBK" w:cs="Times New Roman"/>
              </w:rPr>
            </w:pPr>
            <w:r>
              <w:rPr>
                <w:rFonts w:ascii="方正书宋_GBK" w:hAnsi="Calibri" w:eastAsia="方正书宋_GBK" w:cs="Times New Roma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rPr>
                <w:rFonts w:ascii="Calibri" w:hAnsi="Calibri" w:eastAsia="宋体" w:cs="Times New Roman"/>
              </w:rPr>
            </w:pPr>
          </w:p>
        </w:tc>
        <w:tc>
          <w:tcPr>
            <w:tcW w:w="8278" w:type="dxa"/>
            <w:gridSpan w:val="6"/>
            <w:shd w:val="clear" w:color="auto" w:fill="auto"/>
            <w:vAlign w:val="center"/>
          </w:tcPr>
          <w:p>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用于网络安全和信息化工作</w:t>
            </w:r>
            <w:r>
              <w:rPr>
                <w:rFonts w:hint="eastAsia" w:ascii="方正书宋_GBK" w:hAnsi="Calibri" w:eastAsia="方正书宋_GBK" w:cs="Times New Roma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资金支出计划（%）</w:t>
            </w:r>
          </w:p>
        </w:tc>
        <w:tc>
          <w:tcPr>
            <w:tcW w:w="2410" w:type="dxa"/>
            <w:gridSpan w:val="2"/>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3月底</w:t>
            </w:r>
          </w:p>
        </w:tc>
        <w:tc>
          <w:tcPr>
            <w:tcW w:w="1587"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6月底</w:t>
            </w:r>
          </w:p>
        </w:tc>
        <w:tc>
          <w:tcPr>
            <w:tcW w:w="130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10月底</w:t>
            </w:r>
          </w:p>
        </w:tc>
        <w:tc>
          <w:tcPr>
            <w:tcW w:w="2977" w:type="dxa"/>
            <w:gridSpan w:val="2"/>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rPr>
                <w:rFonts w:ascii="Calibri" w:hAnsi="Calibri" w:eastAsia="宋体" w:cs="Times New Roman"/>
              </w:rPr>
            </w:pPr>
          </w:p>
        </w:tc>
        <w:tc>
          <w:tcPr>
            <w:tcW w:w="2410" w:type="dxa"/>
            <w:gridSpan w:val="2"/>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Times New Roman"/>
              </w:rPr>
            </w:pPr>
            <w:r>
              <w:rPr>
                <w:rFonts w:hint="eastAsia" w:ascii="方正书宋_GBK" w:eastAsia="方正书宋_GBK" w:cs="Times New Roman"/>
                <w:lang w:val="en-US" w:eastAsia="zh-CN"/>
              </w:rPr>
              <w:t>50</w:t>
            </w:r>
            <w:r>
              <w:rPr>
                <w:rFonts w:hint="eastAsia" w:ascii="方正书宋_GBK" w:hAnsi="Calibri" w:eastAsia="方正书宋_GBK" w:cs="Times New Roman"/>
              </w:rPr>
              <w:t>%</w:t>
            </w:r>
          </w:p>
        </w:tc>
        <w:tc>
          <w:tcPr>
            <w:tcW w:w="1304" w:type="dxa"/>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75%</w:t>
            </w:r>
          </w:p>
        </w:tc>
        <w:tc>
          <w:tcPr>
            <w:tcW w:w="2977" w:type="dxa"/>
            <w:gridSpan w:val="2"/>
            <w:tcBorders>
              <w:bottom w:val="single" w:color="000000" w:sz="6" w:space="0"/>
            </w:tcBorders>
            <w:shd w:val="clear" w:color="auto" w:fill="auto"/>
            <w:vAlign w:val="center"/>
          </w:tcPr>
          <w:p>
            <w:pPr>
              <w:spacing w:line="300" w:lineRule="exact"/>
              <w:jc w:val="center"/>
              <w:rPr>
                <w:rFonts w:hint="default" w:ascii="方正书宋_GBK" w:hAnsi="Calibri" w:eastAsia="方正书宋_GBK" w:cs="Times New Roman"/>
                <w:lang w:val="en-US" w:eastAsia="zh-CN"/>
              </w:rPr>
            </w:pPr>
            <w:r>
              <w:rPr>
                <w:rFonts w:hint="eastAsia" w:ascii="方正书宋_GBK" w:eastAsia="方正书宋_GBK" w:cs="Times New Roman"/>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绩效目标</w:t>
            </w:r>
          </w:p>
        </w:tc>
        <w:tc>
          <w:tcPr>
            <w:tcW w:w="8278" w:type="dxa"/>
            <w:gridSpan w:val="6"/>
            <w:tcBorders>
              <w:bottom w:val="nil"/>
            </w:tcBorders>
            <w:shd w:val="clear" w:color="auto" w:fill="auto"/>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1进行全县网站摸排</w:t>
            </w:r>
          </w:p>
          <w:p>
            <w:pPr>
              <w:spacing w:line="300" w:lineRule="exact"/>
              <w:jc w:val="left"/>
              <w:rPr>
                <w:rFonts w:ascii="方正书宋_GBK" w:hAnsi="Calibri" w:eastAsia="方正书宋_GBK" w:cs="Times New Roman"/>
              </w:rPr>
            </w:pPr>
            <w:r>
              <w:rPr>
                <w:rFonts w:hint="eastAsia" w:ascii="方正书宋_GBK" w:eastAsia="方正书宋_GBK" w:cs="Times New Roman"/>
                <w:lang w:eastAsia="zh-CN"/>
              </w:rPr>
              <w:t>2.进行网络安全检测。</w:t>
            </w:r>
          </w:p>
        </w:tc>
      </w:tr>
    </w:tbl>
    <w:p>
      <w:pPr>
        <w:spacing w:line="14" w:lineRule="exact"/>
        <w:ind w:firstLine="420" w:firstLineChars="200"/>
        <w:jc w:val="center"/>
        <w:rPr>
          <w:rFonts w:ascii="Times New Roman" w:hAnsi="宋体" w:eastAsia="宋体" w:cs="Times New Roman"/>
        </w:rPr>
      </w:pPr>
      <w:r>
        <w:rPr>
          <w:rFonts w:ascii="方正书宋_GBK" w:hAnsi="Calibri" w:eastAsia="方正书宋_GBK" w:cs="Times New Roman"/>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一级指标</w:t>
            </w:r>
          </w:p>
        </w:tc>
        <w:tc>
          <w:tcPr>
            <w:tcW w:w="1134"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二级指标</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三级指标</w:t>
            </w:r>
          </w:p>
        </w:tc>
        <w:tc>
          <w:tcPr>
            <w:tcW w:w="2891"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绩效指标描述</w:t>
            </w:r>
          </w:p>
        </w:tc>
        <w:tc>
          <w:tcPr>
            <w:tcW w:w="1276"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w:t>
            </w:r>
          </w:p>
        </w:tc>
        <w:tc>
          <w:tcPr>
            <w:tcW w:w="1701" w:type="dxa"/>
            <w:shd w:val="clear" w:color="auto" w:fill="auto"/>
            <w:vAlign w:val="center"/>
          </w:tcPr>
          <w:p>
            <w:pPr>
              <w:spacing w:line="300" w:lineRule="exact"/>
              <w:jc w:val="center"/>
              <w:rPr>
                <w:rFonts w:ascii="方正书宋_GBK" w:hAnsi="Calibri" w:eastAsia="方正书宋_GBK" w:cs="Times New Roman"/>
                <w:b/>
              </w:rPr>
            </w:pPr>
            <w:r>
              <w:rPr>
                <w:rFonts w:hint="eastAsia" w:ascii="方正书宋_GBK" w:hAnsi="Calibri" w:eastAsia="方正书宋_GBK" w:cs="Times New Roman"/>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产出指标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数量指标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全县网站摸排率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全县重点网站摸排</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时效指标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网站安全及时处置率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网站安全及时处置率</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质量指标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网站安全率</w:t>
            </w:r>
            <w:r>
              <w:rPr>
                <w:rFonts w:hint="eastAsia" w:ascii="方正书宋_GBK" w:hAnsi="Calibri" w:eastAsia="方正书宋_GBK" w:cs="Times New Roman"/>
              </w:rPr>
              <w:tab/>
            </w:r>
          </w:p>
          <w:p>
            <w:pPr>
              <w:spacing w:line="300" w:lineRule="exact"/>
              <w:jc w:val="left"/>
              <w:rPr>
                <w:rFonts w:hint="eastAsia" w:ascii="方正书宋_GBK" w:hAnsi="Calibri" w:eastAsia="方正书宋_GBK" w:cs="Times New Roman"/>
              </w:rPr>
            </w:pP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hAnsi="Calibri" w:eastAsia="方正书宋_GBK" w:cs="Times New Roman"/>
              </w:rPr>
            </w:pP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成本指标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网站安全率</w:t>
            </w:r>
          </w:p>
        </w:tc>
        <w:tc>
          <w:tcPr>
            <w:tcW w:w="289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网站安全检测合作成本</w:t>
            </w:r>
          </w:p>
        </w:tc>
        <w:tc>
          <w:tcPr>
            <w:tcW w:w="1276"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5万</w:t>
            </w:r>
          </w:p>
        </w:tc>
        <w:tc>
          <w:tcPr>
            <w:tcW w:w="1701" w:type="dxa"/>
            <w:shd w:val="clear" w:color="auto" w:fill="auto"/>
            <w:vAlign w:val="center"/>
          </w:tcPr>
          <w:p>
            <w:pPr>
              <w:spacing w:line="300" w:lineRule="exact"/>
              <w:jc w:val="left"/>
              <w:rPr>
                <w:rFonts w:hint="eastAsia" w:ascii="方正书宋_GBK" w:hAnsi="Calibri" w:eastAsia="方正书宋_GBK" w:cs="Times New Roma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效益指标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社会效益指标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属地重点网站安全</w:t>
            </w:r>
          </w:p>
        </w:tc>
        <w:tc>
          <w:tcPr>
            <w:tcW w:w="289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保证属地重点网站安全，安全率在</w:t>
            </w:r>
            <w:r>
              <w:rPr>
                <w:rFonts w:hint="eastAsia" w:ascii="方正书宋_GBK" w:hAnsi="Calibri" w:eastAsia="方正书宋_GBK" w:cs="Times New Roman"/>
                <w:lang w:val="en-US" w:eastAsia="zh-CN"/>
              </w:rPr>
              <w:t>80%以上</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hAnsi="Calibri" w:eastAsia="方正书宋_GBK" w:cs="Times New Roman"/>
              </w:rPr>
            </w:pPr>
            <w:r>
              <w:rPr>
                <w:rFonts w:hint="eastAsia" w:ascii="方正书宋_GBK" w:hAnsi="Calibri" w:eastAsia="方正书宋_GBK" w:cs="Times New Roman"/>
              </w:rPr>
              <w:t>满意度指标</w:t>
            </w:r>
          </w:p>
        </w:tc>
        <w:tc>
          <w:tcPr>
            <w:tcW w:w="1134"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服务对象满意度指标</w:t>
            </w:r>
          </w:p>
        </w:tc>
        <w:tc>
          <w:tcPr>
            <w:tcW w:w="1276"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群众满意度</w:t>
            </w:r>
          </w:p>
        </w:tc>
        <w:tc>
          <w:tcPr>
            <w:tcW w:w="289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对网络服务感到满意的人员数量占调查人员总数的比重</w:t>
            </w:r>
          </w:p>
        </w:tc>
        <w:tc>
          <w:tcPr>
            <w:tcW w:w="1276" w:type="dxa"/>
            <w:shd w:val="clear" w:color="auto" w:fill="auto"/>
            <w:vAlign w:val="center"/>
          </w:tcPr>
          <w:p>
            <w:pPr>
              <w:spacing w:line="300" w:lineRule="exact"/>
              <w:jc w:val="left"/>
              <w:rPr>
                <w:rFonts w:hint="eastAsia" w:ascii="方正书宋_GBK" w:hAnsi="Calibri" w:eastAsia="方正书宋_GBK" w:cs="Times New Roman"/>
                <w:lang w:val="en-US" w:eastAsia="zh-CN"/>
              </w:rPr>
            </w:pPr>
            <w:r>
              <w:rPr>
                <w:rFonts w:hint="eastAsia" w:ascii="方正书宋_GBK" w:hAnsi="Calibri" w:eastAsia="方正书宋_GBK" w:cs="Times New Roman"/>
                <w:lang w:eastAsia="zh-CN"/>
              </w:rPr>
              <w:t>≥</w:t>
            </w:r>
            <w:r>
              <w:rPr>
                <w:rFonts w:hint="eastAsia" w:ascii="方正书宋_GBK" w:hAnsi="Calibri" w:eastAsia="方正书宋_GBK" w:cs="Times New Roman"/>
                <w:lang w:val="en-US" w:eastAsia="zh-CN"/>
              </w:rPr>
              <w:t>80%</w:t>
            </w:r>
          </w:p>
        </w:tc>
        <w:tc>
          <w:tcPr>
            <w:tcW w:w="1701" w:type="dxa"/>
            <w:shd w:val="clear" w:color="auto" w:fill="auto"/>
            <w:vAlign w:val="center"/>
          </w:tcPr>
          <w:p>
            <w:pPr>
              <w:spacing w:line="300" w:lineRule="exact"/>
              <w:jc w:val="left"/>
              <w:rPr>
                <w:rFonts w:hint="eastAsia" w:ascii="方正书宋_GBK" w:hAnsi="Calibri" w:eastAsia="方正书宋_GBK" w:cs="Times New Roman"/>
                <w:lang w:eastAsia="zh-CN"/>
              </w:rPr>
            </w:pPr>
            <w:r>
              <w:rPr>
                <w:rFonts w:hint="eastAsia" w:ascii="方正书宋_GBK" w:hAnsi="Calibri" w:eastAsia="方正书宋_GBK" w:cs="Times New Roman"/>
                <w:lang w:eastAsia="zh-CN"/>
              </w:rPr>
              <w:t>部门职责</w:t>
            </w:r>
          </w:p>
        </w:tc>
      </w:tr>
    </w:tbl>
    <w:p>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六、政府采购预算情况</w:t>
      </w:r>
    </w:p>
    <w:p>
      <w:pPr>
        <w:ind w:firstLine="640" w:firstLineChars="200"/>
        <w:outlineLvl w:val="1"/>
        <w:rPr>
          <w:rFonts w:hint="eastAsia" w:ascii="仿宋_GB2312" w:hAnsi="仿宋_GB2312" w:eastAsia="仿宋_GB2312" w:cs="仿宋_GB2312"/>
          <w:sz w:val="32"/>
          <w:szCs w:val="32"/>
        </w:rPr>
      </w:pPr>
      <w:bookmarkStart w:id="4" w:name="_Toc471398468"/>
      <w:r>
        <w:rPr>
          <w:rFonts w:hint="eastAsia" w:ascii="仿宋_GB2312" w:hAnsi="仿宋_GB2312" w:eastAsia="仿宋_GB2312" w:cs="仿宋_GB2312"/>
          <w:sz w:val="32"/>
          <w:szCs w:val="32"/>
        </w:rPr>
        <w:t>2021年，我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安排政府采购预算</w:t>
      </w:r>
      <w:r>
        <w:rPr>
          <w:rFonts w:hint="eastAsia" w:ascii="仿宋_GB2312" w:hAnsi="仿宋_GB2312" w:eastAsia="仿宋_GB2312" w:cs="仿宋_GB2312"/>
          <w:sz w:val="32"/>
          <w:szCs w:val="32"/>
          <w:lang w:val="en-US" w:eastAsia="zh-CN"/>
        </w:rPr>
        <w:t>1.00万</w:t>
      </w:r>
      <w:r>
        <w:rPr>
          <w:rFonts w:hint="eastAsia" w:ascii="仿宋_GB2312" w:hAnsi="仿宋_GB2312" w:eastAsia="仿宋_GB2312" w:cs="仿宋_GB2312"/>
          <w:sz w:val="32"/>
          <w:szCs w:val="32"/>
        </w:rPr>
        <w:t>元。具体内容见下表。</w:t>
      </w:r>
      <w:bookmarkStart w:id="5" w:name="_Toc64379203"/>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10"/>
        <w:tblpPr w:leftFromText="180" w:rightFromText="180" w:vertAnchor="text" w:horzAnchor="page" w:tblpX="683" w:tblpY="621"/>
        <w:tblOverlap w:val="never"/>
        <w:tblW w:w="1550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default" w:ascii="方正小标宋_GBK" w:eastAsia="方正小标宋_GBK"/>
                <w:sz w:val="24"/>
                <w:lang w:val="en-US" w:eastAsia="zh-CN"/>
              </w:rPr>
            </w:pPr>
            <w:r>
              <w:rPr>
                <w:rFonts w:hint="eastAsia" w:ascii="仿宋_GB2312" w:hAnsi="仿宋_GB2312" w:eastAsia="仿宋_GB2312" w:cs="仿宋_GB2312"/>
                <w:b/>
                <w:sz w:val="32"/>
                <w:szCs w:val="32"/>
                <w:u w:val="none"/>
                <w:vertAlign w:val="baseline"/>
                <w:lang w:eastAsia="zh-CN"/>
              </w:rPr>
              <w:t>288中共隆尧县委网络安全和信息化委员会办公室</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lang w:eastAsia="zh-CN"/>
              </w:rPr>
              <w:t>中共隆尧县委网络安全和信息化委员会办公室</w:t>
            </w:r>
            <w:r>
              <w:rPr>
                <w:rFonts w:hint="eastAsia" w:ascii="方正书宋_GBK" w:eastAsia="方正书宋_GBK"/>
                <w:b/>
              </w:rPr>
              <w:t>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台</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文件柜</w:t>
            </w:r>
            <w:r>
              <w:rPr>
                <w:rFonts w:hint="eastAsia" w:ascii="方正书宋_GBK" w:eastAsia="方正书宋_GBK"/>
              </w:rPr>
              <w:t>柜类</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A06050</w:t>
            </w:r>
            <w:r>
              <w:rPr>
                <w:rFonts w:hint="eastAsia" w:ascii="方正书宋_GBK" w:eastAsia="方正书宋_GBK"/>
                <w:lang w:val="en-US" w:eastAsia="zh-CN"/>
              </w:rPr>
              <w:t>1</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0.06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空调</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2201002</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0.24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舆情处置工作经费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eastAsia="zh-CN"/>
              </w:rPr>
              <w:t>照相机</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A</w:t>
            </w:r>
            <w:r>
              <w:rPr>
                <w:rFonts w:hint="eastAsia" w:ascii="方正书宋_GBK" w:eastAsia="方正书宋_GBK"/>
                <w:lang w:val="en-US" w:eastAsia="zh-CN"/>
              </w:rPr>
              <w:t>2020400</w:t>
            </w:r>
          </w:p>
        </w:tc>
        <w:tc>
          <w:tcPr>
            <w:tcW w:w="709" w:type="dxa"/>
            <w:shd w:val="clear" w:color="auto" w:fill="auto"/>
            <w:vAlign w:val="center"/>
          </w:tcPr>
          <w:p>
            <w:pPr>
              <w:spacing w:line="300" w:lineRule="exact"/>
              <w:jc w:val="center"/>
              <w:rPr>
                <w:rFonts w:ascii="方正书宋_GBK" w:eastAsia="方正书宋_GBK"/>
              </w:rPr>
            </w:pPr>
            <w:r>
              <w:rPr>
                <w:rFonts w:hint="eastAsia" w:ascii="仿宋_GB2312" w:hAnsi="仿宋_GB2312" w:eastAsia="仿宋_GB2312" w:cs="仿宋_GB2312"/>
                <w:sz w:val="32"/>
                <w:szCs w:val="32"/>
              </w:rPr>
              <w:t>个</w:t>
            </w:r>
          </w:p>
        </w:tc>
        <w:tc>
          <w:tcPr>
            <w:tcW w:w="907"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ind w:firstLine="640" w:firstLineChars="200"/>
        <w:outlineLvl w:val="1"/>
        <w:rPr>
          <w:rFonts w:hint="eastAsia" w:ascii="仿宋_GB2312" w:hAnsi="仿宋_GB2312" w:eastAsia="仿宋_GB2312" w:cs="仿宋_GB2312"/>
          <w:sz w:val="32"/>
          <w:szCs w:val="32"/>
        </w:rPr>
      </w:pPr>
    </w:p>
    <w:bookmarkEnd w:id="4"/>
    <w:bookmarkEnd w:id="5"/>
    <w:p>
      <w:pPr>
        <w:autoSpaceDE w:val="0"/>
        <w:autoSpaceDN w:val="0"/>
        <w:adjustRightInd w:val="0"/>
        <w:jc w:val="left"/>
        <w:rPr>
          <w:rFonts w:hint="eastAsia" w:ascii="黑体" w:hAnsi="黑体" w:eastAsia="黑体" w:cs="黑体"/>
          <w:sz w:val="32"/>
          <w:szCs w:val="32"/>
        </w:rPr>
      </w:pPr>
    </w:p>
    <w:p>
      <w:pPr>
        <w:autoSpaceDE w:val="0"/>
        <w:autoSpaceDN w:val="0"/>
        <w:adjustRightInd w:val="0"/>
        <w:jc w:val="left"/>
        <w:rPr>
          <w:rFonts w:hint="eastAsia" w:ascii="黑体" w:hAnsi="黑体" w:eastAsia="黑体" w:cs="黑体"/>
          <w:sz w:val="32"/>
          <w:szCs w:val="32"/>
        </w:rPr>
      </w:pPr>
      <w:r>
        <w:rPr>
          <w:rFonts w:hint="eastAsia" w:ascii="黑体" w:hAnsi="黑体" w:eastAsia="黑体" w:cs="黑体"/>
          <w:sz w:val="32"/>
          <w:szCs w:val="32"/>
        </w:rPr>
        <w:t>七、国有资产信息</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ind w:firstLine="640" w:firstLineChars="200"/>
              <w:outlineLvl w:val="1"/>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中共隆尧县委网络安全和信息化委员会办公室</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年末固定资产金额为</w:t>
            </w:r>
            <w:r>
              <w:rPr>
                <w:rFonts w:hint="eastAsia" w:ascii="仿宋_GB2312" w:hAnsi="仿宋_GB2312" w:eastAsia="仿宋_GB2312" w:cs="仿宋_GB2312"/>
                <w:sz w:val="32"/>
                <w:szCs w:val="32"/>
                <w:lang w:val="en-US" w:eastAsia="zh-CN"/>
              </w:rPr>
              <w:t>2.84万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。本年度你采购固定资产</w:t>
            </w:r>
            <w:r>
              <w:rPr>
                <w:rFonts w:hint="eastAsia" w:ascii="仿宋_GB2312" w:hAnsi="仿宋_GB2312" w:eastAsia="仿宋_GB2312" w:cs="仿宋_GB2312"/>
                <w:sz w:val="32"/>
                <w:szCs w:val="32"/>
                <w:lang w:val="en-US" w:eastAsia="zh-CN"/>
              </w:rPr>
              <w:t>1万元，主要是计算机、文件柜、空调、照相机，已列入政府采购计划，详见政府采购预算表。</w:t>
            </w:r>
          </w:p>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河北省</w:t>
            </w:r>
            <w:r>
              <w:rPr>
                <w:rFonts w:hint="eastAsia" w:ascii="仿宋_GB2312" w:hAnsi="仿宋_GB2312" w:eastAsia="仿宋_GB2312" w:cs="仿宋_GB2312"/>
                <w:b/>
                <w:bCs/>
                <w:kern w:val="0"/>
                <w:sz w:val="32"/>
                <w:szCs w:val="32"/>
                <w:lang w:eastAsia="zh-CN"/>
              </w:rPr>
              <w:t>县直</w:t>
            </w:r>
            <w:r>
              <w:rPr>
                <w:rFonts w:hint="eastAsia" w:ascii="仿宋_GB2312" w:hAnsi="仿宋_GB2312" w:eastAsia="仿宋_GB2312" w:cs="仿宋_GB2312"/>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kern w:val="0"/>
                <w:sz w:val="32"/>
                <w:szCs w:val="32"/>
                <w:lang w:eastAsia="zh-CN"/>
              </w:rPr>
              <w:t>中共隆尧县委网络安全和信息化委员会办公室</w:t>
            </w:r>
          </w:p>
        </w:tc>
        <w:tc>
          <w:tcPr>
            <w:tcW w:w="5103" w:type="dxa"/>
            <w:tcBorders>
              <w:top w:val="nil"/>
              <w:left w:val="nil"/>
              <w:bottom w:val="nil"/>
              <w:right w:val="nil"/>
            </w:tcBorders>
            <w:noWrap/>
            <w:vAlign w:val="center"/>
          </w:tcPr>
          <w:p>
            <w:pPr>
              <w:widowControl/>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截止时间：2020年12月31日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价值（金额单位：</w:t>
            </w:r>
            <w:r>
              <w:rPr>
                <w:rFonts w:hint="eastAsia" w:ascii="仿宋_GB2312" w:hAnsi="仿宋_GB2312" w:eastAsia="仿宋_GB2312" w:cs="仿宋_GB2312"/>
                <w:b/>
                <w:bCs/>
                <w:kern w:val="0"/>
                <w:sz w:val="32"/>
                <w:szCs w:val="32"/>
                <w:lang w:eastAsia="zh-CN"/>
              </w:rPr>
              <w:t>万</w:t>
            </w:r>
            <w:r>
              <w:rPr>
                <w:rFonts w:hint="eastAsia" w:ascii="仿宋_GB2312" w:hAnsi="仿宋_GB2312" w:eastAsia="仿宋_GB2312" w:cs="仿宋_GB2312"/>
                <w:b/>
                <w:bCs/>
                <w:kern w:val="0"/>
                <w:sz w:val="32"/>
                <w:szCs w:val="3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资产总额</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2.84.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1、房屋（平方米）</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其中：办公用房（平方米）</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2、车辆（台、辆）</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3、单价在20万元以上的设备</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4、其他固定资产</w:t>
            </w:r>
          </w:p>
        </w:tc>
        <w:tc>
          <w:tcPr>
            <w:tcW w:w="3155"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w:t>
            </w:r>
          </w:p>
        </w:tc>
        <w:tc>
          <w:tcPr>
            <w:tcW w:w="5103" w:type="dxa"/>
            <w:tcBorders>
              <w:top w:val="nil"/>
              <w:left w:val="nil"/>
              <w:bottom w:val="single" w:color="auto" w:sz="4" w:space="0"/>
              <w:right w:val="single" w:color="auto" w:sz="4" w:space="0"/>
            </w:tcBorders>
            <w:noWrap/>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2.84</w:t>
            </w:r>
          </w:p>
        </w:tc>
      </w:tr>
    </w:tbl>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autoSpaceDE w:val="0"/>
        <w:autoSpaceDN w:val="0"/>
        <w:adjustRightInd w:val="0"/>
        <w:ind w:left="198" w:firstLine="640" w:firstLineChars="200"/>
        <w:jc w:val="left"/>
        <w:rPr>
          <w:rFonts w:hint="eastAsia" w:ascii="仿宋_GB2312" w:hAnsi="仿宋_GB2312" w:eastAsia="仿宋_GB2312" w:cs="仿宋_GB2312"/>
          <w:sz w:val="32"/>
          <w:szCs w:val="32"/>
        </w:rPr>
      </w:pPr>
    </w:p>
    <w:p>
      <w:pPr>
        <w:pageBreakBefore w:val="0"/>
        <w:widowControl w:val="0"/>
        <w:numPr>
          <w:ilvl w:val="0"/>
          <w:numId w:val="3"/>
        </w:numPr>
        <w:kinsoku/>
        <w:wordWrap/>
        <w:overflowPunct/>
        <w:topLinePunct w:val="0"/>
        <w:autoSpaceDE w:val="0"/>
        <w:autoSpaceDN w:val="0"/>
        <w:bidi w:val="0"/>
        <w:adjustRightInd w:val="0"/>
        <w:snapToGrid/>
        <w:spacing w:line="600" w:lineRule="exact"/>
        <w:ind w:left="1270" w:leftChars="0" w:hanging="640" w:firstLineChars="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名词解释</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1.</w:t>
      </w:r>
      <w:r>
        <w:rPr>
          <w:rFonts w:hint="eastAsia" w:ascii="仿宋_GB2312" w:hAnsi="仿宋_GB2312" w:eastAsia="仿宋_GB2312" w:cs="仿宋_GB2312"/>
          <w:b w:val="0"/>
          <w:sz w:val="32"/>
          <w:szCs w:val="32"/>
        </w:rPr>
        <w:t>一般公共预算拨款收入：指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级财政当年拨付的资金。</w:t>
      </w:r>
      <w:bookmarkEnd w:id="0"/>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2.</w:t>
      </w:r>
      <w:r>
        <w:rPr>
          <w:rFonts w:hint="eastAsia" w:ascii="仿宋_GB2312" w:hAnsi="仿宋_GB2312" w:eastAsia="仿宋_GB2312" w:cs="仿宋_GB2312"/>
          <w:b w:val="0"/>
          <w:sz w:val="32"/>
          <w:szCs w:val="32"/>
        </w:rPr>
        <w:t>事业收入：指事业单位开展专业业务活动及辅助活动所取得的收入。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3</w:t>
      </w:r>
      <w:r>
        <w:rPr>
          <w:rFonts w:hint="eastAsia" w:ascii="仿宋_GB2312" w:hAnsi="仿宋_GB2312" w:eastAsia="仿宋_GB2312" w:cs="仿宋_GB2312"/>
          <w:b w:val="0"/>
          <w:sz w:val="32"/>
          <w:szCs w:val="32"/>
          <w:lang w:val="en-US" w:eastAsia="zh-CN"/>
        </w:rPr>
        <w:t>.</w:t>
      </w:r>
      <w:r>
        <w:rPr>
          <w:rFonts w:hint="eastAsia" w:ascii="仿宋_GB2312" w:hAnsi="仿宋_GB2312" w:eastAsia="仿宋_GB2312" w:cs="仿宋_GB2312"/>
          <w:b w:val="0"/>
          <w:sz w:val="32"/>
          <w:szCs w:val="32"/>
        </w:rPr>
        <w:t>其他收入：指除“一般公共预算拨款收入”、“事业收入”等以外的收入。主要是按规定动用的租房收入、存款利息收入等。</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4.</w:t>
      </w:r>
      <w:r>
        <w:rPr>
          <w:rFonts w:hint="eastAsia" w:ascii="仿宋_GB2312" w:hAnsi="仿宋_GB2312" w:eastAsia="仿宋_GB2312" w:cs="仿宋_GB2312"/>
          <w:b w:val="0"/>
          <w:sz w:val="32"/>
          <w:szCs w:val="32"/>
        </w:rPr>
        <w:t>基本支出：指为保障机构正常运转、完成日常工作任务而发生的人员支出和公用支出。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5.</w:t>
      </w:r>
      <w:r>
        <w:rPr>
          <w:rFonts w:hint="eastAsia" w:ascii="仿宋_GB2312" w:hAnsi="仿宋_GB2312" w:eastAsia="仿宋_GB2312" w:cs="仿宋_GB2312"/>
          <w:b w:val="0"/>
          <w:sz w:val="32"/>
          <w:szCs w:val="32"/>
        </w:rPr>
        <w:t>项目支出：指在基本支出之外为完成特定行政任务和事业发展目标所发生的支出。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6.</w:t>
      </w:r>
      <w:r>
        <w:rPr>
          <w:rFonts w:hint="eastAsia" w:ascii="仿宋_GB2312" w:hAnsi="仿宋_GB2312" w:eastAsia="仿宋_GB2312" w:cs="仿宋_GB2312"/>
          <w:b w:val="0"/>
          <w:sz w:val="32"/>
          <w:szCs w:val="32"/>
        </w:rPr>
        <w:t>上缴上级支出：指下级单位上缴上级的支出。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7.</w:t>
      </w:r>
      <w:r>
        <w:rPr>
          <w:rFonts w:hint="eastAsia" w:ascii="仿宋_GB2312" w:hAnsi="仿宋_GB2312" w:eastAsia="仿宋_GB2312" w:cs="仿宋_GB2312"/>
          <w:b w:val="0"/>
          <w:sz w:val="32"/>
          <w:szCs w:val="32"/>
        </w:rPr>
        <w:t>“三公”经费：纳入</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级财政预算管理的“三公”经费，是指</w:t>
      </w:r>
      <w:r>
        <w:rPr>
          <w:rFonts w:hint="eastAsia" w:ascii="仿宋_GB2312" w:hAnsi="仿宋_GB2312" w:eastAsia="仿宋_GB2312" w:cs="仿宋_GB2312"/>
          <w:b w:val="0"/>
          <w:sz w:val="32"/>
          <w:szCs w:val="32"/>
          <w:lang w:eastAsia="zh-CN"/>
        </w:rPr>
        <w:t>县</w:t>
      </w:r>
      <w:r>
        <w:rPr>
          <w:rFonts w:hint="eastAsia" w:ascii="仿宋_GB2312" w:hAnsi="仿宋_GB2312" w:eastAsia="仿宋_GB2312" w:cs="仿宋_GB2312"/>
          <w:b w:val="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8.</w:t>
      </w:r>
      <w:r>
        <w:rPr>
          <w:rFonts w:hint="eastAsia" w:ascii="仿宋_GB2312" w:hAnsi="仿宋_GB2312" w:eastAsia="仿宋_GB2312" w:cs="仿宋_GB2312"/>
          <w:b w:val="0"/>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600" w:lineRule="exact"/>
        <w:ind w:leftChars="0" w:firstLine="640" w:firstLineChars="200"/>
        <w:jc w:val="both"/>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lang w:val="en-US" w:eastAsia="zh-CN"/>
        </w:rPr>
        <w:t>9.</w:t>
      </w:r>
      <w:r>
        <w:rPr>
          <w:rFonts w:hint="eastAsia" w:ascii="仿宋_GB2312" w:hAnsi="仿宋_GB2312" w:eastAsia="仿宋_GB2312" w:cs="仿宋_GB2312"/>
          <w:b w:val="0"/>
          <w:sz w:val="32"/>
          <w:szCs w:val="32"/>
        </w:rPr>
        <w:t>上年结转：指以前年度尚未完成、结转到本年仍按原规定用途继续使用的资金。</w:t>
      </w:r>
    </w:p>
    <w:p>
      <w:pPr>
        <w:pStyle w:val="3"/>
        <w:pageBreakBefore w:val="0"/>
        <w:widowControl w:val="0"/>
        <w:kinsoku/>
        <w:wordWrap/>
        <w:overflowPunct/>
        <w:topLinePunct w:val="0"/>
        <w:autoSpaceDE/>
        <w:autoSpaceDN/>
        <w:bidi w:val="0"/>
        <w:adjustRightInd/>
        <w:snapToGrid/>
        <w:spacing w:before="0" w:after="0" w:line="600" w:lineRule="exact"/>
        <w:ind w:left="0" w:firstLine="640" w:firstLineChars="200"/>
        <w:jc w:val="both"/>
        <w:textAlignment w:val="auto"/>
        <w:rPr>
          <w:rFonts w:hint="eastAsia" w:ascii="黑体" w:hAnsi="黑体" w:eastAsia="黑体" w:cs="黑体"/>
          <w:b w:val="0"/>
          <w:sz w:val="32"/>
          <w:szCs w:val="32"/>
        </w:rPr>
      </w:pPr>
      <w:r>
        <w:rPr>
          <w:rFonts w:hint="eastAsia" w:ascii="黑体" w:hAnsi="黑体" w:eastAsia="黑体" w:cs="黑体"/>
          <w:b w:val="0"/>
          <w:sz w:val="32"/>
          <w:szCs w:val="32"/>
        </w:rPr>
        <w:t>九、其他需要说明的事项</w:t>
      </w:r>
    </w:p>
    <w:p>
      <w:pPr>
        <w:autoSpaceDE w:val="0"/>
        <w:autoSpaceDN w:val="0"/>
        <w:adjustRightInd w:val="0"/>
        <w:ind w:firstLine="640" w:firstLineChars="200"/>
        <w:jc w:val="left"/>
        <w:rPr>
          <w:rFonts w:hint="eastAsia" w:eastAsia="仿宋"/>
          <w:lang w:eastAsia="zh-CN"/>
        </w:rPr>
      </w:pPr>
      <w:r>
        <w:rPr>
          <w:rFonts w:hint="eastAsia" w:ascii="Times New Roman" w:hAnsi="Times New Roman" w:eastAsia="仿宋" w:cs="Times New Roman"/>
          <w:sz w:val="32"/>
          <w:szCs w:val="32"/>
        </w:rPr>
        <w:t>我部门涉密项目未公开</w:t>
      </w:r>
      <w:r>
        <w:rPr>
          <w:rFonts w:hint="eastAsia" w:ascii="Times New Roman" w:hAnsi="Times New Roman" w:eastAsia="仿宋" w:cs="Times New Roman"/>
          <w:sz w:val="32"/>
          <w:szCs w:val="32"/>
          <w:lang w:eastAsia="zh-CN"/>
        </w:rPr>
        <w:t>。</w:t>
      </w:r>
    </w:p>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Arial Unicode MS"/>
    <w:panose1 w:val="03000509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altName w:val="Arial Unicode MS"/>
    <w:panose1 w:val="03000509000000000000"/>
    <w:charset w:val="86"/>
    <w:family w:val="script"/>
    <w:pitch w:val="default"/>
    <w:sig w:usb0="00000000" w:usb1="00000000" w:usb2="00000000" w:usb3="00000000" w:csb0="00040000" w:csb1="00000000"/>
  </w:font>
  <w:font w:name="方正仿宋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619C3"/>
    <w:multiLevelType w:val="singleLevel"/>
    <w:tmpl w:val="AD9619C3"/>
    <w:lvl w:ilvl="0" w:tentative="0">
      <w:start w:val="1"/>
      <w:numFmt w:val="decimal"/>
      <w:suff w:val="nothing"/>
      <w:lvlText w:val="%1、"/>
      <w:lvlJc w:val="left"/>
    </w:lvl>
  </w:abstractNum>
  <w:abstractNum w:abstractNumId="1">
    <w:nsid w:val="E5C34719"/>
    <w:multiLevelType w:val="singleLevel"/>
    <w:tmpl w:val="E5C34719"/>
    <w:lvl w:ilvl="0" w:tentative="0">
      <w:start w:val="8"/>
      <w:numFmt w:val="chineseCounting"/>
      <w:suff w:val="nothing"/>
      <w:lvlText w:val="%1、"/>
      <w:lvlJc w:val="left"/>
      <w:pPr>
        <w:ind w:left="630"/>
      </w:pPr>
      <w:rPr>
        <w:rFonts w:hint="eastAsia"/>
        <w:b/>
        <w:bCs/>
      </w:rPr>
    </w:lvl>
  </w:abstractNum>
  <w:abstractNum w:abstractNumId="2">
    <w:nsid w:val="66B186A4"/>
    <w:multiLevelType w:val="singleLevel"/>
    <w:tmpl w:val="66B186A4"/>
    <w:lvl w:ilvl="0" w:tentative="0">
      <w:start w:val="1"/>
      <w:numFmt w:val="chineseCounting"/>
      <w:suff w:val="nothing"/>
      <w:lvlText w:val="（%1）"/>
      <w:lvlJc w:val="left"/>
      <w:pPr>
        <w:ind w:left="-1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2B3C3A"/>
    <w:rsid w:val="05463B73"/>
    <w:rsid w:val="05682D2B"/>
    <w:rsid w:val="0EAD2345"/>
    <w:rsid w:val="1FFE22C8"/>
    <w:rsid w:val="20253C26"/>
    <w:rsid w:val="2A156415"/>
    <w:rsid w:val="2EE82B9B"/>
    <w:rsid w:val="36483866"/>
    <w:rsid w:val="3A8A25D7"/>
    <w:rsid w:val="3AA4735C"/>
    <w:rsid w:val="3BC845F3"/>
    <w:rsid w:val="3E554384"/>
    <w:rsid w:val="42B967AE"/>
    <w:rsid w:val="45C4660C"/>
    <w:rsid w:val="50C6203E"/>
    <w:rsid w:val="50C7131D"/>
    <w:rsid w:val="53450394"/>
    <w:rsid w:val="58653C10"/>
    <w:rsid w:val="58CB7FE0"/>
    <w:rsid w:val="68B662F5"/>
    <w:rsid w:val="6A4E4593"/>
    <w:rsid w:val="6C125C1C"/>
    <w:rsid w:val="6DF25CB2"/>
    <w:rsid w:val="709A5409"/>
    <w:rsid w:val="771E102A"/>
    <w:rsid w:val="77A17922"/>
    <w:rsid w:val="78E82CBA"/>
    <w:rsid w:val="79F44C7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5449</Words>
  <Characters>5712</Characters>
  <Lines>100</Lines>
  <Paragraphs>28</Paragraphs>
  <TotalTime>7</TotalTime>
  <ScaleCrop>false</ScaleCrop>
  <LinksUpToDate>false</LinksUpToDate>
  <CharactersWithSpaces>5724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郭永飞</cp:lastModifiedBy>
  <cp:lastPrinted>2021-03-15T05:41:00Z</cp:lastPrinted>
  <dcterms:modified xsi:type="dcterms:W3CDTF">2023-06-08T01:46:29Z</dcterms:modified>
  <dc:title>河北省委办公厅2021年部门预算信息公开情况说明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09D900390A26456CB1BFEB67656E1716</vt:lpwstr>
  </property>
</Properties>
</file>