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D3AF7" w:rsidRDefault="00000000">
      <w:pPr>
        <w:jc w:val="center"/>
        <w:rPr>
          <w:rFonts w:ascii="宋体" w:hAnsi="宋体" w:cs="宋体"/>
          <w:sz w:val="44"/>
          <w:szCs w:val="44"/>
        </w:rPr>
      </w:pPr>
      <w:r>
        <w:rPr>
          <w:rFonts w:ascii="宋体" w:hAnsi="宋体" w:cs="宋体" w:hint="eastAsia"/>
          <w:sz w:val="44"/>
          <w:szCs w:val="44"/>
        </w:rPr>
        <w:t>隆尧县司法局2021年部门预算信息</w:t>
      </w:r>
    </w:p>
    <w:p w:rsidR="008D3AF7" w:rsidRDefault="00000000">
      <w:pPr>
        <w:jc w:val="center"/>
        <w:rPr>
          <w:rFonts w:ascii="宋体" w:hAnsi="宋体" w:cs="宋体"/>
          <w:sz w:val="44"/>
          <w:szCs w:val="44"/>
        </w:rPr>
      </w:pPr>
      <w:r>
        <w:rPr>
          <w:rFonts w:ascii="宋体" w:hAnsi="宋体" w:cs="宋体" w:hint="eastAsia"/>
          <w:sz w:val="44"/>
          <w:szCs w:val="44"/>
        </w:rPr>
        <w:t>公开情况说明</w:t>
      </w:r>
    </w:p>
    <w:p w:rsidR="008D3AF7" w:rsidRDefault="008D3AF7">
      <w:pPr>
        <w:jc w:val="center"/>
        <w:rPr>
          <w:rFonts w:ascii="Times New Roman" w:hAnsi="Times New Roman" w:cs="Times New Roman"/>
          <w:sz w:val="44"/>
          <w:szCs w:val="44"/>
        </w:rPr>
      </w:pPr>
    </w:p>
    <w:p w:rsidR="008D3AF7" w:rsidRDefault="00000000">
      <w:pPr>
        <w:ind w:firstLineChars="200" w:firstLine="640"/>
        <w:rPr>
          <w:rFonts w:ascii="仿宋" w:eastAsia="仿宋" w:hAnsi="仿宋" w:cs="仿宋"/>
          <w:sz w:val="32"/>
          <w:szCs w:val="32"/>
        </w:rPr>
      </w:pPr>
      <w:r>
        <w:rPr>
          <w:rFonts w:ascii="仿宋" w:eastAsia="仿宋" w:hAnsi="仿宋" w:cs="仿宋" w:hint="eastAsia"/>
          <w:sz w:val="32"/>
          <w:szCs w:val="32"/>
        </w:rPr>
        <w:t>按照《预算法》、《地方预决算公开操作规程》和《河北省省级预算公开办法》规定，现将隆尧县司法局2021年部门预算公开如下：</w:t>
      </w:r>
    </w:p>
    <w:p w:rsidR="008D3AF7" w:rsidRDefault="00000000">
      <w:pPr>
        <w:ind w:firstLine="640"/>
        <w:rPr>
          <w:rFonts w:ascii="仿宋" w:eastAsia="仿宋" w:hAnsi="仿宋" w:cs="仿宋"/>
          <w:sz w:val="32"/>
          <w:szCs w:val="32"/>
        </w:rPr>
      </w:pPr>
      <w:r>
        <w:rPr>
          <w:rFonts w:ascii="仿宋" w:eastAsia="仿宋" w:hAnsi="仿宋" w:cs="仿宋" w:hint="eastAsia"/>
          <w:sz w:val="32"/>
          <w:szCs w:val="32"/>
        </w:rPr>
        <w:t>一、部门职责及机构设置情况</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根据《隆尧县司法局职能配置、内设机构和人员编制规定》， 隆尧县司法局的主要职责是：</w:t>
      </w:r>
    </w:p>
    <w:p w:rsidR="008D3AF7" w:rsidRDefault="00000000">
      <w:pPr>
        <w:adjustRightInd w:val="0"/>
        <w:spacing w:line="600" w:lineRule="exact"/>
        <w:ind w:firstLine="640"/>
        <w:rPr>
          <w:rFonts w:ascii="仿宋" w:eastAsia="仿宋" w:hAnsi="仿宋" w:cs="仿宋"/>
          <w:sz w:val="32"/>
          <w:szCs w:val="32"/>
        </w:rPr>
      </w:pPr>
      <w:r>
        <w:rPr>
          <w:rFonts w:ascii="仿宋" w:eastAsia="仿宋" w:hAnsi="仿宋" w:cs="仿宋" w:hint="eastAsia"/>
          <w:sz w:val="32"/>
          <w:szCs w:val="32"/>
        </w:rPr>
        <w:t>贯彻落实党中央和省委、市委、县委关于全面依法治县的方针政策和决策部署，坚持和加强党对全面依法治县的集中统一领导。</w:t>
      </w:r>
    </w:p>
    <w:p w:rsidR="008D3AF7" w:rsidRDefault="00000000">
      <w:pPr>
        <w:adjustRightInd w:val="0"/>
        <w:spacing w:line="600" w:lineRule="exact"/>
        <w:ind w:firstLine="640"/>
        <w:rPr>
          <w:rFonts w:ascii="仿宋" w:eastAsia="仿宋" w:hAnsi="仿宋" w:cs="仿宋"/>
          <w:sz w:val="32"/>
          <w:szCs w:val="32"/>
        </w:rPr>
      </w:pPr>
      <w:r>
        <w:rPr>
          <w:rFonts w:ascii="仿宋" w:eastAsia="仿宋" w:hAnsi="仿宋" w:cs="仿宋" w:hint="eastAsia"/>
          <w:sz w:val="32"/>
          <w:szCs w:val="32"/>
        </w:rPr>
        <w:t>（一）承担全面依法治</w:t>
      </w:r>
      <w:proofErr w:type="gramStart"/>
      <w:r>
        <w:rPr>
          <w:rFonts w:ascii="仿宋" w:eastAsia="仿宋" w:hAnsi="仿宋" w:cs="仿宋" w:hint="eastAsia"/>
          <w:sz w:val="32"/>
          <w:szCs w:val="32"/>
        </w:rPr>
        <w:t>县重大</w:t>
      </w:r>
      <w:proofErr w:type="gramEnd"/>
      <w:r>
        <w:rPr>
          <w:rFonts w:ascii="仿宋" w:eastAsia="仿宋" w:hAnsi="仿宋" w:cs="仿宋" w:hint="eastAsia"/>
          <w:sz w:val="32"/>
          <w:szCs w:val="32"/>
        </w:rPr>
        <w:t>问题的政策研究。组织协调有关方面提出全面依法治县中长期规划建议，负责有关重大决策部署督察工作。</w:t>
      </w:r>
    </w:p>
    <w:p w:rsidR="008D3AF7" w:rsidRDefault="00000000">
      <w:pPr>
        <w:adjustRightInd w:val="0"/>
        <w:spacing w:line="600" w:lineRule="exact"/>
        <w:ind w:firstLine="640"/>
        <w:rPr>
          <w:rFonts w:ascii="仿宋" w:eastAsia="仿宋" w:hAnsi="仿宋" w:cs="仿宋"/>
          <w:sz w:val="32"/>
          <w:szCs w:val="32"/>
        </w:rPr>
      </w:pPr>
      <w:r>
        <w:rPr>
          <w:rFonts w:ascii="仿宋" w:eastAsia="仿宋" w:hAnsi="仿宋" w:cs="仿宋" w:hint="eastAsia"/>
          <w:sz w:val="32"/>
          <w:szCs w:val="32"/>
        </w:rPr>
        <w:t>（二）负责县政府规范性文件起草、备案审查工作；负责对县政府政策措施、规范性文件和合同协议的合法性审核工作；负责审查县政府各部门报县政府审核的规范性文件，承办县政府交办的涉法事务。</w:t>
      </w:r>
    </w:p>
    <w:p w:rsidR="008D3AF7" w:rsidRDefault="00000000">
      <w:pPr>
        <w:adjustRightInd w:val="0"/>
        <w:spacing w:line="600" w:lineRule="exact"/>
        <w:ind w:firstLine="640"/>
        <w:rPr>
          <w:rFonts w:ascii="仿宋" w:eastAsia="仿宋" w:hAnsi="仿宋" w:cs="仿宋"/>
          <w:sz w:val="32"/>
          <w:szCs w:val="32"/>
        </w:rPr>
      </w:pPr>
      <w:r>
        <w:rPr>
          <w:rFonts w:ascii="仿宋" w:eastAsia="仿宋" w:hAnsi="仿宋" w:cs="仿宋" w:hint="eastAsia"/>
          <w:sz w:val="32"/>
          <w:szCs w:val="32"/>
        </w:rP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w:t>
      </w:r>
      <w:r>
        <w:rPr>
          <w:rFonts w:ascii="仿宋" w:eastAsia="仿宋" w:hAnsi="仿宋" w:cs="仿宋" w:hint="eastAsia"/>
          <w:sz w:val="32"/>
          <w:szCs w:val="32"/>
        </w:rPr>
        <w:lastRenderedPageBreak/>
        <w:t>县政府审理的行政复议裁决案件；指导、监督全县行政复议和行政应诉工作。</w:t>
      </w:r>
    </w:p>
    <w:p w:rsidR="008D3AF7" w:rsidRDefault="00000000">
      <w:pPr>
        <w:adjustRightInd w:val="0"/>
        <w:spacing w:line="600" w:lineRule="exact"/>
        <w:ind w:firstLine="640"/>
        <w:rPr>
          <w:rFonts w:ascii="仿宋" w:eastAsia="仿宋" w:hAnsi="仿宋" w:cs="仿宋"/>
          <w:sz w:val="32"/>
          <w:szCs w:val="32"/>
        </w:rPr>
      </w:pPr>
      <w:r>
        <w:rPr>
          <w:rFonts w:ascii="仿宋" w:eastAsia="仿宋" w:hAnsi="仿宋" w:cs="仿宋" w:hint="eastAsia"/>
          <w:sz w:val="32"/>
          <w:szCs w:val="32"/>
        </w:rP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rsidR="008D3AF7" w:rsidRDefault="00000000">
      <w:pPr>
        <w:adjustRightInd w:val="0"/>
        <w:spacing w:line="600" w:lineRule="exact"/>
        <w:ind w:firstLine="640"/>
        <w:rPr>
          <w:rFonts w:ascii="仿宋" w:eastAsia="仿宋" w:hAnsi="仿宋" w:cs="仿宋"/>
          <w:sz w:val="32"/>
          <w:szCs w:val="32"/>
        </w:rPr>
      </w:pPr>
      <w:r>
        <w:rPr>
          <w:rFonts w:ascii="仿宋" w:eastAsia="仿宋" w:hAnsi="仿宋" w:cs="仿宋" w:hint="eastAsia"/>
          <w:sz w:val="32"/>
          <w:szCs w:val="32"/>
        </w:rPr>
        <w:t>（五）负责制定全县公共法律服务体系建设规划并指导实施，统筹和布局城乡、区域法律服务资源。负责法律援助管理工作；指导、监督全县律师、公证、司法鉴定和基层法律服务管理工作。</w:t>
      </w:r>
    </w:p>
    <w:p w:rsidR="008D3AF7" w:rsidRDefault="00000000">
      <w:pPr>
        <w:adjustRightInd w:val="0"/>
        <w:spacing w:line="600" w:lineRule="exact"/>
        <w:ind w:firstLine="640"/>
        <w:rPr>
          <w:rFonts w:ascii="仿宋" w:eastAsia="仿宋" w:hAnsi="仿宋" w:cs="仿宋"/>
          <w:sz w:val="32"/>
          <w:szCs w:val="32"/>
        </w:rPr>
      </w:pPr>
      <w:r>
        <w:rPr>
          <w:rFonts w:ascii="仿宋" w:eastAsia="仿宋" w:hAnsi="仿宋" w:cs="仿宋" w:hint="eastAsia"/>
          <w:sz w:val="32"/>
          <w:szCs w:val="32"/>
        </w:rPr>
        <w:t>（六）负责本系统警车等物资装备管理工作；指导、监督本系统财务、装备、设施、场所等保障工作。</w:t>
      </w:r>
    </w:p>
    <w:p w:rsidR="008D3AF7" w:rsidRDefault="00000000">
      <w:pPr>
        <w:adjustRightInd w:val="0"/>
        <w:spacing w:line="600" w:lineRule="exact"/>
        <w:ind w:firstLine="640"/>
        <w:rPr>
          <w:rFonts w:ascii="仿宋" w:eastAsia="仿宋" w:hAnsi="仿宋" w:cs="仿宋"/>
          <w:sz w:val="32"/>
          <w:szCs w:val="32"/>
        </w:rPr>
      </w:pPr>
      <w:r>
        <w:rPr>
          <w:rFonts w:ascii="仿宋" w:eastAsia="仿宋" w:hAnsi="仿宋" w:cs="仿宋" w:hint="eastAsia"/>
          <w:sz w:val="32"/>
          <w:szCs w:val="32"/>
        </w:rPr>
        <w:t>（七）规划、协调、指导全县法治人才队伍建设相关工作。指导、监督本系统队伍建设。</w:t>
      </w:r>
    </w:p>
    <w:p w:rsidR="008D3AF7" w:rsidRDefault="00000000">
      <w:pPr>
        <w:adjustRightInd w:val="0"/>
        <w:spacing w:line="600" w:lineRule="exact"/>
        <w:ind w:firstLine="640"/>
        <w:rPr>
          <w:rFonts w:ascii="仿宋" w:eastAsia="仿宋" w:hAnsi="仿宋" w:cs="仿宋"/>
          <w:sz w:val="32"/>
          <w:szCs w:val="32"/>
        </w:rPr>
      </w:pPr>
      <w:r>
        <w:rPr>
          <w:rFonts w:ascii="仿宋" w:eastAsia="仿宋" w:hAnsi="仿宋" w:cs="仿宋" w:hint="eastAsia"/>
          <w:sz w:val="32"/>
          <w:szCs w:val="32"/>
        </w:rPr>
        <w:t>（八）完成县委、县政府交办的其他任务。</w:t>
      </w:r>
    </w:p>
    <w:p w:rsidR="008D3AF7" w:rsidRDefault="00000000">
      <w:pPr>
        <w:ind w:firstLineChars="200" w:firstLine="643"/>
        <w:rPr>
          <w:rFonts w:ascii="仿宋" w:eastAsia="仿宋" w:hAnsi="仿宋" w:cs="仿宋"/>
          <w:b/>
          <w:bCs/>
          <w:sz w:val="32"/>
          <w:szCs w:val="32"/>
        </w:rPr>
      </w:pPr>
      <w:r>
        <w:rPr>
          <w:rFonts w:ascii="仿宋" w:eastAsia="仿宋" w:hAnsi="仿宋" w:cs="仿宋" w:hint="eastAsia"/>
          <w:b/>
          <w:bCs/>
          <w:sz w:val="32"/>
          <w:szCs w:val="32"/>
        </w:rPr>
        <w:t>机构设置：</w:t>
      </w:r>
    </w:p>
    <w:p w:rsidR="008D3AF7" w:rsidRDefault="00000000">
      <w:pPr>
        <w:jc w:val="center"/>
        <w:outlineLvl w:val="0"/>
        <w:rPr>
          <w:rFonts w:ascii="仿宋" w:eastAsia="仿宋" w:hAnsi="仿宋" w:cs="仿宋"/>
          <w:sz w:val="32"/>
          <w:szCs w:val="32"/>
        </w:rPr>
      </w:pPr>
      <w:r>
        <w:rPr>
          <w:rFonts w:ascii="仿宋" w:eastAsia="仿宋" w:hAnsi="仿宋" w:cs="仿宋" w:hint="eastAsia"/>
          <w:sz w:val="32"/>
          <w:szCs w:val="32"/>
        </w:rPr>
        <w:t>隆尧县司法局机构设置情况</w:t>
      </w:r>
    </w:p>
    <w:tbl>
      <w:tblPr>
        <w:tblW w:w="845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92"/>
        <w:gridCol w:w="1743"/>
        <w:gridCol w:w="1698"/>
        <w:gridCol w:w="2517"/>
      </w:tblGrid>
      <w:tr w:rsidR="008D3AF7">
        <w:trPr>
          <w:trHeight w:val="300"/>
          <w:tblHeader/>
          <w:jc w:val="center"/>
        </w:trPr>
        <w:tc>
          <w:tcPr>
            <w:tcW w:w="2492" w:type="dxa"/>
            <w:vMerge w:val="restart"/>
            <w:vAlign w:val="center"/>
          </w:tcPr>
          <w:p w:rsidR="008D3AF7" w:rsidRDefault="00000000">
            <w:pPr>
              <w:spacing w:line="300" w:lineRule="exact"/>
              <w:jc w:val="center"/>
              <w:rPr>
                <w:rFonts w:ascii="仿宋" w:eastAsia="仿宋" w:hAnsi="仿宋" w:cs="仿宋"/>
                <w:b/>
                <w:bCs/>
                <w:sz w:val="32"/>
                <w:szCs w:val="32"/>
              </w:rPr>
            </w:pPr>
            <w:r>
              <w:rPr>
                <w:rFonts w:ascii="仿宋" w:eastAsia="仿宋" w:hAnsi="仿宋" w:cs="仿宋" w:hint="eastAsia"/>
                <w:b/>
                <w:bCs/>
                <w:sz w:val="32"/>
                <w:szCs w:val="32"/>
              </w:rPr>
              <w:t>单位名称</w:t>
            </w:r>
          </w:p>
        </w:tc>
        <w:tc>
          <w:tcPr>
            <w:tcW w:w="1743" w:type="dxa"/>
            <w:vMerge w:val="restart"/>
            <w:vAlign w:val="center"/>
          </w:tcPr>
          <w:p w:rsidR="008D3AF7" w:rsidRDefault="00000000">
            <w:pPr>
              <w:spacing w:line="300" w:lineRule="exact"/>
              <w:jc w:val="center"/>
              <w:rPr>
                <w:rFonts w:ascii="仿宋" w:eastAsia="仿宋" w:hAnsi="仿宋" w:cs="仿宋"/>
                <w:b/>
                <w:bCs/>
                <w:sz w:val="32"/>
                <w:szCs w:val="32"/>
              </w:rPr>
            </w:pPr>
            <w:r>
              <w:rPr>
                <w:rFonts w:ascii="仿宋" w:eastAsia="仿宋" w:hAnsi="仿宋" w:cs="仿宋" w:hint="eastAsia"/>
                <w:b/>
                <w:bCs/>
                <w:sz w:val="32"/>
                <w:szCs w:val="32"/>
              </w:rPr>
              <w:t>单位性质</w:t>
            </w:r>
          </w:p>
        </w:tc>
        <w:tc>
          <w:tcPr>
            <w:tcW w:w="1698" w:type="dxa"/>
            <w:vMerge w:val="restart"/>
            <w:vAlign w:val="center"/>
          </w:tcPr>
          <w:p w:rsidR="008D3AF7" w:rsidRDefault="00000000">
            <w:pPr>
              <w:spacing w:line="300" w:lineRule="exact"/>
              <w:jc w:val="center"/>
              <w:rPr>
                <w:rFonts w:ascii="仿宋" w:eastAsia="仿宋" w:hAnsi="仿宋" w:cs="仿宋"/>
                <w:b/>
                <w:bCs/>
                <w:sz w:val="32"/>
                <w:szCs w:val="32"/>
              </w:rPr>
            </w:pPr>
            <w:r>
              <w:rPr>
                <w:rFonts w:ascii="仿宋" w:eastAsia="仿宋" w:hAnsi="仿宋" w:cs="仿宋" w:hint="eastAsia"/>
                <w:b/>
                <w:bCs/>
                <w:sz w:val="32"/>
                <w:szCs w:val="32"/>
              </w:rPr>
              <w:t>单位规格</w:t>
            </w:r>
          </w:p>
        </w:tc>
        <w:tc>
          <w:tcPr>
            <w:tcW w:w="2517" w:type="dxa"/>
            <w:vMerge w:val="restart"/>
            <w:vAlign w:val="center"/>
          </w:tcPr>
          <w:p w:rsidR="008D3AF7" w:rsidRDefault="00000000">
            <w:pPr>
              <w:spacing w:line="300" w:lineRule="exact"/>
              <w:jc w:val="center"/>
              <w:rPr>
                <w:rFonts w:ascii="仿宋" w:eastAsia="仿宋" w:hAnsi="仿宋" w:cs="仿宋"/>
                <w:b/>
                <w:bCs/>
                <w:sz w:val="32"/>
                <w:szCs w:val="32"/>
              </w:rPr>
            </w:pPr>
            <w:r>
              <w:rPr>
                <w:rFonts w:ascii="仿宋" w:eastAsia="仿宋" w:hAnsi="仿宋" w:cs="仿宋" w:hint="eastAsia"/>
                <w:b/>
                <w:bCs/>
                <w:sz w:val="32"/>
                <w:szCs w:val="32"/>
              </w:rPr>
              <w:t>经费保障形式</w:t>
            </w:r>
          </w:p>
        </w:tc>
      </w:tr>
      <w:tr w:rsidR="008D3AF7">
        <w:trPr>
          <w:trHeight w:val="300"/>
          <w:tblHeader/>
          <w:jc w:val="center"/>
        </w:trPr>
        <w:tc>
          <w:tcPr>
            <w:tcW w:w="2492" w:type="dxa"/>
            <w:vMerge/>
            <w:vAlign w:val="center"/>
          </w:tcPr>
          <w:p w:rsidR="008D3AF7" w:rsidRDefault="008D3AF7">
            <w:pPr>
              <w:spacing w:line="300" w:lineRule="exact"/>
              <w:jc w:val="left"/>
              <w:outlineLvl w:val="0"/>
              <w:rPr>
                <w:rFonts w:ascii="仿宋" w:eastAsia="仿宋" w:hAnsi="仿宋" w:cs="仿宋"/>
                <w:sz w:val="32"/>
                <w:szCs w:val="32"/>
              </w:rPr>
            </w:pPr>
          </w:p>
        </w:tc>
        <w:tc>
          <w:tcPr>
            <w:tcW w:w="1743" w:type="dxa"/>
            <w:vMerge/>
            <w:vAlign w:val="center"/>
          </w:tcPr>
          <w:p w:rsidR="008D3AF7" w:rsidRDefault="008D3AF7">
            <w:pPr>
              <w:spacing w:line="300" w:lineRule="exact"/>
              <w:jc w:val="left"/>
              <w:outlineLvl w:val="0"/>
              <w:rPr>
                <w:rFonts w:ascii="仿宋" w:eastAsia="仿宋" w:hAnsi="仿宋" w:cs="仿宋"/>
                <w:sz w:val="32"/>
                <w:szCs w:val="32"/>
              </w:rPr>
            </w:pPr>
          </w:p>
        </w:tc>
        <w:tc>
          <w:tcPr>
            <w:tcW w:w="1698" w:type="dxa"/>
            <w:vMerge/>
            <w:vAlign w:val="center"/>
          </w:tcPr>
          <w:p w:rsidR="008D3AF7" w:rsidRDefault="008D3AF7">
            <w:pPr>
              <w:spacing w:line="300" w:lineRule="exact"/>
              <w:jc w:val="left"/>
              <w:outlineLvl w:val="0"/>
              <w:rPr>
                <w:rFonts w:ascii="仿宋" w:eastAsia="仿宋" w:hAnsi="仿宋" w:cs="仿宋"/>
                <w:sz w:val="32"/>
                <w:szCs w:val="32"/>
              </w:rPr>
            </w:pPr>
          </w:p>
        </w:tc>
        <w:tc>
          <w:tcPr>
            <w:tcW w:w="2517" w:type="dxa"/>
            <w:vMerge/>
            <w:vAlign w:val="center"/>
          </w:tcPr>
          <w:p w:rsidR="008D3AF7" w:rsidRDefault="008D3AF7">
            <w:pPr>
              <w:spacing w:line="300" w:lineRule="exact"/>
              <w:jc w:val="left"/>
              <w:outlineLvl w:val="0"/>
              <w:rPr>
                <w:rFonts w:ascii="仿宋" w:eastAsia="仿宋" w:hAnsi="仿宋" w:cs="仿宋"/>
                <w:sz w:val="32"/>
                <w:szCs w:val="32"/>
              </w:rPr>
            </w:pPr>
          </w:p>
        </w:tc>
      </w:tr>
      <w:tr w:rsidR="008D3AF7">
        <w:trPr>
          <w:trHeight w:val="600"/>
          <w:jc w:val="center"/>
        </w:trPr>
        <w:tc>
          <w:tcPr>
            <w:tcW w:w="2492" w:type="dxa"/>
            <w:vAlign w:val="center"/>
          </w:tcPr>
          <w:p w:rsidR="008D3AF7" w:rsidRDefault="00000000">
            <w:pPr>
              <w:spacing w:line="300" w:lineRule="exact"/>
              <w:jc w:val="center"/>
              <w:rPr>
                <w:rFonts w:ascii="仿宋" w:eastAsia="仿宋" w:hAnsi="仿宋" w:cs="仿宋"/>
                <w:sz w:val="32"/>
                <w:szCs w:val="32"/>
              </w:rPr>
            </w:pPr>
            <w:r>
              <w:rPr>
                <w:rFonts w:ascii="仿宋" w:eastAsia="仿宋" w:hAnsi="仿宋" w:cs="仿宋" w:hint="eastAsia"/>
                <w:sz w:val="32"/>
                <w:szCs w:val="32"/>
              </w:rPr>
              <w:t>隆尧县司法局</w:t>
            </w:r>
          </w:p>
        </w:tc>
        <w:tc>
          <w:tcPr>
            <w:tcW w:w="1743" w:type="dxa"/>
            <w:vAlign w:val="center"/>
          </w:tcPr>
          <w:p w:rsidR="008D3AF7" w:rsidRDefault="00000000">
            <w:pPr>
              <w:spacing w:line="300" w:lineRule="exact"/>
              <w:jc w:val="center"/>
              <w:rPr>
                <w:rFonts w:ascii="仿宋" w:eastAsia="仿宋" w:hAnsi="仿宋" w:cs="仿宋"/>
                <w:sz w:val="32"/>
                <w:szCs w:val="32"/>
              </w:rPr>
            </w:pPr>
            <w:r>
              <w:rPr>
                <w:rFonts w:ascii="仿宋" w:eastAsia="仿宋" w:hAnsi="仿宋" w:cs="仿宋" w:hint="eastAsia"/>
                <w:sz w:val="32"/>
                <w:szCs w:val="32"/>
              </w:rPr>
              <w:t>行政</w:t>
            </w:r>
          </w:p>
        </w:tc>
        <w:tc>
          <w:tcPr>
            <w:tcW w:w="1698" w:type="dxa"/>
            <w:vAlign w:val="center"/>
          </w:tcPr>
          <w:p w:rsidR="008D3AF7" w:rsidRDefault="00000000">
            <w:pPr>
              <w:spacing w:line="300" w:lineRule="exact"/>
              <w:jc w:val="center"/>
              <w:rPr>
                <w:rFonts w:ascii="仿宋" w:eastAsia="仿宋" w:hAnsi="仿宋" w:cs="仿宋"/>
                <w:sz w:val="32"/>
                <w:szCs w:val="32"/>
              </w:rPr>
            </w:pPr>
            <w:r>
              <w:rPr>
                <w:rFonts w:ascii="仿宋" w:eastAsia="仿宋" w:hAnsi="仿宋" w:cs="仿宋" w:hint="eastAsia"/>
                <w:sz w:val="32"/>
                <w:szCs w:val="32"/>
              </w:rPr>
              <w:t>正科级</w:t>
            </w:r>
          </w:p>
        </w:tc>
        <w:tc>
          <w:tcPr>
            <w:tcW w:w="2517" w:type="dxa"/>
            <w:vAlign w:val="center"/>
          </w:tcPr>
          <w:p w:rsidR="008D3AF7" w:rsidRDefault="00000000">
            <w:pPr>
              <w:spacing w:line="300" w:lineRule="exact"/>
              <w:jc w:val="center"/>
              <w:rPr>
                <w:rFonts w:ascii="仿宋" w:eastAsia="仿宋" w:hAnsi="仿宋" w:cs="仿宋"/>
                <w:sz w:val="32"/>
                <w:szCs w:val="32"/>
              </w:rPr>
            </w:pPr>
            <w:r>
              <w:rPr>
                <w:rFonts w:ascii="仿宋" w:eastAsia="仿宋" w:hAnsi="仿宋" w:cs="仿宋" w:hint="eastAsia"/>
                <w:sz w:val="32"/>
                <w:szCs w:val="32"/>
              </w:rPr>
              <w:t>财政拨款</w:t>
            </w:r>
          </w:p>
        </w:tc>
      </w:tr>
    </w:tbl>
    <w:p w:rsidR="008D3AF7" w:rsidRDefault="008D3AF7">
      <w:pPr>
        <w:rPr>
          <w:rFonts w:ascii="仿宋" w:eastAsia="仿宋" w:hAnsi="仿宋" w:cs="仿宋"/>
        </w:rPr>
      </w:pPr>
    </w:p>
    <w:p w:rsidR="008D3AF7" w:rsidRDefault="00000000">
      <w:pPr>
        <w:ind w:firstLine="640"/>
        <w:rPr>
          <w:rFonts w:ascii="仿宋" w:eastAsia="仿宋" w:hAnsi="仿宋" w:cs="仿宋"/>
          <w:sz w:val="32"/>
          <w:szCs w:val="32"/>
        </w:rPr>
      </w:pPr>
      <w:r>
        <w:rPr>
          <w:rFonts w:ascii="仿宋" w:eastAsia="仿宋" w:hAnsi="仿宋" w:cs="仿宋" w:hint="eastAsia"/>
          <w:sz w:val="32"/>
          <w:szCs w:val="32"/>
        </w:rPr>
        <w:t>二、部门预算安排的总体情况</w:t>
      </w:r>
    </w:p>
    <w:p w:rsidR="008D3AF7" w:rsidRDefault="00000000">
      <w:pPr>
        <w:ind w:firstLine="640"/>
        <w:rPr>
          <w:rFonts w:ascii="仿宋" w:eastAsia="仿宋" w:hAnsi="仿宋" w:cs="仿宋"/>
          <w:sz w:val="32"/>
          <w:szCs w:val="32"/>
        </w:rPr>
      </w:pPr>
      <w:r>
        <w:rPr>
          <w:rFonts w:ascii="仿宋" w:eastAsia="仿宋" w:hAnsi="仿宋" w:cs="仿宋" w:hint="eastAsia"/>
          <w:sz w:val="32"/>
          <w:szCs w:val="32"/>
        </w:rPr>
        <w:t>按照预算管理有关规定，目前我县部门预算的编制实行综合预</w:t>
      </w:r>
      <w:r>
        <w:rPr>
          <w:rFonts w:ascii="仿宋" w:eastAsia="仿宋" w:hAnsi="仿宋" w:cs="仿宋" w:hint="eastAsia"/>
          <w:sz w:val="32"/>
          <w:szCs w:val="32"/>
        </w:rPr>
        <w:lastRenderedPageBreak/>
        <w:t>算管理，即全部收入和支出都反映的预算。隆尧县司法局及所属事业单位的收支包含在部门预算中。</w:t>
      </w:r>
    </w:p>
    <w:p w:rsidR="008D3AF7" w:rsidRDefault="00000000">
      <w:pPr>
        <w:ind w:firstLine="640"/>
        <w:rPr>
          <w:rFonts w:ascii="仿宋" w:eastAsia="仿宋" w:hAnsi="仿宋" w:cs="仿宋"/>
          <w:sz w:val="32"/>
          <w:szCs w:val="32"/>
        </w:rPr>
      </w:pPr>
      <w:r>
        <w:rPr>
          <w:rFonts w:ascii="仿宋" w:eastAsia="仿宋" w:hAnsi="仿宋" w:cs="仿宋" w:hint="eastAsia"/>
          <w:sz w:val="32"/>
          <w:szCs w:val="32"/>
        </w:rPr>
        <w:t>1、收入说明</w:t>
      </w:r>
    </w:p>
    <w:p w:rsidR="008D3AF7" w:rsidRDefault="00000000">
      <w:pPr>
        <w:ind w:firstLine="640"/>
        <w:rPr>
          <w:rFonts w:ascii="仿宋" w:eastAsia="仿宋" w:hAnsi="仿宋" w:cs="仿宋"/>
          <w:sz w:val="32"/>
          <w:szCs w:val="32"/>
        </w:rPr>
      </w:pPr>
      <w:r>
        <w:rPr>
          <w:rFonts w:ascii="仿宋" w:eastAsia="仿宋" w:hAnsi="仿宋" w:cs="仿宋" w:hint="eastAsia"/>
          <w:sz w:val="32"/>
          <w:szCs w:val="32"/>
        </w:rPr>
        <w:t>反映本部门当年全部收入。2021年预算收入715.75万元，其中：一般公共预算收入715.75万元，基金预算收入0万元，财政专户核拨收入0万元，其他来源收入0万元。</w:t>
      </w:r>
    </w:p>
    <w:p w:rsidR="008D3AF7" w:rsidRDefault="00000000">
      <w:pPr>
        <w:ind w:firstLine="640"/>
        <w:rPr>
          <w:rFonts w:ascii="仿宋" w:eastAsia="仿宋" w:hAnsi="仿宋" w:cs="仿宋"/>
          <w:sz w:val="32"/>
          <w:szCs w:val="32"/>
        </w:rPr>
      </w:pPr>
      <w:r>
        <w:rPr>
          <w:rFonts w:ascii="仿宋" w:eastAsia="仿宋" w:hAnsi="仿宋" w:cs="仿宋" w:hint="eastAsia"/>
          <w:sz w:val="32"/>
          <w:szCs w:val="32"/>
        </w:rPr>
        <w:t>2、支出说明</w:t>
      </w:r>
    </w:p>
    <w:p w:rsidR="008D3AF7" w:rsidRDefault="00000000">
      <w:pPr>
        <w:ind w:firstLine="640"/>
        <w:rPr>
          <w:rFonts w:ascii="仿宋" w:eastAsia="仿宋" w:hAnsi="仿宋" w:cs="仿宋"/>
          <w:sz w:val="32"/>
          <w:szCs w:val="32"/>
        </w:rPr>
      </w:pPr>
      <w:r>
        <w:rPr>
          <w:rFonts w:ascii="仿宋" w:eastAsia="仿宋" w:hAnsi="仿宋" w:cs="仿宋" w:hint="eastAsia"/>
          <w:sz w:val="32"/>
          <w:szCs w:val="32"/>
        </w:rPr>
        <w:t>收支预算总表支出栏、基本支出表、项目支出表按经济分类和支出功能分类科目编制，反映隆尧县司法局年度部门预算中支出预算的总体情况。2021年部门支出预算为715.75万元，其中基本支出502.78万元，包括人员经费395.22万元和日常公用经费107.56万元；项目支出212.97万元，主要为一般行政管理事务支出100.12万元，基层司法业务支出30.23万元，普法宣传17支出万元，法律援助支出14.4万元，社区矫正支出29.02万元，法制建设6.2万元,律师管理16万元。</w:t>
      </w:r>
    </w:p>
    <w:p w:rsidR="008D3AF7" w:rsidRDefault="00000000">
      <w:pPr>
        <w:ind w:firstLine="640"/>
        <w:rPr>
          <w:rFonts w:ascii="仿宋" w:eastAsia="仿宋" w:hAnsi="仿宋" w:cs="仿宋"/>
          <w:sz w:val="32"/>
          <w:szCs w:val="32"/>
        </w:rPr>
      </w:pPr>
      <w:r>
        <w:rPr>
          <w:rFonts w:ascii="仿宋" w:eastAsia="仿宋" w:hAnsi="仿宋" w:cs="仿宋" w:hint="eastAsia"/>
          <w:sz w:val="32"/>
          <w:szCs w:val="32"/>
        </w:rPr>
        <w:t>3、比上年增减情况</w:t>
      </w:r>
    </w:p>
    <w:p w:rsidR="008D3AF7" w:rsidRDefault="00000000">
      <w:pPr>
        <w:ind w:firstLine="640"/>
        <w:rPr>
          <w:rFonts w:ascii="仿宋" w:eastAsia="仿宋" w:hAnsi="仿宋" w:cs="仿宋"/>
          <w:sz w:val="32"/>
          <w:szCs w:val="32"/>
        </w:rPr>
      </w:pPr>
      <w:r>
        <w:rPr>
          <w:rFonts w:ascii="仿宋" w:eastAsia="仿宋" w:hAnsi="仿宋" w:cs="仿宋" w:hint="eastAsia"/>
          <w:color w:val="000000"/>
          <w:sz w:val="32"/>
          <w:szCs w:val="32"/>
        </w:rPr>
        <w:t>2021年部门预算收支安排</w:t>
      </w:r>
      <w:r>
        <w:rPr>
          <w:rFonts w:ascii="仿宋" w:eastAsia="仿宋" w:hAnsi="仿宋" w:cs="仿宋" w:hint="eastAsia"/>
          <w:sz w:val="32"/>
          <w:szCs w:val="32"/>
        </w:rPr>
        <w:t>715.75</w:t>
      </w:r>
      <w:r>
        <w:rPr>
          <w:rFonts w:ascii="仿宋" w:eastAsia="仿宋" w:hAnsi="仿宋" w:cs="仿宋" w:hint="eastAsia"/>
          <w:color w:val="000000"/>
          <w:sz w:val="32"/>
          <w:szCs w:val="32"/>
        </w:rPr>
        <w:t>万元，</w:t>
      </w:r>
      <w:r>
        <w:rPr>
          <w:rFonts w:ascii="仿宋" w:eastAsia="仿宋" w:hAnsi="仿宋" w:cs="仿宋" w:hint="eastAsia"/>
          <w:sz w:val="32"/>
          <w:szCs w:val="32"/>
        </w:rPr>
        <w:t>较2020年预算增长25.86万元，其中：基本支出增长34.5万元，主要是人员增加导致人员经费和公用经费增加；项目支出减少8.64万元，主要是减少和合并部分项目。</w:t>
      </w:r>
    </w:p>
    <w:p w:rsidR="008D3AF7" w:rsidRDefault="00000000">
      <w:pPr>
        <w:autoSpaceDE w:val="0"/>
        <w:autoSpaceDN w:val="0"/>
        <w:adjustRightInd w:val="0"/>
        <w:ind w:firstLineChars="300" w:firstLine="960"/>
        <w:jc w:val="left"/>
        <w:rPr>
          <w:rFonts w:ascii="仿宋" w:eastAsia="仿宋" w:hAnsi="仿宋" w:cs="仿宋"/>
          <w:sz w:val="32"/>
          <w:szCs w:val="32"/>
        </w:rPr>
      </w:pPr>
      <w:r>
        <w:rPr>
          <w:rFonts w:ascii="仿宋" w:eastAsia="仿宋" w:hAnsi="仿宋" w:cs="仿宋" w:hint="eastAsia"/>
          <w:sz w:val="32"/>
          <w:szCs w:val="32"/>
        </w:rPr>
        <w:t>三、机关运行经费安排情况</w:t>
      </w:r>
    </w:p>
    <w:p w:rsidR="008D3AF7" w:rsidRDefault="00000000">
      <w:pPr>
        <w:autoSpaceDE w:val="0"/>
        <w:autoSpaceDN w:val="0"/>
        <w:adjustRightInd w:val="0"/>
        <w:ind w:left="198" w:firstLineChars="200" w:firstLine="640"/>
        <w:jc w:val="left"/>
        <w:rPr>
          <w:rFonts w:ascii="仿宋" w:eastAsia="仿宋" w:hAnsi="仿宋" w:cs="仿宋"/>
          <w:sz w:val="32"/>
          <w:szCs w:val="32"/>
        </w:rPr>
      </w:pPr>
      <w:r>
        <w:rPr>
          <w:rFonts w:ascii="仿宋" w:eastAsia="仿宋" w:hAnsi="仿宋" w:cs="仿宋" w:hint="eastAsia"/>
          <w:sz w:val="32"/>
          <w:szCs w:val="32"/>
        </w:rPr>
        <w:t>2021年，</w:t>
      </w:r>
      <w:proofErr w:type="gramStart"/>
      <w:r>
        <w:rPr>
          <w:rFonts w:ascii="仿宋" w:eastAsia="仿宋" w:hAnsi="仿宋" w:cs="仿宋" w:hint="eastAsia"/>
          <w:sz w:val="32"/>
          <w:szCs w:val="32"/>
        </w:rPr>
        <w:t>我部门</w:t>
      </w:r>
      <w:proofErr w:type="gramEnd"/>
      <w:r>
        <w:rPr>
          <w:rFonts w:ascii="仿宋" w:eastAsia="仿宋" w:hAnsi="仿宋" w:cs="仿宋" w:hint="eastAsia"/>
          <w:sz w:val="32"/>
          <w:szCs w:val="32"/>
        </w:rPr>
        <w:t>机关运行经费共计安排107.56万元，主要用</w:t>
      </w:r>
      <w:r>
        <w:rPr>
          <w:rFonts w:ascii="仿宋" w:eastAsia="仿宋" w:hAnsi="仿宋" w:cs="仿宋" w:hint="eastAsia"/>
          <w:sz w:val="32"/>
          <w:szCs w:val="32"/>
        </w:rPr>
        <w:lastRenderedPageBreak/>
        <w:t>于保证机关正常运转的办公费、邮电费、差旅费、福利费、一般设备购置费、办公用房水电费、办公用房取暖费、日常维修费、办公楼物业管理费，公务交通补贴等支出。</w:t>
      </w:r>
    </w:p>
    <w:p w:rsidR="008D3AF7" w:rsidRDefault="00000000">
      <w:pPr>
        <w:autoSpaceDE w:val="0"/>
        <w:autoSpaceDN w:val="0"/>
        <w:adjustRightInd w:val="0"/>
        <w:ind w:left="198" w:firstLineChars="200" w:firstLine="640"/>
        <w:jc w:val="left"/>
        <w:rPr>
          <w:rFonts w:ascii="仿宋" w:eastAsia="仿宋" w:hAnsi="仿宋" w:cs="仿宋"/>
          <w:sz w:val="32"/>
          <w:szCs w:val="32"/>
        </w:rPr>
      </w:pPr>
      <w:r>
        <w:rPr>
          <w:rFonts w:ascii="仿宋" w:eastAsia="仿宋" w:hAnsi="仿宋" w:cs="仿宋" w:hint="eastAsia"/>
          <w:sz w:val="32"/>
          <w:szCs w:val="32"/>
        </w:rPr>
        <w:t>四、财政拨款“三公”经费预算情况及增减变化原因</w:t>
      </w:r>
    </w:p>
    <w:p w:rsidR="008D3AF7" w:rsidRDefault="00000000">
      <w:pPr>
        <w:autoSpaceDE w:val="0"/>
        <w:autoSpaceDN w:val="0"/>
        <w:adjustRightInd w:val="0"/>
        <w:ind w:left="198" w:firstLineChars="200" w:firstLine="640"/>
        <w:jc w:val="left"/>
        <w:rPr>
          <w:rFonts w:ascii="仿宋" w:eastAsia="仿宋" w:hAnsi="仿宋" w:cs="仿宋"/>
          <w:sz w:val="32"/>
          <w:szCs w:val="32"/>
        </w:rPr>
      </w:pPr>
      <w:r>
        <w:rPr>
          <w:rFonts w:ascii="仿宋" w:eastAsia="仿宋" w:hAnsi="仿宋" w:cs="仿宋" w:hint="eastAsia"/>
          <w:sz w:val="32"/>
          <w:szCs w:val="32"/>
        </w:rPr>
        <w:t>2021年，</w:t>
      </w:r>
      <w:proofErr w:type="gramStart"/>
      <w:r>
        <w:rPr>
          <w:rFonts w:ascii="仿宋" w:eastAsia="仿宋" w:hAnsi="仿宋" w:cs="仿宋" w:hint="eastAsia"/>
          <w:sz w:val="32"/>
          <w:szCs w:val="32"/>
        </w:rPr>
        <w:t>我部门</w:t>
      </w:r>
      <w:proofErr w:type="gramEnd"/>
      <w:r>
        <w:rPr>
          <w:rFonts w:ascii="仿宋" w:eastAsia="仿宋" w:hAnsi="仿宋" w:cs="仿宋" w:hint="eastAsia"/>
          <w:sz w:val="32"/>
          <w:szCs w:val="32"/>
        </w:rPr>
        <w:t>财政拨款“三公”经费总数预算安排23.78万元，其中：因公出国（境）费0万元，与上年持平，无变化；公务用车购置及运维费23.48万元（其中：公务用车购置费23.48万元，公务用车运行维护费0万元)，较上年公务用车运行维护费无变化，公务用车购置费用增加9.78万元，主要是单位执法执勤车辆达到报废年限，车辆报废后，根据工作需要新购警用车辆一部；公务接待费0.3万元，较上年减少0.1万元，是按照中央八项规定精神，严格压缩不必要的公务接待的结果。</w:t>
      </w:r>
    </w:p>
    <w:p w:rsidR="008D3AF7" w:rsidRDefault="00000000">
      <w:pPr>
        <w:autoSpaceDE w:val="0"/>
        <w:autoSpaceDN w:val="0"/>
        <w:adjustRightInd w:val="0"/>
        <w:ind w:firstLineChars="200" w:firstLine="640"/>
        <w:jc w:val="left"/>
        <w:rPr>
          <w:rFonts w:ascii="仿宋" w:eastAsia="仿宋" w:hAnsi="仿宋" w:cs="仿宋"/>
          <w:sz w:val="32"/>
          <w:szCs w:val="32"/>
        </w:rPr>
      </w:pPr>
      <w:r>
        <w:rPr>
          <w:rFonts w:ascii="仿宋" w:eastAsia="仿宋" w:hAnsi="仿宋" w:cs="仿宋" w:hint="eastAsia"/>
          <w:sz w:val="32"/>
          <w:szCs w:val="32"/>
        </w:rPr>
        <w:t>五、绩效预算信息</w:t>
      </w:r>
    </w:p>
    <w:p w:rsidR="008D3AF7" w:rsidRDefault="00000000">
      <w:pPr>
        <w:spacing w:beforeLines="50" w:before="156" w:afterLines="50" w:after="156"/>
        <w:ind w:firstLineChars="200" w:firstLine="640"/>
        <w:jc w:val="left"/>
        <w:outlineLvl w:val="1"/>
        <w:rPr>
          <w:rFonts w:ascii="仿宋" w:eastAsia="仿宋" w:hAnsi="仿宋" w:cs="仿宋"/>
          <w:sz w:val="32"/>
          <w:szCs w:val="32"/>
        </w:rPr>
      </w:pPr>
      <w:bookmarkStart w:id="0" w:name="_Toc66347345"/>
      <w:bookmarkStart w:id="1" w:name="_Toc471398463"/>
      <w:r>
        <w:rPr>
          <w:rFonts w:ascii="仿宋" w:eastAsia="仿宋" w:hAnsi="仿宋" w:cs="仿宋" w:hint="eastAsia"/>
          <w:sz w:val="32"/>
          <w:szCs w:val="32"/>
        </w:rPr>
        <w:t>一、总体绩效目标</w:t>
      </w:r>
      <w:bookmarkEnd w:id="0"/>
      <w:r>
        <w:rPr>
          <w:rFonts w:ascii="仿宋" w:eastAsia="仿宋" w:hAnsi="仿宋" w:cs="仿宋" w:hint="eastAsia"/>
          <w:sz w:val="32"/>
          <w:szCs w:val="32"/>
        </w:rPr>
        <w:fldChar w:fldCharType="begin"/>
      </w:r>
      <w:r>
        <w:rPr>
          <w:rFonts w:ascii="仿宋" w:eastAsia="仿宋" w:hAnsi="仿宋" w:cs="仿宋" w:hint="eastAsia"/>
          <w:sz w:val="32"/>
          <w:szCs w:val="32"/>
        </w:rPr>
        <w:instrText xml:space="preserve"> TC 总体绩效目标 \f A \l 1 </w:instrText>
      </w:r>
      <w:r>
        <w:rPr>
          <w:rFonts w:ascii="仿宋" w:eastAsia="仿宋" w:hAnsi="仿宋" w:cs="仿宋" w:hint="eastAsia"/>
          <w:sz w:val="32"/>
          <w:szCs w:val="32"/>
        </w:rPr>
        <w:fldChar w:fldCharType="end"/>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坚持以习近平新时代中国特色社会主义思想为指导，全面贯彻党的十九大和十九届二中、三中、四中、五中全会精神，增强“四个意识”、坚定“四个自信”、做到“两个维护”，坚持党对司法行政工作的绝对领导，坚持以人民为中心的发展思想，坚持全面依法治国基本方略，紧紧围绕县委、县政府和县委政法委的工作大局和工作要求，为全县经济社会高质量赶超发展提供坚强的法治保障。</w:t>
      </w:r>
    </w:p>
    <w:p w:rsidR="008D3AF7" w:rsidRDefault="00000000">
      <w:pPr>
        <w:spacing w:beforeLines="50" w:before="156" w:afterLines="50" w:after="156" w:line="500" w:lineRule="exact"/>
        <w:ind w:firstLineChars="200" w:firstLine="640"/>
        <w:jc w:val="left"/>
        <w:outlineLvl w:val="1"/>
        <w:rPr>
          <w:rFonts w:ascii="仿宋" w:eastAsia="仿宋" w:hAnsi="仿宋" w:cs="仿宋"/>
          <w:sz w:val="32"/>
          <w:szCs w:val="32"/>
        </w:rPr>
      </w:pPr>
      <w:bookmarkStart w:id="2" w:name="_Toc66347346"/>
      <w:r>
        <w:rPr>
          <w:rFonts w:ascii="仿宋" w:eastAsia="仿宋" w:hAnsi="仿宋" w:cs="仿宋" w:hint="eastAsia"/>
          <w:sz w:val="32"/>
          <w:szCs w:val="32"/>
        </w:rPr>
        <w:t>二、分项绩效目标</w:t>
      </w:r>
      <w:bookmarkEnd w:id="2"/>
      <w:r>
        <w:rPr>
          <w:rFonts w:ascii="仿宋" w:eastAsia="仿宋" w:hAnsi="仿宋" w:cs="仿宋" w:hint="eastAsia"/>
          <w:sz w:val="32"/>
          <w:szCs w:val="32"/>
        </w:rPr>
        <w:fldChar w:fldCharType="begin"/>
      </w:r>
      <w:r>
        <w:rPr>
          <w:rFonts w:ascii="仿宋" w:eastAsia="仿宋" w:hAnsi="仿宋" w:cs="仿宋" w:hint="eastAsia"/>
          <w:sz w:val="32"/>
          <w:szCs w:val="32"/>
        </w:rPr>
        <w:instrText xml:space="preserve"> TC 分项绩效目标 \f A \l 1 </w:instrText>
      </w:r>
      <w:r>
        <w:rPr>
          <w:rFonts w:ascii="仿宋" w:eastAsia="仿宋" w:hAnsi="仿宋" w:cs="仿宋" w:hint="eastAsia"/>
          <w:sz w:val="32"/>
          <w:szCs w:val="32"/>
        </w:rPr>
        <w:fldChar w:fldCharType="end"/>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目标1：保障职工工资、福利正常发放,提高工作积极性，确保</w:t>
      </w:r>
      <w:r>
        <w:rPr>
          <w:rFonts w:ascii="仿宋" w:eastAsia="仿宋" w:hAnsi="仿宋" w:cs="仿宋" w:hint="eastAsia"/>
          <w:sz w:val="32"/>
          <w:szCs w:val="32"/>
        </w:rPr>
        <w:lastRenderedPageBreak/>
        <w:t>司法局各项工作正常运转，促进司法事业更快更好发展。</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目标2：保障必要办公条件,提高工作效率,确保司法局各项工作正常运转，促进司法事业更快更好发展。</w:t>
      </w:r>
    </w:p>
    <w:p w:rsidR="008D3AF7" w:rsidRDefault="00000000">
      <w:pPr>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 目标3：加强依法治县工作，开展依法治县专题培训，组织协调有关方面提出依法治县规划建议。                       </w:t>
      </w:r>
    </w:p>
    <w:p w:rsidR="008D3AF7" w:rsidRDefault="00000000">
      <w:pPr>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目标4:做好有关地方性法规与政府规章草案的起草、组织、审查、协调等工作与政府规范性文件的备案审查工作，对政府政策、措施、规范性文件和合同协议进行合法性审核，做好政府交办的涉法事务。                               </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目标5：统筹推进法治政府建设工作，指导监督政府依法行政工作，依法承办行政复议案件，做好受政府委托代理的行政诉讼案件的诉讼工作。       </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目标6：统筹规划法治社会建设工作，拟定法治宣传教育规划，组织实施普法宣传，做好全县人民调解工作与人民陪审员、监督员管理工作。                   </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目标7：做好全县社区矫正和刑满释放人员帮教安置工作。        </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目标8：做好律师、公证、法律援助、司法鉴定、基层法律服务管理工作。                                                   </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目标9：做好本系统服装和警车等物资设备管理工作。                       </w:t>
      </w:r>
    </w:p>
    <w:p w:rsidR="008D3AF7" w:rsidRDefault="00000000">
      <w:pPr>
        <w:spacing w:beforeLines="50" w:before="156" w:afterLines="50" w:after="156" w:line="500" w:lineRule="exact"/>
        <w:ind w:firstLineChars="200" w:firstLine="640"/>
        <w:jc w:val="left"/>
        <w:outlineLvl w:val="1"/>
        <w:rPr>
          <w:rFonts w:ascii="仿宋" w:eastAsia="仿宋" w:hAnsi="仿宋" w:cs="仿宋"/>
          <w:sz w:val="32"/>
          <w:szCs w:val="32"/>
        </w:rPr>
      </w:pPr>
      <w:bookmarkStart w:id="3" w:name="_Toc66347347"/>
      <w:r>
        <w:rPr>
          <w:rFonts w:ascii="仿宋" w:eastAsia="仿宋" w:hAnsi="仿宋" w:cs="仿宋" w:hint="eastAsia"/>
          <w:sz w:val="32"/>
          <w:szCs w:val="32"/>
        </w:rPr>
        <w:t>三、工作保障措施</w:t>
      </w:r>
      <w:bookmarkEnd w:id="3"/>
      <w:r>
        <w:rPr>
          <w:rFonts w:ascii="仿宋" w:eastAsia="仿宋" w:hAnsi="仿宋" w:cs="仿宋" w:hint="eastAsia"/>
          <w:sz w:val="32"/>
          <w:szCs w:val="32"/>
        </w:rPr>
        <w:fldChar w:fldCharType="begin"/>
      </w:r>
      <w:r>
        <w:rPr>
          <w:rFonts w:ascii="仿宋" w:eastAsia="仿宋" w:hAnsi="仿宋" w:cs="仿宋" w:hint="eastAsia"/>
          <w:sz w:val="32"/>
          <w:szCs w:val="32"/>
        </w:rPr>
        <w:instrText xml:space="preserve"> TC 工作保障措施 \f A \l 1 </w:instrText>
      </w:r>
      <w:r>
        <w:rPr>
          <w:rFonts w:ascii="仿宋" w:eastAsia="仿宋" w:hAnsi="仿宋" w:cs="仿宋" w:hint="eastAsia"/>
          <w:sz w:val="32"/>
          <w:szCs w:val="32"/>
        </w:rPr>
        <w:fldChar w:fldCharType="end"/>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（一）深入开展法治宣传教育和依法治理工作</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1、认真谋划“八五”普法规划，制定法治宣传教育计划，推动法治宣传教育和依法治理工作再上新台阶。加大学习宣传习近平依法治国新理念新思想新战略、宪法、重点领域法律法规的力度；加强重点对象尤其是领导干部和青少年的法治宣传教育；通过深入开</w:t>
      </w:r>
      <w:r>
        <w:rPr>
          <w:rFonts w:ascii="仿宋" w:eastAsia="仿宋" w:hAnsi="仿宋" w:cs="仿宋" w:hint="eastAsia"/>
          <w:sz w:val="32"/>
          <w:szCs w:val="32"/>
        </w:rPr>
        <w:lastRenderedPageBreak/>
        <w:t>展法治宣传教育和依法治理工作，推进全县经济建设、政治建设、文化建设、社会法治建设进程，在全县形成自觉尊法、学法、守法、用法的良好社会氛围。</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2、加强民法典的宣传教育，将民法典普法工作作为“十四五”时期普法工作的重要任务。强化“谁执法谁普法”普法责任制，对照民法典梳理分解各级各部门的普法责任制清单，将民法典学习宣传工作贯穿执法、司法和管理服务全过程。力争让民法典真正走到群众身边，走进群众心里，成为全体社会成员遵循的规范。</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3、加强法治政府建设，开展法治政府示范创建活动，努力做到依宪执政、依法行政、依规施政、依纪从政、公开公正，确保把各项工作全面纳入法治化轨道。</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（二）全力推进依法行政工作</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4、建设职责明确、依法行政的政府治理体系。健全政府法律顾问制度。完成行政复议改革。全面实行行政执法权责清单、证明事项清单制度。全面开展行政规范性文件合法性审核，全面推行行政执法事前、事中、事后公开，深入推进“三项制度”信息化、标准化、规范化建设水平。强化执法部门、乡（镇）行政执法监督工作，建立健全常态</w:t>
      </w:r>
      <w:proofErr w:type="gramStart"/>
      <w:r>
        <w:rPr>
          <w:rFonts w:ascii="仿宋" w:eastAsia="仿宋" w:hAnsi="仿宋" w:cs="仿宋" w:hint="eastAsia"/>
          <w:sz w:val="32"/>
          <w:szCs w:val="32"/>
        </w:rPr>
        <w:t>化行政</w:t>
      </w:r>
      <w:proofErr w:type="gramEnd"/>
      <w:r>
        <w:rPr>
          <w:rFonts w:ascii="仿宋" w:eastAsia="仿宋" w:hAnsi="仿宋" w:cs="仿宋" w:hint="eastAsia"/>
          <w:sz w:val="32"/>
          <w:szCs w:val="32"/>
        </w:rPr>
        <w:t>监督机制。力争实现行政执法法治化水平进一步提高。</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（三）进一步加强人民调解工作</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5、深化完善人民调解组织建设，大力加强行业性、专业</w:t>
      </w:r>
      <w:proofErr w:type="gramStart"/>
      <w:r>
        <w:rPr>
          <w:rFonts w:ascii="仿宋" w:eastAsia="仿宋" w:hAnsi="仿宋" w:cs="仿宋" w:hint="eastAsia"/>
          <w:sz w:val="32"/>
          <w:szCs w:val="32"/>
        </w:rPr>
        <w:t>性人民</w:t>
      </w:r>
      <w:proofErr w:type="gramEnd"/>
      <w:r>
        <w:rPr>
          <w:rFonts w:ascii="仿宋" w:eastAsia="仿宋" w:hAnsi="仿宋" w:cs="仿宋" w:hint="eastAsia"/>
          <w:sz w:val="32"/>
          <w:szCs w:val="32"/>
        </w:rPr>
        <w:t>调解组织建设，积极推进个人品牌调解室建设，不断扩大人民调解覆盖面，推动人民调解工作向深层次、高水平、宽领域发展。着力强化人民调解员队伍建设，加强业务培训、吸收法律专业人员加入专职调解员队伍，推进人民调解员队伍的专业化发展。</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6、积极探索建立“矛盾纠纷多元化解机制”衔接配合工作机制。进一步加大协调配合力度，会同相关部门积极探索建立人民调解、</w:t>
      </w:r>
      <w:r>
        <w:rPr>
          <w:rFonts w:ascii="仿宋" w:eastAsia="仿宋" w:hAnsi="仿宋" w:cs="仿宋" w:hint="eastAsia"/>
          <w:sz w:val="32"/>
          <w:szCs w:val="32"/>
        </w:rPr>
        <w:lastRenderedPageBreak/>
        <w:t>行政调解、司法调解衔接配合的“矛盾纠纷多元化解”工作机制，不断发挥人民调解在维护稳定工作中的基础性作用。</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（四）做好社区矫正、安置帮教工作</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7、进一步加强组织网络建设，建立司法所、派出所、村（居）委会与家庭齐抓共管的工作机制，确保实现全天</w:t>
      </w:r>
      <w:r w:rsidR="0033618B">
        <w:rPr>
          <w:rFonts w:ascii="仿宋" w:eastAsia="仿宋" w:hAnsi="仿宋" w:cs="仿宋" w:hint="eastAsia"/>
          <w:sz w:val="32"/>
          <w:szCs w:val="32"/>
        </w:rPr>
        <w:t>候</w:t>
      </w:r>
      <w:r>
        <w:rPr>
          <w:rFonts w:ascii="仿宋" w:eastAsia="仿宋" w:hAnsi="仿宋" w:cs="仿宋" w:hint="eastAsia"/>
          <w:sz w:val="32"/>
          <w:szCs w:val="32"/>
        </w:rPr>
        <w:t>、无缝隙管控。落实好刑满释放安置帮教人员管理教育帮扶，健全完善刑满释放安置帮教工作机制，加强日常衔接管理，落实好防范措施，确保重点对象不脱管、</w:t>
      </w:r>
      <w:proofErr w:type="gramStart"/>
      <w:r>
        <w:rPr>
          <w:rFonts w:ascii="仿宋" w:eastAsia="仿宋" w:hAnsi="仿宋" w:cs="仿宋" w:hint="eastAsia"/>
          <w:sz w:val="32"/>
          <w:szCs w:val="32"/>
        </w:rPr>
        <w:t>不</w:t>
      </w:r>
      <w:proofErr w:type="gramEnd"/>
      <w:r>
        <w:rPr>
          <w:rFonts w:ascii="仿宋" w:eastAsia="仿宋" w:hAnsi="仿宋" w:cs="仿宋" w:hint="eastAsia"/>
          <w:sz w:val="32"/>
          <w:szCs w:val="32"/>
        </w:rPr>
        <w:t>失控，实现安置帮教工作管理水平进一步提升。</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（五）做好公共法律服务工作</w:t>
      </w:r>
    </w:p>
    <w:p w:rsidR="008D3AF7" w:rsidRDefault="00000000">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 xml:space="preserve">8、完善公共法律服务体系建设，推进公共法律服务实体平台规范运行。法律援助功能进一步发挥，法律援助覆盖面进一步扩大，经费保障体制进一步优化，更多的弱势群众获得法律援助；进一步加强律师及公证行业管理，完善律师工作管理体制，积极推进律师及公证业务工作的创新，为人民群众提供优质高效的法律服务。                          </w:t>
      </w:r>
    </w:p>
    <w:p w:rsidR="008D3AF7" w:rsidRDefault="00000000">
      <w:pPr>
        <w:autoSpaceDE w:val="0"/>
        <w:autoSpaceDN w:val="0"/>
        <w:adjustRightInd w:val="0"/>
        <w:ind w:left="198" w:firstLineChars="200" w:firstLine="640"/>
        <w:jc w:val="left"/>
        <w:rPr>
          <w:rFonts w:ascii="仿宋" w:eastAsia="仿宋" w:hAnsi="仿宋" w:cs="仿宋"/>
          <w:sz w:val="32"/>
          <w:szCs w:val="32"/>
        </w:rPr>
      </w:pPr>
      <w:r>
        <w:rPr>
          <w:rFonts w:ascii="仿宋" w:eastAsia="仿宋" w:hAnsi="仿宋" w:cs="仿宋" w:hint="eastAsia"/>
          <w:sz w:val="32"/>
          <w:szCs w:val="32"/>
        </w:rPr>
        <w:t>（四）预算项目绩效目标</w:t>
      </w:r>
    </w:p>
    <w:p w:rsidR="008D3AF7" w:rsidRDefault="00000000">
      <w:pPr>
        <w:ind w:firstLineChars="200" w:firstLine="562"/>
        <w:jc w:val="left"/>
        <w:outlineLvl w:val="3"/>
        <w:rPr>
          <w:rFonts w:ascii="仿宋" w:eastAsia="仿宋" w:hAnsi="仿宋" w:cs="仿宋"/>
          <w:b/>
          <w:sz w:val="28"/>
        </w:rPr>
      </w:pPr>
      <w:bookmarkStart w:id="4" w:name="_Toc66347348"/>
      <w:bookmarkEnd w:id="1"/>
      <w:r>
        <w:rPr>
          <w:rFonts w:ascii="仿宋" w:eastAsia="仿宋" w:hAnsi="仿宋" w:cs="仿宋" w:hint="eastAsia"/>
          <w:b/>
          <w:sz w:val="28"/>
        </w:rPr>
        <w:t>1.人民调解经费绩效目标表</w:t>
      </w:r>
      <w:bookmarkEnd w:id="4"/>
      <w:r>
        <w:rPr>
          <w:rFonts w:ascii="仿宋" w:eastAsia="仿宋" w:hAnsi="仿宋" w:cs="仿宋" w:hint="eastAsia"/>
        </w:rPr>
        <w:fldChar w:fldCharType="begin"/>
      </w:r>
      <w:r>
        <w:rPr>
          <w:rFonts w:ascii="仿宋" w:eastAsia="仿宋" w:hAnsi="仿宋" w:cs="仿宋" w:hint="eastAsia"/>
          <w:b/>
          <w:sz w:val="28"/>
        </w:rPr>
        <w:instrText xml:space="preserve"> TC 1、人民调解经费绩效目标表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1305252104669UCXPZU47</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人民调解经费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302300.00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302300.00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组织、指导社会组织和志愿者开展法律服务工作，指导人民调解工作稳步进行。</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1.指导全县人民调解工作。</w:t>
            </w:r>
          </w:p>
          <w:p w:rsidR="008D3AF7" w:rsidRDefault="00000000">
            <w:pPr>
              <w:spacing w:line="300" w:lineRule="exact"/>
              <w:jc w:val="left"/>
              <w:rPr>
                <w:rFonts w:ascii="仿宋" w:eastAsia="仿宋" w:hAnsi="仿宋" w:cs="仿宋"/>
              </w:rPr>
            </w:pPr>
            <w:r>
              <w:rPr>
                <w:rFonts w:ascii="仿宋" w:eastAsia="仿宋" w:hAnsi="仿宋" w:cs="仿宋" w:hint="eastAsia"/>
              </w:rPr>
              <w:t>2.提高调解结案率。</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人民调解员培训情况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人民调解员培训次数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≥2次</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依据培训次数</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调解卷宗情况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审核通过的规范调解卷宗数量</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≥1600件</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上年情况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案件、资料上报及时率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案件、资料上报及时率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一季度一报</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上级要求</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成本控制</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成本控制</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符合年初预算数</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预算数</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矛盾纠纷案件调解情况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调解成功率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≥98.5%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矛盾纠纷化解情况</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人民群众对调解案件的反馈</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群众满意度</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依据群众意见</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5" w:name="_Toc66347349"/>
      <w:r>
        <w:rPr>
          <w:rFonts w:ascii="仿宋" w:eastAsia="仿宋" w:hAnsi="仿宋" w:cs="仿宋" w:hint="eastAsia"/>
          <w:b/>
          <w:sz w:val="28"/>
        </w:rPr>
        <w:t>2.</w:t>
      </w:r>
      <w:proofErr w:type="gramStart"/>
      <w:r>
        <w:rPr>
          <w:rFonts w:ascii="仿宋" w:eastAsia="仿宋" w:hAnsi="仿宋" w:cs="仿宋" w:hint="eastAsia"/>
          <w:b/>
          <w:sz w:val="28"/>
        </w:rPr>
        <w:t>冀财政</w:t>
      </w:r>
      <w:proofErr w:type="gramEnd"/>
      <w:r>
        <w:rPr>
          <w:rFonts w:ascii="仿宋" w:eastAsia="仿宋" w:hAnsi="仿宋" w:cs="仿宋" w:hint="eastAsia"/>
          <w:b/>
          <w:sz w:val="28"/>
        </w:rPr>
        <w:t>法[2020]74号/提前下达2021年社区矫正补助资金绩效目标表</w:t>
      </w:r>
      <w:bookmarkEnd w:id="5"/>
      <w:r>
        <w:rPr>
          <w:rFonts w:ascii="仿宋" w:eastAsia="仿宋" w:hAnsi="仿宋" w:cs="仿宋" w:hint="eastAsia"/>
        </w:rPr>
        <w:fldChar w:fldCharType="begin"/>
      </w:r>
      <w:r>
        <w:rPr>
          <w:rFonts w:ascii="仿宋" w:eastAsia="仿宋" w:hAnsi="仿宋" w:cs="仿宋" w:hint="eastAsia"/>
          <w:b/>
          <w:sz w:val="28"/>
        </w:rPr>
        <w:instrText xml:space="preserve"> TC 2、冀财政法[2020]74号/提前下达2021年社区矫正补助资金绩效目标表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130525210A44IND66CR3N</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法[2020]74号/提前下达2021年社区矫正补助资金</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70200.00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70200.00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省级补助地方社区矫正业务资金。</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1.保障社区矫正工作正常开展。</w:t>
            </w:r>
          </w:p>
          <w:p w:rsidR="008D3AF7" w:rsidRDefault="00000000">
            <w:pPr>
              <w:spacing w:line="300" w:lineRule="exact"/>
              <w:jc w:val="left"/>
              <w:rPr>
                <w:rFonts w:ascii="仿宋" w:eastAsia="仿宋" w:hAnsi="仿宋" w:cs="仿宋"/>
              </w:rPr>
            </w:pPr>
            <w:r>
              <w:rPr>
                <w:rFonts w:ascii="仿宋" w:eastAsia="仿宋" w:hAnsi="仿宋" w:cs="仿宋" w:hint="eastAsia"/>
              </w:rPr>
              <w:t>2.维护社会和谐稳定。</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社区矫正量</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社区矫正人数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≥200人次</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依据接收情况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社区矫正人员再次犯罪情况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再犯罪降低率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&lt;0.2百分比</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依据犯罪情况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审前调查时间</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及时完成审前调查</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≤10天</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依据上级文件</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人均费用</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人均管理费用</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≤2000元</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依据省厅测算标准</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社会稳定水平</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服刑人员信息核查率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100百分比</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依据社区服刑人员信息</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群众社会矫正工作的整体满意度</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≥95百分比</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满意度测评</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6" w:name="_Toc66347350"/>
      <w:r>
        <w:rPr>
          <w:rFonts w:ascii="仿宋" w:eastAsia="仿宋" w:hAnsi="仿宋" w:cs="仿宋" w:hint="eastAsia"/>
          <w:b/>
          <w:sz w:val="28"/>
        </w:rPr>
        <w:t>3.</w:t>
      </w:r>
      <w:proofErr w:type="gramStart"/>
      <w:r>
        <w:rPr>
          <w:rFonts w:ascii="仿宋" w:eastAsia="仿宋" w:hAnsi="仿宋" w:cs="仿宋" w:hint="eastAsia"/>
          <w:b/>
          <w:sz w:val="28"/>
        </w:rPr>
        <w:t>冀财政</w:t>
      </w:r>
      <w:proofErr w:type="gramEnd"/>
      <w:r>
        <w:rPr>
          <w:rFonts w:ascii="仿宋" w:eastAsia="仿宋" w:hAnsi="仿宋" w:cs="仿宋" w:hint="eastAsia"/>
          <w:b/>
          <w:sz w:val="28"/>
        </w:rPr>
        <w:t>法[2020]70号/中央/政法纪检监察转移支付资金(装备经费)绩效目标表</w:t>
      </w:r>
      <w:bookmarkEnd w:id="6"/>
      <w:r>
        <w:rPr>
          <w:rFonts w:ascii="仿宋" w:eastAsia="仿宋" w:hAnsi="仿宋" w:cs="仿宋" w:hint="eastAsia"/>
        </w:rPr>
        <w:fldChar w:fldCharType="begin"/>
      </w:r>
      <w:r>
        <w:rPr>
          <w:rFonts w:ascii="仿宋" w:eastAsia="仿宋" w:hAnsi="仿宋" w:cs="仿宋" w:hint="eastAsia"/>
          <w:b/>
          <w:sz w:val="28"/>
        </w:rPr>
        <w:instrText xml:space="preserve"> TC 3、冀财政法[2020]70号/中央/政法纪检监察转移支付资金(装备经费)绩效目标表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13052521BCFSXSGG0VM7P</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法[2020]70号/中央/政法纪检监察转移支付资金(装备经费)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234800.00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234800.00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为提高基层司法行政机关的业务装备水平，保障基层司法行政机关的办案业务质量，根据</w:t>
            </w:r>
            <w:proofErr w:type="gramStart"/>
            <w:r>
              <w:rPr>
                <w:rFonts w:ascii="仿宋" w:eastAsia="仿宋" w:hAnsi="仿宋" w:cs="仿宋" w:hint="eastAsia"/>
              </w:rPr>
              <w:t>冀财行【2010】</w:t>
            </w:r>
            <w:proofErr w:type="gramEnd"/>
            <w:r>
              <w:rPr>
                <w:rFonts w:ascii="仿宋" w:eastAsia="仿宋" w:hAnsi="仿宋" w:cs="仿宋" w:hint="eastAsia"/>
              </w:rPr>
              <w:t>118号河北省县</w:t>
            </w:r>
            <w:proofErr w:type="gramStart"/>
            <w:r>
              <w:rPr>
                <w:rFonts w:ascii="仿宋" w:eastAsia="仿宋" w:hAnsi="仿宋" w:cs="仿宋" w:hint="eastAsia"/>
              </w:rPr>
              <w:t>级司法</w:t>
            </w:r>
            <w:proofErr w:type="gramEnd"/>
            <w:r>
              <w:rPr>
                <w:rFonts w:ascii="仿宋" w:eastAsia="仿宋" w:hAnsi="仿宋" w:cs="仿宋" w:hint="eastAsia"/>
              </w:rPr>
              <w:t>行政机关基本业务装备配备实施标准要求，结合我局工作实际进行业务装备的采购。</w:t>
            </w:r>
          </w:p>
          <w:p w:rsidR="008D3AF7" w:rsidRDefault="008D3AF7">
            <w:pPr>
              <w:spacing w:line="300" w:lineRule="exact"/>
              <w:jc w:val="left"/>
              <w:rPr>
                <w:rFonts w:ascii="仿宋" w:eastAsia="仿宋" w:hAnsi="仿宋" w:cs="仿宋"/>
              </w:rPr>
            </w:pP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1.提高基层司法行政机关业务装备水平。</w:t>
            </w:r>
          </w:p>
          <w:p w:rsidR="008D3AF7" w:rsidRDefault="00000000">
            <w:pPr>
              <w:spacing w:line="300" w:lineRule="exact"/>
              <w:jc w:val="left"/>
              <w:rPr>
                <w:rFonts w:ascii="仿宋" w:eastAsia="仿宋" w:hAnsi="仿宋" w:cs="仿宋"/>
              </w:rPr>
            </w:pPr>
            <w:r>
              <w:rPr>
                <w:rFonts w:ascii="仿宋" w:eastAsia="仿宋" w:hAnsi="仿宋" w:cs="仿宋" w:hint="eastAsia"/>
              </w:rPr>
              <w:t>2.做好业务装备更新工作。</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装备数量</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业务装备配备情况</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达到司法行政机关业务装备配备标准</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上级文件</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正常使用率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正常使用率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装备使用情况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设备维修及时率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设备维修及时率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装备维修情况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项目实际支出是否控制在预算内</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项目实际支出是否控制在预算内</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按照预算计划购买装备</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预算安排情况</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满足业务工作情况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业务装配备比例</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装备配备情况</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机关单位工作人员满意度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调查</w:t>
            </w:r>
            <w:proofErr w:type="gramStart"/>
            <w:r>
              <w:rPr>
                <w:rFonts w:ascii="仿宋" w:eastAsia="仿宋" w:hAnsi="仿宋" w:cs="仿宋" w:hint="eastAsia"/>
              </w:rPr>
              <w:t>中机关</w:t>
            </w:r>
            <w:proofErr w:type="gramEnd"/>
            <w:r>
              <w:rPr>
                <w:rFonts w:ascii="仿宋" w:eastAsia="仿宋" w:hAnsi="仿宋" w:cs="仿宋" w:hint="eastAsia"/>
              </w:rPr>
              <w:t>单位人员对装备使用情况满意和较满意的人数占调查总人数的比率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满意度测评</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7" w:name="_Toc66347351"/>
      <w:r>
        <w:rPr>
          <w:rFonts w:ascii="仿宋" w:eastAsia="仿宋" w:hAnsi="仿宋" w:cs="仿宋" w:hint="eastAsia"/>
          <w:b/>
          <w:sz w:val="28"/>
        </w:rPr>
        <w:t>4.</w:t>
      </w:r>
      <w:proofErr w:type="gramStart"/>
      <w:r>
        <w:rPr>
          <w:rFonts w:ascii="仿宋" w:eastAsia="仿宋" w:hAnsi="仿宋" w:cs="仿宋" w:hint="eastAsia"/>
          <w:b/>
          <w:sz w:val="28"/>
        </w:rPr>
        <w:t>冀财政</w:t>
      </w:r>
      <w:proofErr w:type="gramEnd"/>
      <w:r>
        <w:rPr>
          <w:rFonts w:ascii="仿宋" w:eastAsia="仿宋" w:hAnsi="仿宋" w:cs="仿宋" w:hint="eastAsia"/>
          <w:b/>
          <w:sz w:val="28"/>
        </w:rPr>
        <w:t>法[2020]70号/中央/政法纪检监察转移支付资金（业务经费）绩效目标表</w:t>
      </w:r>
      <w:bookmarkEnd w:id="7"/>
      <w:r>
        <w:rPr>
          <w:rFonts w:ascii="仿宋" w:eastAsia="仿宋" w:hAnsi="仿宋" w:cs="仿宋" w:hint="eastAsia"/>
        </w:rPr>
        <w:fldChar w:fldCharType="begin"/>
      </w:r>
      <w:r>
        <w:rPr>
          <w:rFonts w:ascii="仿宋" w:eastAsia="仿宋" w:hAnsi="仿宋" w:cs="仿宋" w:hint="eastAsia"/>
          <w:b/>
          <w:sz w:val="28"/>
        </w:rPr>
        <w:instrText xml:space="preserve"> TC 4、冀财政法[2020]70号/中央/政法纪检监察转移支付资金（业务经费）绩效目标表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13052521CGC5HPR1XGVQX</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法[2020]70号/中央/政法纪检监察转移支付资金（业务经费）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445200.00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445200.00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政法转移支付资金有效的缓解了基层司法行政机关办案（业务）经费的不足，提高了基层司法行政机关人员的工作积极性，大大提高了业务工作水平和质量，有力的维护了当地的社会和谐稳定。</w:t>
            </w:r>
          </w:p>
          <w:p w:rsidR="008D3AF7" w:rsidRDefault="008D3AF7">
            <w:pPr>
              <w:spacing w:line="300" w:lineRule="exact"/>
              <w:jc w:val="left"/>
              <w:rPr>
                <w:rFonts w:ascii="仿宋" w:eastAsia="仿宋" w:hAnsi="仿宋" w:cs="仿宋"/>
              </w:rPr>
            </w:pP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1.提高人民法律意识。</w:t>
            </w:r>
          </w:p>
          <w:p w:rsidR="008D3AF7" w:rsidRDefault="00000000">
            <w:pPr>
              <w:spacing w:line="300" w:lineRule="exact"/>
              <w:jc w:val="left"/>
              <w:rPr>
                <w:rFonts w:ascii="仿宋" w:eastAsia="仿宋" w:hAnsi="仿宋" w:cs="仿宋"/>
              </w:rPr>
            </w:pPr>
            <w:r>
              <w:rPr>
                <w:rFonts w:ascii="仿宋" w:eastAsia="仿宋" w:hAnsi="仿宋" w:cs="仿宋" w:hint="eastAsia"/>
              </w:rPr>
              <w:t>2.增强法治队伍建设。</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普法宣传品数量</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发放普法宣传品数量</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≥3000册</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年初工作计划</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执法监督成效</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执法监督成效</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行政执法规范化水平</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上级关于行政执法文件</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行政复议案件办结时限</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行政复议案件办结时限</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是否在规定时间内办结</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行政复议法</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参加培训人均成本</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参加培训人均成本</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≤370元</w:t>
            </w:r>
          </w:p>
        </w:tc>
        <w:tc>
          <w:tcPr>
            <w:tcW w:w="1701"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县培训</w:t>
            </w:r>
            <w:proofErr w:type="gramEnd"/>
            <w:r>
              <w:rPr>
                <w:rFonts w:ascii="仿宋" w:eastAsia="仿宋" w:hAnsi="仿宋" w:cs="仿宋" w:hint="eastAsia"/>
              </w:rPr>
              <w:t>文件</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执法人员培训情况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执法人员培训率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根据培训计划</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满意度95%以上</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满意度95%以上</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满意度测评</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8" w:name="_Toc66347352"/>
      <w:r>
        <w:rPr>
          <w:rFonts w:ascii="仿宋" w:eastAsia="仿宋" w:hAnsi="仿宋" w:cs="仿宋" w:hint="eastAsia"/>
          <w:b/>
          <w:sz w:val="28"/>
        </w:rPr>
        <w:t>5.法治政府建设费绩效目标表</w:t>
      </w:r>
      <w:bookmarkEnd w:id="8"/>
      <w:r>
        <w:rPr>
          <w:rFonts w:ascii="仿宋" w:eastAsia="仿宋" w:hAnsi="仿宋" w:cs="仿宋" w:hint="eastAsia"/>
        </w:rPr>
        <w:fldChar w:fldCharType="begin"/>
      </w:r>
      <w:r>
        <w:rPr>
          <w:rFonts w:ascii="仿宋" w:eastAsia="仿宋" w:hAnsi="仿宋" w:cs="仿宋" w:hint="eastAsia"/>
          <w:b/>
          <w:sz w:val="28"/>
        </w:rPr>
        <w:instrText xml:space="preserve"> TC 5、法治政府建设费绩效目标表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13052521DWYH26UQAYNT6</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法治政府建设费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62000.00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62000.00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组织开展规范性文件清理工作，负责规范性文件审查备案，监督指导全县行政执法工作，指导全县行政裁决工作，承办行政罚没许可证的审核、备案、发放等工作。</w:t>
            </w:r>
          </w:p>
          <w:p w:rsidR="008D3AF7" w:rsidRDefault="008D3AF7">
            <w:pPr>
              <w:spacing w:line="300" w:lineRule="exact"/>
              <w:jc w:val="left"/>
              <w:rPr>
                <w:rFonts w:ascii="仿宋" w:eastAsia="仿宋" w:hAnsi="仿宋" w:cs="仿宋"/>
              </w:rPr>
            </w:pP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1.做好政府规范性文件的备案审查工作，做好政府交办涉法事务。</w:t>
            </w:r>
          </w:p>
          <w:p w:rsidR="008D3AF7" w:rsidRDefault="00000000">
            <w:pPr>
              <w:spacing w:line="300" w:lineRule="exact"/>
              <w:jc w:val="left"/>
              <w:rPr>
                <w:rFonts w:ascii="仿宋" w:eastAsia="仿宋" w:hAnsi="仿宋" w:cs="仿宋"/>
              </w:rPr>
            </w:pPr>
            <w:r>
              <w:rPr>
                <w:rFonts w:ascii="仿宋" w:eastAsia="仿宋" w:hAnsi="仿宋" w:cs="仿宋" w:hint="eastAsia"/>
              </w:rPr>
              <w:t>2.统筹推进法治政府建设工作，指导监督政府依法行政工作，依法承办行政复议工作。</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执法人员培训情况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执法人员培训率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依据培训质量</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行政复议案件办结情况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行政复议案件办结率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依据办案效率</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工作按时完成率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工作按时完成率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依据办案时效</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项目成本</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项目成本</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符合预算</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依据项目支出</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规范性文件合法性审查</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规范性文件审查率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依据审查效率</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群众对法治政府建设满意度</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上级文件</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9" w:name="_Toc66347353"/>
      <w:r>
        <w:rPr>
          <w:rFonts w:ascii="仿宋" w:eastAsia="仿宋" w:hAnsi="仿宋" w:cs="仿宋" w:hint="eastAsia"/>
          <w:b/>
          <w:sz w:val="28"/>
        </w:rPr>
        <w:t>6.法律援助经费绩效目标表</w:t>
      </w:r>
      <w:bookmarkEnd w:id="9"/>
      <w:r>
        <w:rPr>
          <w:rFonts w:ascii="仿宋" w:eastAsia="仿宋" w:hAnsi="仿宋" w:cs="仿宋" w:hint="eastAsia"/>
        </w:rPr>
        <w:fldChar w:fldCharType="begin"/>
      </w:r>
      <w:r>
        <w:rPr>
          <w:rFonts w:ascii="仿宋" w:eastAsia="仿宋" w:hAnsi="仿宋" w:cs="仿宋" w:hint="eastAsia"/>
          <w:b/>
          <w:sz w:val="28"/>
        </w:rPr>
        <w:instrText xml:space="preserve"> TC 6、法律援助经费绩效目标表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13052521E8UVE4BGH5K5S</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84000.00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84000.00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指导、监督法律援助的法律法规和政策的执行工作，受理审批法律援助申请，监督管理法律援助案件的补贴发放工作。</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1.做好法律援助的宣传工作。</w:t>
            </w:r>
          </w:p>
          <w:p w:rsidR="008D3AF7" w:rsidRDefault="00000000">
            <w:pPr>
              <w:spacing w:line="300" w:lineRule="exact"/>
              <w:jc w:val="left"/>
              <w:rPr>
                <w:rFonts w:ascii="仿宋" w:eastAsia="仿宋" w:hAnsi="仿宋" w:cs="仿宋"/>
              </w:rPr>
            </w:pPr>
            <w:r>
              <w:rPr>
                <w:rFonts w:ascii="仿宋" w:eastAsia="仿宋" w:hAnsi="仿宋" w:cs="仿宋" w:hint="eastAsia"/>
              </w:rPr>
              <w:t>2.做好弱势群体的法律援助的工作，做到应援尽援。</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法律援助案件数量</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办理法律援助案件的数量</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≥90件数</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上年办理法律援助案件数量</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援助补贴发放及时性</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援助补贴发放的及时性</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≤180天</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河北省法律援助条例</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法律援助宣传情况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法律援助宣传品发放数量</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≥5000份</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上年情况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项目成本</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项目成本</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控制在预算数内</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年初预算数</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法律援助案件的办结率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已办结法律援助案件占全年法律援助案件数量的比例</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法律援助案件办结情况</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受援人对法律援助受理情况的满意度</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10" w:name="_Toc66347354"/>
      <w:r>
        <w:rPr>
          <w:rFonts w:ascii="仿宋" w:eastAsia="仿宋" w:hAnsi="仿宋" w:cs="仿宋" w:hint="eastAsia"/>
          <w:b/>
          <w:sz w:val="28"/>
        </w:rPr>
        <w:t>7.</w:t>
      </w:r>
      <w:proofErr w:type="gramStart"/>
      <w:r>
        <w:rPr>
          <w:rFonts w:ascii="仿宋" w:eastAsia="仿宋" w:hAnsi="仿宋" w:cs="仿宋" w:hint="eastAsia"/>
          <w:b/>
          <w:sz w:val="28"/>
        </w:rPr>
        <w:t>冀财政</w:t>
      </w:r>
      <w:proofErr w:type="gramEnd"/>
      <w:r>
        <w:rPr>
          <w:rFonts w:ascii="仿宋" w:eastAsia="仿宋" w:hAnsi="仿宋" w:cs="仿宋" w:hint="eastAsia"/>
          <w:b/>
          <w:sz w:val="28"/>
        </w:rPr>
        <w:t>法[2020]71号/省级/基层公检法</w:t>
      </w:r>
      <w:proofErr w:type="gramStart"/>
      <w:r>
        <w:rPr>
          <w:rFonts w:ascii="仿宋" w:eastAsia="仿宋" w:hAnsi="仿宋" w:cs="仿宋" w:hint="eastAsia"/>
          <w:b/>
          <w:sz w:val="28"/>
        </w:rPr>
        <w:t>司转移</w:t>
      </w:r>
      <w:proofErr w:type="gramEnd"/>
      <w:r>
        <w:rPr>
          <w:rFonts w:ascii="仿宋" w:eastAsia="仿宋" w:hAnsi="仿宋" w:cs="仿宋" w:hint="eastAsia"/>
          <w:b/>
          <w:sz w:val="28"/>
        </w:rPr>
        <w:t>支付资金（装备经费）绩效目标表</w:t>
      </w:r>
      <w:bookmarkEnd w:id="10"/>
      <w:r>
        <w:rPr>
          <w:rFonts w:ascii="仿宋" w:eastAsia="仿宋" w:hAnsi="仿宋" w:cs="仿宋" w:hint="eastAsia"/>
        </w:rPr>
        <w:fldChar w:fldCharType="begin"/>
      </w:r>
      <w:r>
        <w:rPr>
          <w:rFonts w:ascii="仿宋" w:eastAsia="仿宋" w:hAnsi="仿宋" w:cs="仿宋" w:hint="eastAsia"/>
          <w:b/>
          <w:sz w:val="28"/>
        </w:rPr>
        <w:instrText xml:space="preserve"> TC 7、冀财政法[2020]71号/省级/基层公检法司转移支付资金（装备经费）绩效目标表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13052521F0GNAOQCW9LDC</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支付资金（装备经费）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71600.00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71600.00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提高基层司法行政机关业务装备水平，保障基层司法行政机关的办案业务质量。</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1.提高司法行政机关的业务装备水平。</w:t>
            </w:r>
          </w:p>
          <w:p w:rsidR="008D3AF7" w:rsidRDefault="00000000">
            <w:pPr>
              <w:spacing w:line="300" w:lineRule="exact"/>
              <w:jc w:val="left"/>
              <w:rPr>
                <w:rFonts w:ascii="仿宋" w:eastAsia="仿宋" w:hAnsi="仿宋" w:cs="仿宋"/>
              </w:rPr>
            </w:pPr>
            <w:r>
              <w:rPr>
                <w:rFonts w:ascii="仿宋" w:eastAsia="仿宋" w:hAnsi="仿宋" w:cs="仿宋" w:hint="eastAsia"/>
              </w:rPr>
              <w:t>2.提高司法行政机关工作质量。</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装备水平</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配备的装备数量</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达到上级关于装备配备的要求</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上级文件</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正常使用率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正常使用率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装备使用情况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项目实际支出是否控制在预算内</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项目实际支出是否控制在预算内</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按照预算计划购买装备</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预算安排情况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设备维修及时率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设备维修及时率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装备维修情况</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满足业务工作情况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装备配备比例</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装备配备情况</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相关业务股室的满意度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装备使用情况</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使用情况反馈</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11" w:name="_Toc66347355"/>
      <w:r>
        <w:rPr>
          <w:rFonts w:ascii="仿宋" w:eastAsia="仿宋" w:hAnsi="仿宋" w:cs="仿宋" w:hint="eastAsia"/>
          <w:b/>
          <w:sz w:val="28"/>
        </w:rPr>
        <w:t>8.政府法律顾问费绩效目标表</w:t>
      </w:r>
      <w:bookmarkEnd w:id="11"/>
      <w:r>
        <w:rPr>
          <w:rFonts w:ascii="仿宋" w:eastAsia="仿宋" w:hAnsi="仿宋" w:cs="仿宋" w:hint="eastAsia"/>
        </w:rPr>
        <w:fldChar w:fldCharType="begin"/>
      </w:r>
      <w:r>
        <w:rPr>
          <w:rFonts w:ascii="仿宋" w:eastAsia="仿宋" w:hAnsi="仿宋" w:cs="仿宋" w:hint="eastAsia"/>
          <w:b/>
          <w:sz w:val="28"/>
        </w:rPr>
        <w:instrText xml:space="preserve"> TC 8、政府法律顾问费绩效目标表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13052521F115CFH2XGZXZ</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政府法律顾问费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160000.00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160000.00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政府法律顾问费用</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1.聘请律师作为法律顾问推行法律顾问制度。</w:t>
            </w:r>
          </w:p>
          <w:p w:rsidR="008D3AF7" w:rsidRDefault="00000000">
            <w:pPr>
              <w:spacing w:line="300" w:lineRule="exact"/>
              <w:jc w:val="left"/>
              <w:rPr>
                <w:rFonts w:ascii="仿宋" w:eastAsia="仿宋" w:hAnsi="仿宋" w:cs="仿宋"/>
              </w:rPr>
            </w:pPr>
            <w:r>
              <w:rPr>
                <w:rFonts w:ascii="仿宋" w:eastAsia="仿宋" w:hAnsi="仿宋" w:cs="仿宋" w:hint="eastAsia"/>
              </w:rPr>
              <w:t>2.在重大行政决策中发挥积极作用。</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法律顾问覆盖率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法律顾问工作人员覆盖率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上级文件</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法律人员素质</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法律顾问人员素质</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具备相应的证件和一定的从业年限</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工作实际</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按时完成</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合同规定时间内完成</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按规定实际完成</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合同约定</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预算数</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项目预算控制数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财政全额列入预算</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社会稳定水平</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提出可行性建议采纳率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依据采纳情况</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对方是否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发送到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调查情况</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12" w:name="_Toc66347356"/>
      <w:r>
        <w:rPr>
          <w:rFonts w:ascii="仿宋" w:eastAsia="仿宋" w:hAnsi="仿宋" w:cs="仿宋" w:hint="eastAsia"/>
          <w:b/>
          <w:sz w:val="28"/>
        </w:rPr>
        <w:t>9.退役军人专岗费绩效目标表</w:t>
      </w:r>
      <w:bookmarkEnd w:id="12"/>
      <w:r>
        <w:rPr>
          <w:rFonts w:ascii="仿宋" w:eastAsia="仿宋" w:hAnsi="仿宋" w:cs="仿宋" w:hint="eastAsia"/>
        </w:rPr>
        <w:fldChar w:fldCharType="begin"/>
      </w:r>
      <w:r>
        <w:rPr>
          <w:rFonts w:ascii="仿宋" w:eastAsia="仿宋" w:hAnsi="仿宋" w:cs="仿宋" w:hint="eastAsia"/>
          <w:b/>
          <w:sz w:val="28"/>
        </w:rPr>
        <w:instrText xml:space="preserve"> TC 9、退役军人专岗费绩效目标表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13052521LFU5IVB9MG61M</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退役军人专岗费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51157.00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51157.00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用于</w:t>
            </w:r>
            <w:proofErr w:type="gramStart"/>
            <w:r>
              <w:rPr>
                <w:rFonts w:ascii="仿宋" w:eastAsia="仿宋" w:hAnsi="仿宋" w:cs="仿宋" w:hint="eastAsia"/>
              </w:rPr>
              <w:t>单位公益</w:t>
            </w:r>
            <w:proofErr w:type="gramEnd"/>
            <w:r>
              <w:rPr>
                <w:rFonts w:ascii="仿宋" w:eastAsia="仿宋" w:hAnsi="仿宋" w:cs="仿宋" w:hint="eastAsia"/>
              </w:rPr>
              <w:t>岗位到期后退役士兵后续安置费用</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1.做好我县退役</w:t>
            </w:r>
            <w:proofErr w:type="gramStart"/>
            <w:r>
              <w:rPr>
                <w:rFonts w:ascii="仿宋" w:eastAsia="仿宋" w:hAnsi="仿宋" w:cs="仿宋" w:hint="eastAsia"/>
              </w:rPr>
              <w:t>军人维稳工作</w:t>
            </w:r>
            <w:proofErr w:type="gramEnd"/>
            <w:r>
              <w:rPr>
                <w:rFonts w:ascii="仿宋" w:eastAsia="仿宋" w:hAnsi="仿宋" w:cs="仿宋" w:hint="eastAsia"/>
              </w:rPr>
              <w:t>。</w:t>
            </w:r>
          </w:p>
          <w:p w:rsidR="008D3AF7" w:rsidRDefault="00000000">
            <w:pPr>
              <w:spacing w:line="300" w:lineRule="exact"/>
              <w:jc w:val="left"/>
              <w:rPr>
                <w:rFonts w:ascii="仿宋" w:eastAsia="仿宋" w:hAnsi="仿宋" w:cs="仿宋"/>
              </w:rPr>
            </w:pPr>
            <w:r>
              <w:rPr>
                <w:rFonts w:ascii="仿宋" w:eastAsia="仿宋" w:hAnsi="仿宋" w:cs="仿宋" w:hint="eastAsia"/>
              </w:rPr>
              <w:t>2.保障退役军人基本的生活费用和社保费用。</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退役军人数量</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公益岗到期后转为专岗人员数量</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2人</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退役军人事务局提供的数据</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足额发放</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足额发放退役专岗人员补贴</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根据会议纪要确定的待遇</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岗位补贴发放时间</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岗位补贴及保险按时缴纳和发放</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每月25日前完成</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工作实际</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预算控制</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严格按退役军人事务局提供的人员花名册和测算表列预算</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足额列支军人转岗费用</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根据花名册和测算表</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退役士兵就业生活得到改善</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退役士兵就业生活得到改善</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根据本单位安排情况</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服务对象满意情况</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根据调查情况</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13" w:name="_Toc66347357"/>
      <w:r>
        <w:rPr>
          <w:rFonts w:ascii="仿宋" w:eastAsia="仿宋" w:hAnsi="仿宋" w:cs="仿宋" w:hint="eastAsia"/>
          <w:b/>
          <w:sz w:val="28"/>
        </w:rPr>
        <w:t>10.社区矫正经费绩效目标表</w:t>
      </w:r>
      <w:bookmarkEnd w:id="13"/>
      <w:r>
        <w:rPr>
          <w:rFonts w:ascii="仿宋" w:eastAsia="仿宋" w:hAnsi="仿宋" w:cs="仿宋" w:hint="eastAsia"/>
        </w:rPr>
        <w:fldChar w:fldCharType="begin"/>
      </w:r>
      <w:r>
        <w:rPr>
          <w:rFonts w:ascii="仿宋" w:eastAsia="仿宋" w:hAnsi="仿宋" w:cs="仿宋" w:hint="eastAsia"/>
          <w:b/>
          <w:sz w:val="28"/>
        </w:rPr>
        <w:instrText xml:space="preserve"> TC 10、社区矫正经费绩效目标表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13052521NQAFS6PVHPHLP</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220000.00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220000.00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社区矫正业务经费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1.保障社区矫正工作正常开展。</w:t>
            </w:r>
          </w:p>
          <w:p w:rsidR="008D3AF7" w:rsidRDefault="00000000">
            <w:pPr>
              <w:spacing w:line="300" w:lineRule="exact"/>
              <w:jc w:val="left"/>
              <w:rPr>
                <w:rFonts w:ascii="仿宋" w:eastAsia="仿宋" w:hAnsi="仿宋" w:cs="仿宋"/>
              </w:rPr>
            </w:pPr>
            <w:r>
              <w:rPr>
                <w:rFonts w:ascii="仿宋" w:eastAsia="仿宋" w:hAnsi="仿宋" w:cs="仿宋" w:hint="eastAsia"/>
              </w:rPr>
              <w:t>2.维护社会和谐稳定。</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社区矫正量</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社区矫正人数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≥200人次</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依据接收情况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社区矫正人员再次犯罪情况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再犯罪降低率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&lt;0.2%</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依据犯罪情况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审前调查时间</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及时完成审前调查</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&lt;10天</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依据上级文件</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人均费用</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人均管理费用</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≤2000元</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依据省厅测算标准</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社会稳定水平</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服刑人员信息核查率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依据社区服刑人员信息</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群众社会矫正工作的整体满意度</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满意度测评</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14" w:name="_Toc66347358"/>
      <w:r>
        <w:rPr>
          <w:rFonts w:ascii="仿宋" w:eastAsia="仿宋" w:hAnsi="仿宋" w:cs="仿宋" w:hint="eastAsia"/>
          <w:b/>
          <w:sz w:val="28"/>
        </w:rPr>
        <w:t>11.普法经费绩效目标表</w:t>
      </w:r>
      <w:bookmarkEnd w:id="14"/>
      <w:r>
        <w:rPr>
          <w:rFonts w:ascii="仿宋" w:eastAsia="仿宋" w:hAnsi="仿宋" w:cs="仿宋" w:hint="eastAsia"/>
        </w:rPr>
        <w:fldChar w:fldCharType="begin"/>
      </w:r>
      <w:r>
        <w:rPr>
          <w:rFonts w:ascii="仿宋" w:eastAsia="仿宋" w:hAnsi="仿宋" w:cs="仿宋" w:hint="eastAsia"/>
          <w:b/>
          <w:sz w:val="28"/>
        </w:rPr>
        <w:instrText xml:space="preserve"> TC 11、普法经费绩效目标表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13052521OYNE74F90YWKH</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普法经费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170000.00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170000.00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做好全县的普法宣传和依法治理工作</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1.统筹规划法治社会建设工作，拟定法制宣传教育规划。</w:t>
            </w:r>
          </w:p>
          <w:p w:rsidR="008D3AF7" w:rsidRDefault="00000000">
            <w:pPr>
              <w:spacing w:line="300" w:lineRule="exact"/>
              <w:jc w:val="left"/>
              <w:rPr>
                <w:rFonts w:ascii="仿宋" w:eastAsia="仿宋" w:hAnsi="仿宋" w:cs="仿宋"/>
              </w:rPr>
            </w:pPr>
            <w:r>
              <w:rPr>
                <w:rFonts w:ascii="仿宋" w:eastAsia="仿宋" w:hAnsi="仿宋" w:cs="仿宋" w:hint="eastAsia"/>
              </w:rPr>
              <w:t>2.组织实施普法宣传。</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普法宣传品发放情况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发放普法宣传品份数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≥10000份</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依据普法宣传规模</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主题宣传活动情况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开展主题宣传活动次数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≥4场</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依据普法效果</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各项任务完成及时率（%）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各项任务完成及时率（%）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依据普法及时性</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项目成本</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项目成本</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控制在预算数内</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依据年初预算</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法律知识考试情况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组织干部宪法法律知识考试的次数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1场</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依据法治政府建设要求</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群众普法宣传工作的整体满意度</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≥80%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满意度</w:t>
            </w:r>
            <w:proofErr w:type="gramStart"/>
            <w:r>
              <w:rPr>
                <w:rFonts w:ascii="仿宋" w:eastAsia="仿宋" w:hAnsi="仿宋" w:cs="仿宋" w:hint="eastAsia"/>
              </w:rPr>
              <w:t>测评值</w:t>
            </w:r>
            <w:proofErr w:type="gramEnd"/>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15" w:name="_Toc66347359"/>
      <w:r>
        <w:rPr>
          <w:rFonts w:ascii="仿宋" w:eastAsia="仿宋" w:hAnsi="仿宋" w:cs="仿宋" w:hint="eastAsia"/>
          <w:b/>
          <w:sz w:val="28"/>
        </w:rPr>
        <w:t>12.</w:t>
      </w:r>
      <w:proofErr w:type="gramStart"/>
      <w:r>
        <w:rPr>
          <w:rFonts w:ascii="仿宋" w:eastAsia="仿宋" w:hAnsi="仿宋" w:cs="仿宋" w:hint="eastAsia"/>
          <w:b/>
          <w:sz w:val="28"/>
        </w:rPr>
        <w:t>冀财政</w:t>
      </w:r>
      <w:proofErr w:type="gramEnd"/>
      <w:r>
        <w:rPr>
          <w:rFonts w:ascii="仿宋" w:eastAsia="仿宋" w:hAnsi="仿宋" w:cs="仿宋" w:hint="eastAsia"/>
          <w:b/>
          <w:sz w:val="28"/>
        </w:rPr>
        <w:t>法[2020]71号/省级/基层公检法</w:t>
      </w:r>
      <w:proofErr w:type="gramStart"/>
      <w:r>
        <w:rPr>
          <w:rFonts w:ascii="仿宋" w:eastAsia="仿宋" w:hAnsi="仿宋" w:cs="仿宋" w:hint="eastAsia"/>
          <w:b/>
          <w:sz w:val="28"/>
        </w:rPr>
        <w:t>司转移</w:t>
      </w:r>
      <w:proofErr w:type="gramEnd"/>
      <w:r>
        <w:rPr>
          <w:rFonts w:ascii="仿宋" w:eastAsia="仿宋" w:hAnsi="仿宋" w:cs="仿宋" w:hint="eastAsia"/>
          <w:b/>
          <w:sz w:val="28"/>
        </w:rPr>
        <w:t>支付资金（业务经费）绩效目标表</w:t>
      </w:r>
      <w:bookmarkEnd w:id="15"/>
      <w:r>
        <w:rPr>
          <w:rFonts w:ascii="仿宋" w:eastAsia="仿宋" w:hAnsi="仿宋" w:cs="仿宋" w:hint="eastAsia"/>
        </w:rPr>
        <w:fldChar w:fldCharType="begin"/>
      </w:r>
      <w:r>
        <w:rPr>
          <w:rFonts w:ascii="仿宋" w:eastAsia="仿宋" w:hAnsi="仿宋" w:cs="仿宋" w:hint="eastAsia"/>
          <w:b/>
          <w:sz w:val="28"/>
        </w:rPr>
        <w:instrText xml:space="preserve"> TC 12、冀财政法[2020]71号/省级/基层公检法司转移支付资金（业务经费）绩效目标表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13052521TMNQZ8LT36SWN</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支付资金（业务经费）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188400.00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188400.00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政法转移支付资金有效的缓解了基层司法行政机关办案（业务）经费的不足，提高了基层司法行政机关人员的工作积极性，大大提高了业务工作水平和质量，有力的维护了当地的社会和谐稳定。</w:t>
            </w:r>
          </w:p>
          <w:p w:rsidR="008D3AF7" w:rsidRDefault="008D3AF7">
            <w:pPr>
              <w:spacing w:line="300" w:lineRule="exact"/>
              <w:jc w:val="left"/>
              <w:rPr>
                <w:rFonts w:ascii="仿宋" w:eastAsia="仿宋" w:hAnsi="仿宋" w:cs="仿宋"/>
              </w:rPr>
            </w:pP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1.提高人民法制观念。</w:t>
            </w:r>
          </w:p>
          <w:p w:rsidR="008D3AF7" w:rsidRDefault="00000000">
            <w:pPr>
              <w:spacing w:line="300" w:lineRule="exact"/>
              <w:jc w:val="left"/>
              <w:rPr>
                <w:rFonts w:ascii="仿宋" w:eastAsia="仿宋" w:hAnsi="仿宋" w:cs="仿宋"/>
              </w:rPr>
            </w:pPr>
            <w:r>
              <w:rPr>
                <w:rFonts w:ascii="仿宋" w:eastAsia="仿宋" w:hAnsi="仿宋" w:cs="仿宋" w:hint="eastAsia"/>
              </w:rPr>
              <w:t>2.维护县域内长治久安。</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普法宣传品发放情况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发放普法宣传品数量</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≥3000册</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年初工作计划</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执法监督成效</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执法监督成效</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行政执法规范化监督情况</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上级关于行政执法文件</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行政复议案件办结时限</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行政复议案件办结时限</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是否在规定时间内办结</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行政复议法</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参加培训人均成本</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参加培训人均成本</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≤370元</w:t>
            </w:r>
          </w:p>
        </w:tc>
        <w:tc>
          <w:tcPr>
            <w:tcW w:w="1701"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县培训</w:t>
            </w:r>
            <w:proofErr w:type="gramEnd"/>
            <w:r>
              <w:rPr>
                <w:rFonts w:ascii="仿宋" w:eastAsia="仿宋" w:hAnsi="仿宋" w:cs="仿宋" w:hint="eastAsia"/>
              </w:rPr>
              <w:t>文件</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规范性文件审查情况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规范性文件审查率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工作计划</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工作计划</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200" w:firstLine="562"/>
        <w:jc w:val="left"/>
        <w:outlineLvl w:val="3"/>
        <w:rPr>
          <w:rFonts w:ascii="仿宋" w:eastAsia="仿宋" w:hAnsi="仿宋" w:cs="仿宋"/>
          <w:b/>
          <w:sz w:val="28"/>
        </w:rPr>
      </w:pPr>
      <w:bookmarkStart w:id="16" w:name="_Toc66347360"/>
      <w:r>
        <w:rPr>
          <w:rFonts w:ascii="仿宋" w:eastAsia="仿宋" w:hAnsi="仿宋" w:cs="仿宋" w:hint="eastAsia"/>
          <w:b/>
          <w:sz w:val="28"/>
        </w:rPr>
        <w:t>13.</w:t>
      </w:r>
      <w:proofErr w:type="gramStart"/>
      <w:r>
        <w:rPr>
          <w:rFonts w:ascii="仿宋" w:eastAsia="仿宋" w:hAnsi="仿宋" w:cs="仿宋" w:hint="eastAsia"/>
          <w:b/>
          <w:sz w:val="28"/>
        </w:rPr>
        <w:t>冀财政</w:t>
      </w:r>
      <w:proofErr w:type="gramEnd"/>
      <w:r>
        <w:rPr>
          <w:rFonts w:ascii="仿宋" w:eastAsia="仿宋" w:hAnsi="仿宋" w:cs="仿宋" w:hint="eastAsia"/>
          <w:b/>
          <w:sz w:val="28"/>
        </w:rPr>
        <w:t>法[2020]71号/省级/基层公检法</w:t>
      </w:r>
      <w:proofErr w:type="gramStart"/>
      <w:r>
        <w:rPr>
          <w:rFonts w:ascii="仿宋" w:eastAsia="仿宋" w:hAnsi="仿宋" w:cs="仿宋" w:hint="eastAsia"/>
          <w:b/>
          <w:sz w:val="28"/>
        </w:rPr>
        <w:t>司转移</w:t>
      </w:r>
      <w:proofErr w:type="gramEnd"/>
      <w:r>
        <w:rPr>
          <w:rFonts w:ascii="仿宋" w:eastAsia="仿宋" w:hAnsi="仿宋" w:cs="仿宋" w:hint="eastAsia"/>
          <w:b/>
          <w:sz w:val="28"/>
        </w:rPr>
        <w:t>支付资金（法律援助）绩效目标表</w:t>
      </w:r>
      <w:bookmarkEnd w:id="16"/>
      <w:r>
        <w:rPr>
          <w:rFonts w:ascii="仿宋" w:eastAsia="仿宋" w:hAnsi="仿宋" w:cs="仿宋" w:hint="eastAsia"/>
        </w:rPr>
        <w:fldChar w:fldCharType="begin"/>
      </w:r>
      <w:r>
        <w:rPr>
          <w:rFonts w:ascii="仿宋" w:eastAsia="仿宋" w:hAnsi="仿宋" w:cs="仿宋" w:hint="eastAsia"/>
          <w:b/>
          <w:sz w:val="28"/>
        </w:rPr>
        <w:instrText xml:space="preserve"> TC 13、冀财政法[2020]71号/省级/基层公检法司转移支付资金（法律援助）绩效目标表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13052521WGWH600P1A9CK</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支付资金（法律援助）</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60000.00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60000.00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指导、监督法律援助的法律法规和政策的执行工作，受理审批法律援助申请，监督管理法律援助案件的补贴发放工作。</w:t>
            </w:r>
          </w:p>
          <w:p w:rsidR="008D3AF7" w:rsidRDefault="008D3AF7">
            <w:pPr>
              <w:spacing w:line="300" w:lineRule="exact"/>
              <w:jc w:val="left"/>
              <w:rPr>
                <w:rFonts w:ascii="仿宋" w:eastAsia="仿宋" w:hAnsi="仿宋" w:cs="仿宋"/>
              </w:rPr>
            </w:pP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1.做好法律援助的宣传工作。</w:t>
            </w:r>
          </w:p>
          <w:p w:rsidR="008D3AF7" w:rsidRDefault="00000000">
            <w:pPr>
              <w:spacing w:line="300" w:lineRule="exact"/>
              <w:jc w:val="left"/>
              <w:rPr>
                <w:rFonts w:ascii="仿宋" w:eastAsia="仿宋" w:hAnsi="仿宋" w:cs="仿宋"/>
              </w:rPr>
            </w:pPr>
            <w:r>
              <w:rPr>
                <w:rFonts w:ascii="仿宋" w:eastAsia="仿宋" w:hAnsi="仿宋" w:cs="仿宋" w:hint="eastAsia"/>
              </w:rPr>
              <w:t>2.做好弱势群体的法律援助的工作，做到应援尽援。</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宣传资料数量</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发放宣传资料数量</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≥1000份</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年初工作计划</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法律援助案件质量等级优良率</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法律援助案件质量等级优良率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法律援助办理质量</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法律援助申请受理情况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法律援助案件按时受理情况</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≤3天</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法律援助案件是否在规定时间内受理</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法律援助案件补贴情况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法律援助案件补贴情况</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是否按文件要求给予补贴</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上级文件</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w:t>
            </w:r>
            <w:proofErr w:type="gramStart"/>
            <w:r>
              <w:rPr>
                <w:rFonts w:ascii="仿宋" w:eastAsia="仿宋" w:hAnsi="仿宋" w:cs="仿宋" w:hint="eastAsia"/>
              </w:rPr>
              <w:t>援案件</w:t>
            </w:r>
            <w:proofErr w:type="gramEnd"/>
            <w:r>
              <w:rPr>
                <w:rFonts w:ascii="仿宋" w:eastAsia="仿宋" w:hAnsi="仿宋" w:cs="仿宋" w:hint="eastAsia"/>
              </w:rPr>
              <w:t>办理情况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法律援助案件办结情况</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完结情况</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受益群体满意度（%）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法律援助案件受益人满意度</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≥95%</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满意度测评</w:t>
            </w:r>
          </w:p>
        </w:tc>
      </w:tr>
    </w:tbl>
    <w:p w:rsidR="008D3AF7" w:rsidRDefault="008D3AF7">
      <w:pPr>
        <w:spacing w:line="300" w:lineRule="exact"/>
        <w:jc w:val="left"/>
        <w:rPr>
          <w:rFonts w:ascii="仿宋" w:eastAsia="仿宋" w:hAnsi="仿宋" w:cs="仿宋"/>
        </w:rPr>
        <w:sectPr w:rsidR="008D3AF7">
          <w:pgSz w:w="11907" w:h="16839"/>
          <w:pgMar w:top="1984" w:right="1304" w:bottom="1134" w:left="1304" w:header="851" w:footer="992" w:gutter="0"/>
          <w:cols w:space="425"/>
          <w:docGrid w:type="lines" w:linePitch="312"/>
        </w:sectPr>
      </w:pPr>
    </w:p>
    <w:p w:rsidR="008D3AF7" w:rsidRDefault="008D3AF7">
      <w:pPr>
        <w:spacing w:line="300" w:lineRule="exact"/>
        <w:jc w:val="left"/>
        <w:rPr>
          <w:rFonts w:ascii="仿宋" w:eastAsia="仿宋" w:hAnsi="仿宋" w:cs="仿宋"/>
        </w:rPr>
      </w:pPr>
    </w:p>
    <w:p w:rsidR="008D3AF7" w:rsidRDefault="00000000">
      <w:pPr>
        <w:ind w:firstLineChars="900" w:firstLine="2530"/>
        <w:jc w:val="left"/>
        <w:outlineLvl w:val="3"/>
        <w:rPr>
          <w:rFonts w:ascii="仿宋" w:eastAsia="仿宋" w:hAnsi="仿宋" w:cs="仿宋"/>
          <w:b/>
          <w:sz w:val="28"/>
        </w:rPr>
      </w:pPr>
      <w:bookmarkStart w:id="17" w:name="_Toc66347361"/>
      <w:r>
        <w:rPr>
          <w:rFonts w:ascii="仿宋" w:eastAsia="仿宋" w:hAnsi="仿宋" w:cs="仿宋" w:hint="eastAsia"/>
          <w:b/>
          <w:sz w:val="28"/>
        </w:rPr>
        <w:t>14.扫黑除恶专项经费绩效目标表</w:t>
      </w:r>
      <w:bookmarkEnd w:id="17"/>
      <w:r>
        <w:rPr>
          <w:rFonts w:ascii="仿宋" w:eastAsia="仿宋" w:hAnsi="仿宋" w:cs="仿宋" w:hint="eastAsia"/>
        </w:rPr>
        <w:fldChar w:fldCharType="begin"/>
      </w:r>
      <w:r>
        <w:rPr>
          <w:rFonts w:ascii="仿宋" w:eastAsia="仿宋" w:hAnsi="仿宋" w:cs="仿宋" w:hint="eastAsia"/>
          <w:b/>
          <w:sz w:val="28"/>
        </w:rPr>
        <w:instrText xml:space="preserve"> TC 14、扫黑除恶专项经费绩效目标表 \f C \l 1 </w:instrText>
      </w:r>
      <w:r>
        <w:rPr>
          <w:rFonts w:ascii="仿宋" w:eastAsia="仿宋" w:hAnsi="仿宋" w:cs="仿宋" w:hint="eastAsia"/>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D3AF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b/>
              </w:rPr>
            </w:pPr>
            <w:r>
              <w:rPr>
                <w:rFonts w:ascii="仿宋" w:eastAsia="仿宋" w:hAnsi="仿宋" w:cs="仿宋" w:hint="eastAsia"/>
                <w:b/>
              </w:rPr>
              <w:t>315001隆尧县司法局本级</w:t>
            </w:r>
          </w:p>
        </w:tc>
        <w:tc>
          <w:tcPr>
            <w:tcW w:w="1701" w:type="dxa"/>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单位：元</w:t>
            </w:r>
          </w:p>
        </w:tc>
      </w:tr>
      <w:tr w:rsidR="008D3AF7">
        <w:trPr>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项目编码</w:t>
            </w:r>
          </w:p>
        </w:tc>
        <w:tc>
          <w:tcPr>
            <w:tcW w:w="2410" w:type="dxa"/>
            <w:gridSpan w:val="2"/>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13052521ZBTNL250WFUVS</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4281" w:type="dxa"/>
            <w:gridSpan w:val="3"/>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扫黑除恶专项经费</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预算规模及资金用途</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10000.00</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其中：财政资金</w:t>
            </w:r>
          </w:p>
        </w:tc>
        <w:tc>
          <w:tcPr>
            <w:tcW w:w="130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10000.00</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其他资金</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0</w:t>
            </w:r>
          </w:p>
        </w:tc>
      </w:tr>
      <w:tr w:rsidR="008D3AF7">
        <w:trPr>
          <w:trHeight w:val="369"/>
          <w:jc w:val="center"/>
        </w:trPr>
        <w:tc>
          <w:tcPr>
            <w:tcW w:w="1134" w:type="dxa"/>
            <w:vMerge/>
            <w:shd w:val="clear" w:color="auto" w:fill="auto"/>
            <w:vAlign w:val="center"/>
          </w:tcPr>
          <w:p w:rsidR="008D3AF7" w:rsidRDefault="008D3AF7">
            <w:pPr>
              <w:spacing w:line="300" w:lineRule="exact"/>
              <w:jc w:val="left"/>
              <w:outlineLvl w:val="3"/>
              <w:rPr>
                <w:rFonts w:ascii="仿宋" w:eastAsia="仿宋" w:hAnsi="仿宋" w:cs="仿宋"/>
              </w:rPr>
            </w:pPr>
          </w:p>
        </w:tc>
        <w:tc>
          <w:tcPr>
            <w:tcW w:w="8278" w:type="dxa"/>
            <w:gridSpan w:val="6"/>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依据扫黑除恶专项斗争工作安排，用于扫黑除恶普法宣传工作。</w:t>
            </w:r>
          </w:p>
        </w:tc>
      </w:tr>
      <w:tr w:rsidR="008D3AF7">
        <w:trPr>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资金支出计划（%）</w:t>
            </w:r>
          </w:p>
        </w:tc>
        <w:tc>
          <w:tcPr>
            <w:tcW w:w="2410"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3月底</w:t>
            </w:r>
          </w:p>
        </w:tc>
        <w:tc>
          <w:tcPr>
            <w:tcW w:w="1587"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6月底</w:t>
            </w:r>
          </w:p>
        </w:tc>
        <w:tc>
          <w:tcPr>
            <w:tcW w:w="130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10月底</w:t>
            </w:r>
          </w:p>
        </w:tc>
        <w:tc>
          <w:tcPr>
            <w:tcW w:w="2977"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12月底</w:t>
            </w:r>
          </w:p>
        </w:tc>
      </w:tr>
      <w:tr w:rsidR="008D3AF7">
        <w:trPr>
          <w:trHeight w:val="369"/>
          <w:jc w:val="center"/>
        </w:trPr>
        <w:tc>
          <w:tcPr>
            <w:tcW w:w="1134" w:type="dxa"/>
            <w:vMerge/>
            <w:tcBorders>
              <w:bottom w:val="single" w:sz="6" w:space="0" w:color="000000"/>
            </w:tcBorders>
            <w:shd w:val="clear" w:color="auto" w:fill="auto"/>
            <w:vAlign w:val="center"/>
          </w:tcPr>
          <w:p w:rsidR="008D3AF7" w:rsidRDefault="008D3AF7">
            <w:pPr>
              <w:spacing w:line="300" w:lineRule="exact"/>
              <w:jc w:val="left"/>
              <w:outlineLvl w:val="3"/>
              <w:rPr>
                <w:rFonts w:ascii="仿宋" w:eastAsia="仿宋" w:hAnsi="仿宋" w:cs="仿宋"/>
              </w:rPr>
            </w:pPr>
          </w:p>
        </w:tc>
        <w:tc>
          <w:tcPr>
            <w:tcW w:w="2410"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30.00%</w:t>
            </w:r>
          </w:p>
        </w:tc>
        <w:tc>
          <w:tcPr>
            <w:tcW w:w="1587"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60.00%</w:t>
            </w:r>
          </w:p>
        </w:tc>
        <w:tc>
          <w:tcPr>
            <w:tcW w:w="1304" w:type="dxa"/>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90.00%</w:t>
            </w:r>
          </w:p>
        </w:tc>
        <w:tc>
          <w:tcPr>
            <w:tcW w:w="2977" w:type="dxa"/>
            <w:gridSpan w:val="2"/>
            <w:tcBorders>
              <w:bottom w:val="single" w:sz="6" w:space="0" w:color="000000"/>
            </w:tcBorders>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100.00%</w:t>
            </w:r>
          </w:p>
        </w:tc>
      </w:tr>
      <w:tr w:rsidR="008D3AF7">
        <w:trPr>
          <w:trHeight w:val="369"/>
          <w:jc w:val="center"/>
        </w:trPr>
        <w:tc>
          <w:tcPr>
            <w:tcW w:w="1134" w:type="dxa"/>
            <w:tcBorders>
              <w:bottom w:val="nil"/>
            </w:tcBorders>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绩效目标</w:t>
            </w:r>
          </w:p>
        </w:tc>
        <w:tc>
          <w:tcPr>
            <w:tcW w:w="8278" w:type="dxa"/>
            <w:gridSpan w:val="6"/>
            <w:tcBorders>
              <w:bottom w:val="nil"/>
            </w:tcBorders>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1.全县范围内打击黑恶势力。</w:t>
            </w:r>
          </w:p>
          <w:p w:rsidR="008D3AF7" w:rsidRDefault="00000000">
            <w:pPr>
              <w:spacing w:line="300" w:lineRule="exact"/>
              <w:jc w:val="left"/>
              <w:rPr>
                <w:rFonts w:ascii="仿宋" w:eastAsia="仿宋" w:hAnsi="仿宋" w:cs="仿宋"/>
              </w:rPr>
            </w:pPr>
            <w:r>
              <w:rPr>
                <w:rFonts w:ascii="仿宋" w:eastAsia="仿宋" w:hAnsi="仿宋" w:cs="仿宋" w:hint="eastAsia"/>
              </w:rPr>
              <w:t>2.维护县域内社会安定。</w:t>
            </w:r>
          </w:p>
        </w:tc>
      </w:tr>
    </w:tbl>
    <w:p w:rsidR="008D3AF7" w:rsidRDefault="00000000">
      <w:pPr>
        <w:spacing w:line="14" w:lineRule="exact"/>
        <w:jc w:val="center"/>
        <w:rPr>
          <w:rFonts w:ascii="仿宋" w:eastAsia="仿宋" w:hAnsi="仿宋" w:cs="仿宋"/>
        </w:rPr>
      </w:pPr>
      <w:r>
        <w:rPr>
          <w:rFonts w:ascii="仿宋" w:eastAsia="仿宋" w:hAnsi="仿宋" w:cs="仿宋" w:hint="eastAsia"/>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D3AF7">
        <w:trPr>
          <w:cantSplit/>
          <w:trHeight w:val="397"/>
          <w:tblHeader/>
          <w:jc w:val="center"/>
        </w:trPr>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一级指标</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二级指标</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三级指标</w:t>
            </w:r>
          </w:p>
        </w:tc>
        <w:tc>
          <w:tcPr>
            <w:tcW w:w="289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绩效指标描述</w:t>
            </w:r>
          </w:p>
        </w:tc>
        <w:tc>
          <w:tcPr>
            <w:tcW w:w="1276"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w:t>
            </w:r>
          </w:p>
        </w:tc>
        <w:tc>
          <w:tcPr>
            <w:tcW w:w="1701"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指标值确定依据</w:t>
            </w:r>
          </w:p>
        </w:tc>
      </w:tr>
      <w:tr w:rsidR="008D3AF7">
        <w:trPr>
          <w:cantSplit/>
          <w:trHeight w:val="369"/>
          <w:jc w:val="center"/>
        </w:trPr>
        <w:tc>
          <w:tcPr>
            <w:tcW w:w="1134" w:type="dxa"/>
            <w:vMerge w:val="restart"/>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产出指标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数量指标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扫黑除恶宣传情况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扫黑除恶宣传手册发放情况</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≥5000份</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依据工作情况</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质量指标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宣传影响力</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黑恶势力下降趋势</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逐年下降</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依据宣传效力</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时效指标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完成时限</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是否及时完成</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≤1年</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依据完成时间</w:t>
            </w:r>
          </w:p>
        </w:tc>
      </w:tr>
      <w:tr w:rsidR="008D3AF7">
        <w:trPr>
          <w:cantSplit/>
          <w:trHeight w:val="369"/>
          <w:jc w:val="center"/>
        </w:trPr>
        <w:tc>
          <w:tcPr>
            <w:tcW w:w="1134" w:type="dxa"/>
            <w:vMerge/>
            <w:shd w:val="clear" w:color="auto" w:fill="auto"/>
            <w:vAlign w:val="center"/>
          </w:tcPr>
          <w:p w:rsidR="008D3AF7" w:rsidRDefault="008D3AF7">
            <w:pPr>
              <w:spacing w:line="300" w:lineRule="exact"/>
              <w:jc w:val="center"/>
              <w:rPr>
                <w:rFonts w:ascii="仿宋" w:eastAsia="仿宋" w:hAnsi="仿宋" w:cs="仿宋"/>
              </w:rPr>
            </w:pP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成本指标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项目经费</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经费使用情况</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≤1年</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依据项目标准</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效益指标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社会效益指标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宣传活动情况</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扫黑除恶宣传活动次数</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≥2次</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依据宣传效果</w:t>
            </w:r>
          </w:p>
        </w:tc>
      </w:tr>
      <w:tr w:rsidR="008D3AF7">
        <w:trPr>
          <w:cantSplit/>
          <w:trHeight w:val="369"/>
          <w:jc w:val="center"/>
        </w:trPr>
        <w:tc>
          <w:tcPr>
            <w:tcW w:w="1134"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满意度指标</w:t>
            </w:r>
          </w:p>
        </w:tc>
        <w:tc>
          <w:tcPr>
            <w:tcW w:w="113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服务对象满意度指标</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群众满意度</w:t>
            </w:r>
          </w:p>
        </w:tc>
        <w:tc>
          <w:tcPr>
            <w:tcW w:w="289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群众满意数量占比</w:t>
            </w:r>
          </w:p>
        </w:tc>
        <w:tc>
          <w:tcPr>
            <w:tcW w:w="1276"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≥90%</w:t>
            </w:r>
          </w:p>
        </w:tc>
        <w:tc>
          <w:tcPr>
            <w:tcW w:w="170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依据群众反馈</w:t>
            </w:r>
          </w:p>
        </w:tc>
      </w:tr>
    </w:tbl>
    <w:p w:rsidR="008D3AF7" w:rsidRDefault="008D3AF7">
      <w:pPr>
        <w:autoSpaceDE w:val="0"/>
        <w:autoSpaceDN w:val="0"/>
        <w:adjustRightInd w:val="0"/>
        <w:ind w:firstLineChars="300" w:firstLine="960"/>
        <w:jc w:val="left"/>
        <w:rPr>
          <w:rFonts w:ascii="仿宋" w:eastAsia="仿宋" w:hAnsi="仿宋" w:cs="仿宋"/>
          <w:sz w:val="32"/>
          <w:szCs w:val="32"/>
        </w:rPr>
      </w:pPr>
    </w:p>
    <w:p w:rsidR="008D3AF7" w:rsidRDefault="008D3AF7">
      <w:pPr>
        <w:autoSpaceDE w:val="0"/>
        <w:autoSpaceDN w:val="0"/>
        <w:adjustRightInd w:val="0"/>
        <w:ind w:firstLineChars="300" w:firstLine="960"/>
        <w:jc w:val="left"/>
        <w:rPr>
          <w:rFonts w:ascii="仿宋" w:eastAsia="仿宋" w:hAnsi="仿宋" w:cs="仿宋"/>
          <w:sz w:val="32"/>
          <w:szCs w:val="32"/>
        </w:rPr>
      </w:pPr>
    </w:p>
    <w:p w:rsidR="008D3AF7" w:rsidRDefault="00000000">
      <w:pPr>
        <w:autoSpaceDE w:val="0"/>
        <w:autoSpaceDN w:val="0"/>
        <w:adjustRightInd w:val="0"/>
        <w:ind w:firstLineChars="300" w:firstLine="960"/>
        <w:jc w:val="left"/>
        <w:rPr>
          <w:rFonts w:ascii="仿宋" w:eastAsia="仿宋" w:hAnsi="仿宋" w:cs="仿宋"/>
          <w:sz w:val="32"/>
          <w:szCs w:val="32"/>
        </w:rPr>
      </w:pPr>
      <w:r>
        <w:rPr>
          <w:rFonts w:ascii="仿宋" w:eastAsia="仿宋" w:hAnsi="仿宋" w:cs="仿宋" w:hint="eastAsia"/>
          <w:sz w:val="32"/>
          <w:szCs w:val="32"/>
        </w:rPr>
        <w:lastRenderedPageBreak/>
        <w:t>六、政府采购预算情况</w:t>
      </w:r>
    </w:p>
    <w:p w:rsidR="008D3AF7" w:rsidRDefault="00000000">
      <w:pPr>
        <w:ind w:firstLineChars="200" w:firstLine="640"/>
        <w:outlineLvl w:val="0"/>
        <w:rPr>
          <w:rFonts w:ascii="仿宋" w:eastAsia="仿宋" w:hAnsi="仿宋" w:cs="仿宋"/>
          <w:sz w:val="32"/>
          <w:szCs w:val="32"/>
        </w:rPr>
      </w:pPr>
      <w:bookmarkStart w:id="18" w:name="_Toc471398468"/>
      <w:r>
        <w:rPr>
          <w:rFonts w:ascii="仿宋" w:eastAsia="仿宋" w:hAnsi="仿宋" w:cs="仿宋" w:hint="eastAsia"/>
          <w:sz w:val="32"/>
          <w:szCs w:val="32"/>
        </w:rPr>
        <w:t xml:space="preserve"> 2021年，</w:t>
      </w:r>
      <w:proofErr w:type="gramStart"/>
      <w:r>
        <w:rPr>
          <w:rFonts w:ascii="仿宋" w:eastAsia="仿宋" w:hAnsi="仿宋" w:cs="仿宋" w:hint="eastAsia"/>
          <w:sz w:val="32"/>
          <w:szCs w:val="32"/>
        </w:rPr>
        <w:t>我部门</w:t>
      </w:r>
      <w:proofErr w:type="gramEnd"/>
      <w:r>
        <w:rPr>
          <w:rFonts w:ascii="仿宋" w:eastAsia="仿宋" w:hAnsi="仿宋" w:cs="仿宋" w:hint="eastAsia"/>
          <w:sz w:val="32"/>
          <w:szCs w:val="32"/>
        </w:rPr>
        <w:t>安排政府采购预算92.01万元。具体内容见下表。</w:t>
      </w:r>
      <w:bookmarkEnd w:id="18"/>
    </w:p>
    <w:p w:rsidR="008D3AF7" w:rsidRDefault="00000000">
      <w:pPr>
        <w:jc w:val="center"/>
        <w:outlineLvl w:val="1"/>
        <w:rPr>
          <w:rFonts w:ascii="仿宋" w:eastAsia="仿宋" w:hAnsi="仿宋" w:cs="仿宋"/>
          <w:sz w:val="32"/>
        </w:rPr>
      </w:pPr>
      <w:bookmarkStart w:id="19" w:name="_Toc66012889"/>
      <w:r>
        <w:rPr>
          <w:rFonts w:ascii="仿宋" w:eastAsia="仿宋" w:hAnsi="仿宋" w:cs="仿宋" w:hint="eastAsia"/>
          <w:sz w:val="32"/>
        </w:rPr>
        <w:t>部门政府采购预算</w:t>
      </w:r>
      <w:bookmarkEnd w:id="19"/>
    </w:p>
    <w:tbl>
      <w:tblPr>
        <w:tblW w:w="1550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84"/>
        <w:gridCol w:w="1134"/>
        <w:gridCol w:w="1531"/>
        <w:gridCol w:w="1531"/>
        <w:gridCol w:w="709"/>
        <w:gridCol w:w="907"/>
        <w:gridCol w:w="1022"/>
        <w:gridCol w:w="1019"/>
        <w:gridCol w:w="1134"/>
        <w:gridCol w:w="1134"/>
        <w:gridCol w:w="1134"/>
        <w:gridCol w:w="1134"/>
        <w:gridCol w:w="1134"/>
      </w:tblGrid>
      <w:tr w:rsidR="008D3AF7">
        <w:trPr>
          <w:cantSplit/>
          <w:tblHeader/>
          <w:jc w:val="center"/>
        </w:trPr>
        <w:tc>
          <w:tcPr>
            <w:tcW w:w="8818" w:type="dxa"/>
            <w:gridSpan w:val="7"/>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left"/>
              <w:rPr>
                <w:rFonts w:ascii="仿宋" w:eastAsia="仿宋" w:hAnsi="仿宋" w:cs="仿宋"/>
                <w:sz w:val="24"/>
              </w:rPr>
            </w:pPr>
            <w:r>
              <w:rPr>
                <w:rFonts w:ascii="仿宋" w:eastAsia="仿宋" w:hAnsi="仿宋" w:cs="仿宋" w:hint="eastAsia"/>
                <w:sz w:val="24"/>
              </w:rPr>
              <w:t>315隆尧县司法局</w:t>
            </w:r>
          </w:p>
        </w:tc>
        <w:tc>
          <w:tcPr>
            <w:tcW w:w="6689" w:type="dxa"/>
            <w:gridSpan w:val="6"/>
            <w:tcBorders>
              <w:top w:val="single" w:sz="6" w:space="0" w:color="FFFFFF"/>
              <w:left w:val="single" w:sz="6" w:space="0" w:color="FFFFFF"/>
              <w:right w:val="single" w:sz="6" w:space="0" w:color="FFFFFF"/>
            </w:tcBorders>
            <w:shd w:val="clear" w:color="auto" w:fill="auto"/>
            <w:vAlign w:val="center"/>
          </w:tcPr>
          <w:p w:rsidR="008D3AF7" w:rsidRDefault="00000000">
            <w:pPr>
              <w:spacing w:line="300" w:lineRule="exact"/>
              <w:jc w:val="right"/>
              <w:rPr>
                <w:rFonts w:ascii="仿宋" w:eastAsia="仿宋" w:hAnsi="仿宋" w:cs="仿宋"/>
                <w:sz w:val="24"/>
              </w:rPr>
            </w:pPr>
            <w:r>
              <w:rPr>
                <w:rFonts w:ascii="仿宋" w:eastAsia="仿宋" w:hAnsi="仿宋" w:cs="仿宋" w:hint="eastAsia"/>
                <w:sz w:val="24"/>
              </w:rPr>
              <w:t>单位：万元</w:t>
            </w:r>
          </w:p>
        </w:tc>
      </w:tr>
      <w:tr w:rsidR="008D3AF7">
        <w:trPr>
          <w:cantSplit/>
          <w:tblHeader/>
          <w:jc w:val="center"/>
        </w:trPr>
        <w:tc>
          <w:tcPr>
            <w:tcW w:w="3118" w:type="dxa"/>
            <w:gridSpan w:val="2"/>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政府采购项目来源</w:t>
            </w:r>
          </w:p>
        </w:tc>
        <w:tc>
          <w:tcPr>
            <w:tcW w:w="1531"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采购物品名称</w:t>
            </w:r>
          </w:p>
        </w:tc>
        <w:tc>
          <w:tcPr>
            <w:tcW w:w="1531"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政府采购目录序号</w:t>
            </w:r>
          </w:p>
        </w:tc>
        <w:tc>
          <w:tcPr>
            <w:tcW w:w="709"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计量  单位</w:t>
            </w:r>
          </w:p>
        </w:tc>
        <w:tc>
          <w:tcPr>
            <w:tcW w:w="907"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数量</w:t>
            </w:r>
          </w:p>
        </w:tc>
        <w:tc>
          <w:tcPr>
            <w:tcW w:w="1022" w:type="dxa"/>
            <w:vMerge w:val="restart"/>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单价</w:t>
            </w:r>
          </w:p>
        </w:tc>
        <w:tc>
          <w:tcPr>
            <w:tcW w:w="6689" w:type="dxa"/>
            <w:gridSpan w:val="6"/>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政府采购金额（当年部门预算安排资金）</w:t>
            </w:r>
          </w:p>
        </w:tc>
      </w:tr>
      <w:tr w:rsidR="008D3AF7">
        <w:trPr>
          <w:cantSplit/>
          <w:tblHeader/>
          <w:jc w:val="center"/>
        </w:trPr>
        <w:tc>
          <w:tcPr>
            <w:tcW w:w="198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项目名称</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预算资金</w:t>
            </w:r>
          </w:p>
        </w:tc>
        <w:tc>
          <w:tcPr>
            <w:tcW w:w="1531" w:type="dxa"/>
            <w:vMerge/>
            <w:shd w:val="clear" w:color="auto" w:fill="auto"/>
            <w:vAlign w:val="center"/>
          </w:tcPr>
          <w:p w:rsidR="008D3AF7" w:rsidRDefault="008D3AF7">
            <w:pPr>
              <w:spacing w:line="300" w:lineRule="exact"/>
              <w:jc w:val="left"/>
              <w:outlineLvl w:val="1"/>
              <w:rPr>
                <w:rFonts w:ascii="仿宋" w:eastAsia="仿宋" w:hAnsi="仿宋" w:cs="仿宋"/>
                <w:sz w:val="28"/>
              </w:rPr>
            </w:pPr>
          </w:p>
        </w:tc>
        <w:tc>
          <w:tcPr>
            <w:tcW w:w="1531" w:type="dxa"/>
            <w:vMerge/>
            <w:shd w:val="clear" w:color="auto" w:fill="auto"/>
            <w:vAlign w:val="center"/>
          </w:tcPr>
          <w:p w:rsidR="008D3AF7" w:rsidRDefault="008D3AF7">
            <w:pPr>
              <w:spacing w:line="300" w:lineRule="exact"/>
              <w:jc w:val="left"/>
              <w:outlineLvl w:val="1"/>
              <w:rPr>
                <w:rFonts w:ascii="仿宋" w:eastAsia="仿宋" w:hAnsi="仿宋" w:cs="仿宋"/>
                <w:sz w:val="28"/>
              </w:rPr>
            </w:pPr>
          </w:p>
        </w:tc>
        <w:tc>
          <w:tcPr>
            <w:tcW w:w="709" w:type="dxa"/>
            <w:vMerge/>
            <w:shd w:val="clear" w:color="auto" w:fill="auto"/>
            <w:vAlign w:val="center"/>
          </w:tcPr>
          <w:p w:rsidR="008D3AF7" w:rsidRDefault="008D3AF7">
            <w:pPr>
              <w:spacing w:line="300" w:lineRule="exact"/>
              <w:jc w:val="left"/>
              <w:outlineLvl w:val="1"/>
              <w:rPr>
                <w:rFonts w:ascii="仿宋" w:eastAsia="仿宋" w:hAnsi="仿宋" w:cs="仿宋"/>
                <w:sz w:val="28"/>
              </w:rPr>
            </w:pPr>
          </w:p>
        </w:tc>
        <w:tc>
          <w:tcPr>
            <w:tcW w:w="907" w:type="dxa"/>
            <w:vMerge/>
            <w:shd w:val="clear" w:color="auto" w:fill="auto"/>
            <w:vAlign w:val="center"/>
          </w:tcPr>
          <w:p w:rsidR="008D3AF7" w:rsidRDefault="008D3AF7">
            <w:pPr>
              <w:spacing w:line="300" w:lineRule="exact"/>
              <w:jc w:val="left"/>
              <w:outlineLvl w:val="1"/>
              <w:rPr>
                <w:rFonts w:ascii="仿宋" w:eastAsia="仿宋" w:hAnsi="仿宋" w:cs="仿宋"/>
                <w:sz w:val="28"/>
              </w:rPr>
            </w:pPr>
          </w:p>
        </w:tc>
        <w:tc>
          <w:tcPr>
            <w:tcW w:w="1022" w:type="dxa"/>
            <w:vMerge/>
            <w:shd w:val="clear" w:color="auto" w:fill="auto"/>
            <w:vAlign w:val="center"/>
          </w:tcPr>
          <w:p w:rsidR="008D3AF7" w:rsidRDefault="008D3AF7">
            <w:pPr>
              <w:spacing w:line="300" w:lineRule="exact"/>
              <w:jc w:val="left"/>
              <w:outlineLvl w:val="1"/>
              <w:rPr>
                <w:rFonts w:ascii="仿宋" w:eastAsia="仿宋" w:hAnsi="仿宋" w:cs="仿宋"/>
                <w:sz w:val="28"/>
              </w:rPr>
            </w:pPr>
          </w:p>
        </w:tc>
        <w:tc>
          <w:tcPr>
            <w:tcW w:w="1019"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合计</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一般公共预算拨款</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基金预算拨款</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国有资本经营预算拨款</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财政专户核拨</w:t>
            </w:r>
          </w:p>
        </w:tc>
        <w:tc>
          <w:tcPr>
            <w:tcW w:w="113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单位资金</w:t>
            </w:r>
          </w:p>
        </w:tc>
      </w:tr>
      <w:tr w:rsidR="008D3AF7">
        <w:trPr>
          <w:cantSplit/>
          <w:jc w:val="center"/>
        </w:trPr>
        <w:tc>
          <w:tcPr>
            <w:tcW w:w="198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合  计</w:t>
            </w: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c>
          <w:tcPr>
            <w:tcW w:w="1531" w:type="dxa"/>
            <w:shd w:val="clear" w:color="auto" w:fill="auto"/>
            <w:vAlign w:val="center"/>
          </w:tcPr>
          <w:p w:rsidR="008D3AF7" w:rsidRDefault="008D3AF7">
            <w:pPr>
              <w:spacing w:line="300" w:lineRule="exact"/>
              <w:jc w:val="left"/>
              <w:rPr>
                <w:rFonts w:ascii="仿宋" w:eastAsia="仿宋" w:hAnsi="仿宋" w:cs="仿宋"/>
                <w:b/>
              </w:rPr>
            </w:pPr>
          </w:p>
        </w:tc>
        <w:tc>
          <w:tcPr>
            <w:tcW w:w="1531" w:type="dxa"/>
            <w:shd w:val="clear" w:color="auto" w:fill="auto"/>
            <w:vAlign w:val="center"/>
          </w:tcPr>
          <w:p w:rsidR="008D3AF7" w:rsidRDefault="008D3AF7">
            <w:pPr>
              <w:spacing w:line="300" w:lineRule="exact"/>
              <w:jc w:val="left"/>
              <w:rPr>
                <w:rFonts w:ascii="仿宋" w:eastAsia="仿宋" w:hAnsi="仿宋" w:cs="仿宋"/>
                <w:b/>
              </w:rPr>
            </w:pPr>
          </w:p>
        </w:tc>
        <w:tc>
          <w:tcPr>
            <w:tcW w:w="709" w:type="dxa"/>
            <w:shd w:val="clear" w:color="auto" w:fill="auto"/>
            <w:vAlign w:val="center"/>
          </w:tcPr>
          <w:p w:rsidR="008D3AF7" w:rsidRDefault="008D3AF7">
            <w:pPr>
              <w:spacing w:line="300" w:lineRule="exact"/>
              <w:jc w:val="center"/>
              <w:rPr>
                <w:rFonts w:ascii="仿宋" w:eastAsia="仿宋" w:hAnsi="仿宋" w:cs="仿宋"/>
                <w:b/>
              </w:rPr>
            </w:pPr>
          </w:p>
        </w:tc>
        <w:tc>
          <w:tcPr>
            <w:tcW w:w="907" w:type="dxa"/>
            <w:shd w:val="clear" w:color="auto" w:fill="auto"/>
            <w:vAlign w:val="center"/>
          </w:tcPr>
          <w:p w:rsidR="008D3AF7" w:rsidRDefault="008D3AF7">
            <w:pPr>
              <w:spacing w:line="300" w:lineRule="exact"/>
              <w:jc w:val="right"/>
              <w:rPr>
                <w:rFonts w:ascii="仿宋" w:eastAsia="仿宋" w:hAnsi="仿宋" w:cs="仿宋"/>
                <w:b/>
              </w:rPr>
            </w:pPr>
          </w:p>
        </w:tc>
        <w:tc>
          <w:tcPr>
            <w:tcW w:w="1022" w:type="dxa"/>
            <w:shd w:val="clear" w:color="auto" w:fill="auto"/>
            <w:vAlign w:val="center"/>
          </w:tcPr>
          <w:p w:rsidR="008D3AF7" w:rsidRDefault="008D3AF7">
            <w:pPr>
              <w:spacing w:line="300" w:lineRule="exact"/>
              <w:jc w:val="right"/>
              <w:rPr>
                <w:rFonts w:ascii="仿宋" w:eastAsia="仿宋" w:hAnsi="仿宋" w:cs="仿宋"/>
                <w:b/>
              </w:rPr>
            </w:pPr>
          </w:p>
        </w:tc>
        <w:tc>
          <w:tcPr>
            <w:tcW w:w="1019" w:type="dxa"/>
            <w:shd w:val="clear" w:color="auto" w:fill="auto"/>
            <w:vAlign w:val="center"/>
          </w:tcPr>
          <w:p w:rsidR="008D3AF7" w:rsidRDefault="00000000">
            <w:pPr>
              <w:spacing w:line="300" w:lineRule="exact"/>
              <w:jc w:val="right"/>
              <w:rPr>
                <w:rFonts w:ascii="仿宋" w:eastAsia="仿宋" w:hAnsi="仿宋" w:cs="仿宋"/>
                <w:b/>
              </w:rPr>
            </w:pPr>
            <w:r>
              <w:rPr>
                <w:rFonts w:ascii="仿宋" w:eastAsia="仿宋" w:hAnsi="仿宋" w:cs="仿宋" w:hint="eastAsia"/>
                <w:b/>
              </w:rPr>
              <w:t>92.01</w:t>
            </w:r>
          </w:p>
        </w:tc>
        <w:tc>
          <w:tcPr>
            <w:tcW w:w="1134" w:type="dxa"/>
            <w:shd w:val="clear" w:color="auto" w:fill="auto"/>
            <w:vAlign w:val="center"/>
          </w:tcPr>
          <w:p w:rsidR="008D3AF7" w:rsidRDefault="00000000">
            <w:pPr>
              <w:spacing w:line="300" w:lineRule="exact"/>
              <w:jc w:val="right"/>
              <w:rPr>
                <w:rFonts w:ascii="仿宋" w:eastAsia="仿宋" w:hAnsi="仿宋" w:cs="仿宋"/>
                <w:b/>
              </w:rPr>
            </w:pPr>
            <w:r>
              <w:rPr>
                <w:rFonts w:ascii="仿宋" w:eastAsia="仿宋" w:hAnsi="仿宋" w:cs="仿宋" w:hint="eastAsia"/>
                <w:b/>
              </w:rPr>
              <w:t>92.01</w:t>
            </w: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r>
      <w:tr w:rsidR="008D3AF7">
        <w:trPr>
          <w:cantSplit/>
          <w:jc w:val="center"/>
        </w:trPr>
        <w:tc>
          <w:tcPr>
            <w:tcW w:w="1984" w:type="dxa"/>
            <w:shd w:val="clear" w:color="auto" w:fill="auto"/>
            <w:vAlign w:val="center"/>
          </w:tcPr>
          <w:p w:rsidR="008D3AF7" w:rsidRDefault="00000000">
            <w:pPr>
              <w:spacing w:line="300" w:lineRule="exact"/>
              <w:jc w:val="center"/>
              <w:rPr>
                <w:rFonts w:ascii="仿宋" w:eastAsia="仿宋" w:hAnsi="仿宋" w:cs="仿宋"/>
                <w:b/>
              </w:rPr>
            </w:pPr>
            <w:r>
              <w:rPr>
                <w:rFonts w:ascii="仿宋" w:eastAsia="仿宋" w:hAnsi="仿宋" w:cs="仿宋" w:hint="eastAsia"/>
                <w:b/>
              </w:rPr>
              <w:t>隆尧县司法局本级小计</w:t>
            </w: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c>
          <w:tcPr>
            <w:tcW w:w="1531" w:type="dxa"/>
            <w:shd w:val="clear" w:color="auto" w:fill="auto"/>
            <w:vAlign w:val="center"/>
          </w:tcPr>
          <w:p w:rsidR="008D3AF7" w:rsidRDefault="008D3AF7">
            <w:pPr>
              <w:spacing w:line="300" w:lineRule="exact"/>
              <w:jc w:val="left"/>
              <w:rPr>
                <w:rFonts w:ascii="仿宋" w:eastAsia="仿宋" w:hAnsi="仿宋" w:cs="仿宋"/>
                <w:b/>
              </w:rPr>
            </w:pPr>
          </w:p>
        </w:tc>
        <w:tc>
          <w:tcPr>
            <w:tcW w:w="1531" w:type="dxa"/>
            <w:shd w:val="clear" w:color="auto" w:fill="auto"/>
            <w:vAlign w:val="center"/>
          </w:tcPr>
          <w:p w:rsidR="008D3AF7" w:rsidRDefault="008D3AF7">
            <w:pPr>
              <w:spacing w:line="300" w:lineRule="exact"/>
              <w:jc w:val="left"/>
              <w:rPr>
                <w:rFonts w:ascii="仿宋" w:eastAsia="仿宋" w:hAnsi="仿宋" w:cs="仿宋"/>
                <w:b/>
              </w:rPr>
            </w:pPr>
          </w:p>
        </w:tc>
        <w:tc>
          <w:tcPr>
            <w:tcW w:w="709" w:type="dxa"/>
            <w:shd w:val="clear" w:color="auto" w:fill="auto"/>
            <w:vAlign w:val="center"/>
          </w:tcPr>
          <w:p w:rsidR="008D3AF7" w:rsidRDefault="008D3AF7">
            <w:pPr>
              <w:spacing w:line="300" w:lineRule="exact"/>
              <w:jc w:val="center"/>
              <w:rPr>
                <w:rFonts w:ascii="仿宋" w:eastAsia="仿宋" w:hAnsi="仿宋" w:cs="仿宋"/>
                <w:b/>
              </w:rPr>
            </w:pPr>
          </w:p>
        </w:tc>
        <w:tc>
          <w:tcPr>
            <w:tcW w:w="907" w:type="dxa"/>
            <w:shd w:val="clear" w:color="auto" w:fill="auto"/>
            <w:vAlign w:val="center"/>
          </w:tcPr>
          <w:p w:rsidR="008D3AF7" w:rsidRDefault="008D3AF7">
            <w:pPr>
              <w:spacing w:line="300" w:lineRule="exact"/>
              <w:jc w:val="right"/>
              <w:rPr>
                <w:rFonts w:ascii="仿宋" w:eastAsia="仿宋" w:hAnsi="仿宋" w:cs="仿宋"/>
                <w:b/>
              </w:rPr>
            </w:pPr>
          </w:p>
        </w:tc>
        <w:tc>
          <w:tcPr>
            <w:tcW w:w="1022" w:type="dxa"/>
            <w:shd w:val="clear" w:color="auto" w:fill="auto"/>
            <w:vAlign w:val="center"/>
          </w:tcPr>
          <w:p w:rsidR="008D3AF7" w:rsidRDefault="008D3AF7">
            <w:pPr>
              <w:spacing w:line="300" w:lineRule="exact"/>
              <w:jc w:val="right"/>
              <w:rPr>
                <w:rFonts w:ascii="仿宋" w:eastAsia="仿宋" w:hAnsi="仿宋" w:cs="仿宋"/>
                <w:b/>
              </w:rPr>
            </w:pPr>
          </w:p>
        </w:tc>
        <w:tc>
          <w:tcPr>
            <w:tcW w:w="1019" w:type="dxa"/>
            <w:shd w:val="clear" w:color="auto" w:fill="auto"/>
            <w:vAlign w:val="center"/>
          </w:tcPr>
          <w:p w:rsidR="008D3AF7" w:rsidRDefault="00000000">
            <w:pPr>
              <w:spacing w:line="300" w:lineRule="exact"/>
              <w:jc w:val="right"/>
              <w:rPr>
                <w:rFonts w:ascii="仿宋" w:eastAsia="仿宋" w:hAnsi="仿宋" w:cs="仿宋"/>
                <w:b/>
              </w:rPr>
            </w:pPr>
            <w:r>
              <w:rPr>
                <w:rFonts w:ascii="仿宋" w:eastAsia="仿宋" w:hAnsi="仿宋" w:cs="仿宋" w:hint="eastAsia"/>
                <w:b/>
              </w:rPr>
              <w:t>92.01</w:t>
            </w:r>
          </w:p>
        </w:tc>
        <w:tc>
          <w:tcPr>
            <w:tcW w:w="1134" w:type="dxa"/>
            <w:shd w:val="clear" w:color="auto" w:fill="auto"/>
            <w:vAlign w:val="center"/>
          </w:tcPr>
          <w:p w:rsidR="008D3AF7" w:rsidRDefault="00000000">
            <w:pPr>
              <w:spacing w:line="300" w:lineRule="exact"/>
              <w:jc w:val="right"/>
              <w:rPr>
                <w:rFonts w:ascii="仿宋" w:eastAsia="仿宋" w:hAnsi="仿宋" w:cs="仿宋"/>
                <w:b/>
              </w:rPr>
            </w:pPr>
            <w:r>
              <w:rPr>
                <w:rFonts w:ascii="仿宋" w:eastAsia="仿宋" w:hAnsi="仿宋" w:cs="仿宋" w:hint="eastAsia"/>
                <w:b/>
              </w:rPr>
              <w:t>92.01</w:t>
            </w: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c>
          <w:tcPr>
            <w:tcW w:w="1134" w:type="dxa"/>
            <w:shd w:val="clear" w:color="auto" w:fill="auto"/>
            <w:vAlign w:val="center"/>
          </w:tcPr>
          <w:p w:rsidR="008D3AF7" w:rsidRDefault="008D3AF7">
            <w:pPr>
              <w:spacing w:line="300" w:lineRule="exact"/>
              <w:jc w:val="right"/>
              <w:rPr>
                <w:rFonts w:ascii="仿宋" w:eastAsia="仿宋" w:hAnsi="仿宋" w:cs="仿宋"/>
                <w:b/>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运转类公用项目</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107.56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空调机</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A0206180203</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台</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0.31</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0.62</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0.62</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运转类公用项目</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107.56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组合家具</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A0609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套</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3.48</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3.48</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3.48</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运转类公用项目</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107.56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复印纸</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A090101</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箱</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100</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0.026</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2.60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2.60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运转类公用项目</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107.56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张</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100000</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0.00004</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4.00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4.00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运转类公用项目</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107.56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物业管理服务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C1204</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次</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12</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0.85</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10.20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10.20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法治政府建设费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6.20</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3.00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3.000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3.00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法[2020]70号/中央/政法纪检监察转移支付资金（业务经费）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44.52</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车辆维修和保养服务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C050301</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6.00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6.00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6.00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法[2020]70号/中央/政法纪检监察转移支付资金（业务经费）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44.52</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车辆加油服务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C050302</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8.00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8.00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8.00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lastRenderedPageBreak/>
              <w:t>冀财政</w:t>
            </w:r>
            <w:proofErr w:type="gramEnd"/>
            <w:r>
              <w:rPr>
                <w:rFonts w:ascii="仿宋" w:eastAsia="仿宋" w:hAnsi="仿宋" w:cs="仿宋" w:hint="eastAsia"/>
              </w:rPr>
              <w:t>法[2020]70号/中央/政法纪检监察转移支付资金（业务经费）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44.52</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7.84</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7.84</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7.84</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法[2020]70号/中央/政法纪检监察转移支付资金（业务经费）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44.52</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机动车保险服务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C15040201</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4.00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4.00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4.00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支付资金（法律援助）</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6.00</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6.00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6.00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6.00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支付资金（业务经费）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18.84</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11.16</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11.16</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11.16</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支付资金（装备经费）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7.16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台式计算机</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A02010104</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台</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5</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0.50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2.50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2.50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支付资金（装备经费）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7.16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便携式计算机</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A02010105</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台</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0.60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1.80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1.80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lastRenderedPageBreak/>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支付资金（装备经费）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7.16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激光打印机</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A0201060102</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台</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5</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0.20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支付资金（装备经费）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7.16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激光打印机</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A0201060102</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台</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0.98</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0.98</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0.98</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法[2020]71号/省级/基层公检法</w:t>
            </w:r>
            <w:proofErr w:type="gramStart"/>
            <w:r>
              <w:rPr>
                <w:rFonts w:ascii="仿宋" w:eastAsia="仿宋" w:hAnsi="仿宋" w:cs="仿宋" w:hint="eastAsia"/>
              </w:rPr>
              <w:t>司转移</w:t>
            </w:r>
            <w:proofErr w:type="gramEnd"/>
            <w:r>
              <w:rPr>
                <w:rFonts w:ascii="仿宋" w:eastAsia="仿宋" w:hAnsi="仿宋" w:cs="仿宋" w:hint="eastAsia"/>
              </w:rPr>
              <w:t>支付资金（装备经费）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7.16</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复印机</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A020201</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台</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0.88</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0.88</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0.88</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proofErr w:type="gramStart"/>
            <w:r>
              <w:rPr>
                <w:rFonts w:ascii="仿宋" w:eastAsia="仿宋" w:hAnsi="仿宋" w:cs="仿宋" w:hint="eastAsia"/>
              </w:rPr>
              <w:t>冀财政</w:t>
            </w:r>
            <w:proofErr w:type="gramEnd"/>
            <w:r>
              <w:rPr>
                <w:rFonts w:ascii="仿宋" w:eastAsia="仿宋" w:hAnsi="仿宋" w:cs="仿宋" w:hint="eastAsia"/>
              </w:rPr>
              <w:t>法[2020]74号/提前下达2021年社区矫正补助资金</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7.02</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2.02</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2.02</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2.02</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普法经费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17.00</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5.90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5.90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5.90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人民调解经费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30.23</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3.23</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3.23</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3.23</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扫黑除恶专项经费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1.00</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1.00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22.00</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LED显示屏</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A020207</w:t>
            </w:r>
          </w:p>
        </w:tc>
        <w:tc>
          <w:tcPr>
            <w:tcW w:w="709" w:type="dxa"/>
            <w:shd w:val="clear" w:color="auto" w:fill="auto"/>
            <w:vAlign w:val="center"/>
          </w:tcPr>
          <w:p w:rsidR="008D3AF7" w:rsidRDefault="00000000">
            <w:pPr>
              <w:spacing w:line="300" w:lineRule="exact"/>
              <w:jc w:val="center"/>
              <w:rPr>
                <w:rFonts w:ascii="仿宋" w:eastAsia="仿宋" w:hAnsi="仿宋" w:cs="仿宋"/>
              </w:rPr>
            </w:pPr>
            <w:proofErr w:type="gramStart"/>
            <w:r>
              <w:rPr>
                <w:rFonts w:ascii="仿宋" w:eastAsia="仿宋" w:hAnsi="仿宋" w:cs="仿宋" w:hint="eastAsia"/>
              </w:rPr>
              <w:t>个</w:t>
            </w:r>
            <w:proofErr w:type="gramEnd"/>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0.30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0.30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0.30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r w:rsidR="008D3AF7">
        <w:trPr>
          <w:cantSplit/>
          <w:jc w:val="center"/>
        </w:trPr>
        <w:tc>
          <w:tcPr>
            <w:tcW w:w="1984"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社区矫正经费</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22..00</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其他印刷服务</w:t>
            </w:r>
          </w:p>
        </w:tc>
        <w:tc>
          <w:tcPr>
            <w:tcW w:w="1531" w:type="dxa"/>
            <w:shd w:val="clear" w:color="auto" w:fill="auto"/>
            <w:vAlign w:val="center"/>
          </w:tcPr>
          <w:p w:rsidR="008D3AF7" w:rsidRDefault="00000000">
            <w:pPr>
              <w:spacing w:line="300" w:lineRule="exact"/>
              <w:jc w:val="left"/>
              <w:rPr>
                <w:rFonts w:ascii="仿宋" w:eastAsia="仿宋" w:hAnsi="仿宋" w:cs="仿宋"/>
              </w:rPr>
            </w:pPr>
            <w:r>
              <w:rPr>
                <w:rFonts w:ascii="仿宋" w:eastAsia="仿宋" w:hAnsi="仿宋" w:cs="仿宋" w:hint="eastAsia"/>
              </w:rPr>
              <w:t>C08140199</w:t>
            </w:r>
          </w:p>
        </w:tc>
        <w:tc>
          <w:tcPr>
            <w:tcW w:w="709" w:type="dxa"/>
            <w:shd w:val="clear" w:color="auto" w:fill="auto"/>
            <w:vAlign w:val="center"/>
          </w:tcPr>
          <w:p w:rsidR="008D3AF7" w:rsidRDefault="00000000">
            <w:pPr>
              <w:spacing w:line="300" w:lineRule="exact"/>
              <w:jc w:val="center"/>
              <w:rPr>
                <w:rFonts w:ascii="仿宋" w:eastAsia="仿宋" w:hAnsi="仿宋" w:cs="仿宋"/>
              </w:rPr>
            </w:pPr>
            <w:r>
              <w:rPr>
                <w:rFonts w:ascii="仿宋" w:eastAsia="仿宋" w:hAnsi="仿宋" w:cs="仿宋" w:hint="eastAsia"/>
              </w:rPr>
              <w:t>批</w:t>
            </w:r>
          </w:p>
        </w:tc>
        <w:tc>
          <w:tcPr>
            <w:tcW w:w="907"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1</w:t>
            </w:r>
          </w:p>
        </w:tc>
        <w:tc>
          <w:tcPr>
            <w:tcW w:w="1022"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5.50</w:t>
            </w:r>
          </w:p>
        </w:tc>
        <w:tc>
          <w:tcPr>
            <w:tcW w:w="1019"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5.50</w:t>
            </w:r>
          </w:p>
        </w:tc>
        <w:tc>
          <w:tcPr>
            <w:tcW w:w="1134" w:type="dxa"/>
            <w:shd w:val="clear" w:color="auto" w:fill="auto"/>
            <w:vAlign w:val="center"/>
          </w:tcPr>
          <w:p w:rsidR="008D3AF7" w:rsidRDefault="00000000">
            <w:pPr>
              <w:spacing w:line="300" w:lineRule="exact"/>
              <w:jc w:val="right"/>
              <w:rPr>
                <w:rFonts w:ascii="仿宋" w:eastAsia="仿宋" w:hAnsi="仿宋" w:cs="仿宋"/>
              </w:rPr>
            </w:pPr>
            <w:r>
              <w:rPr>
                <w:rFonts w:ascii="仿宋" w:eastAsia="仿宋" w:hAnsi="仿宋" w:cs="仿宋" w:hint="eastAsia"/>
              </w:rPr>
              <w:t>5.50</w:t>
            </w: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c>
          <w:tcPr>
            <w:tcW w:w="1134" w:type="dxa"/>
            <w:shd w:val="clear" w:color="auto" w:fill="auto"/>
            <w:vAlign w:val="center"/>
          </w:tcPr>
          <w:p w:rsidR="008D3AF7" w:rsidRDefault="008D3AF7">
            <w:pPr>
              <w:spacing w:line="300" w:lineRule="exact"/>
              <w:jc w:val="right"/>
              <w:rPr>
                <w:rFonts w:ascii="仿宋" w:eastAsia="仿宋" w:hAnsi="仿宋" w:cs="仿宋"/>
              </w:rPr>
            </w:pPr>
          </w:p>
        </w:tc>
      </w:tr>
    </w:tbl>
    <w:p w:rsidR="008D3AF7" w:rsidRDefault="008D3AF7">
      <w:pPr>
        <w:spacing w:line="300" w:lineRule="exact"/>
        <w:jc w:val="left"/>
        <w:outlineLvl w:val="1"/>
        <w:rPr>
          <w:rFonts w:ascii="仿宋" w:eastAsia="仿宋" w:hAnsi="仿宋" w:cs="仿宋"/>
          <w:sz w:val="28"/>
        </w:rPr>
        <w:sectPr w:rsidR="008D3AF7">
          <w:pgSz w:w="16839" w:h="11907" w:orient="landscape"/>
          <w:pgMar w:top="1361" w:right="1020" w:bottom="1361" w:left="1020" w:header="851" w:footer="992" w:gutter="0"/>
          <w:cols w:space="425"/>
          <w:docGrid w:type="lines" w:linePitch="312"/>
        </w:sectPr>
      </w:pPr>
    </w:p>
    <w:p w:rsidR="008D3AF7" w:rsidRDefault="00000000">
      <w:pPr>
        <w:autoSpaceDE w:val="0"/>
        <w:autoSpaceDN w:val="0"/>
        <w:adjustRightInd w:val="0"/>
        <w:ind w:firstLineChars="200" w:firstLine="640"/>
        <w:jc w:val="left"/>
        <w:rPr>
          <w:rFonts w:ascii="仿宋" w:eastAsia="仿宋" w:hAnsi="仿宋" w:cs="仿宋"/>
          <w:sz w:val="32"/>
          <w:szCs w:val="32"/>
        </w:rPr>
      </w:pPr>
      <w:r>
        <w:rPr>
          <w:rFonts w:ascii="仿宋" w:eastAsia="仿宋" w:hAnsi="仿宋" w:cs="仿宋" w:hint="eastAsia"/>
          <w:sz w:val="32"/>
          <w:szCs w:val="32"/>
        </w:rPr>
        <w:lastRenderedPageBreak/>
        <w:t>七、国有资产信息</w:t>
      </w:r>
    </w:p>
    <w:p w:rsidR="008D3AF7" w:rsidRDefault="00000000">
      <w:pPr>
        <w:ind w:firstLine="640"/>
        <w:rPr>
          <w:rFonts w:ascii="仿宋" w:eastAsia="仿宋" w:hAnsi="仿宋" w:cs="仿宋"/>
          <w:color w:val="000000"/>
          <w:sz w:val="32"/>
          <w:szCs w:val="32"/>
        </w:rPr>
      </w:pPr>
      <w:r>
        <w:rPr>
          <w:rFonts w:ascii="仿宋" w:eastAsia="仿宋" w:hAnsi="仿宋" w:cs="仿宋" w:hint="eastAsia"/>
          <w:color w:val="000000"/>
          <w:sz w:val="32"/>
          <w:szCs w:val="32"/>
        </w:rPr>
        <w:t>隆尧县司法局2020年末固定资产金额为390.77万元（详见下表），本年度拟购置固定资产总额为40.64万元，主要为计算机、空调、打印机、办公家具、执法执勤车辆等，已列入政府采购预算表，详见政府采购预算表。</w:t>
      </w:r>
    </w:p>
    <w:tbl>
      <w:tblPr>
        <w:tblW w:w="5000" w:type="pct"/>
        <w:tblInd w:w="-106" w:type="dxa"/>
        <w:tblLook w:val="04A0" w:firstRow="1" w:lastRow="0" w:firstColumn="1" w:lastColumn="0" w:noHBand="0" w:noVBand="1"/>
      </w:tblPr>
      <w:tblGrid>
        <w:gridCol w:w="5728"/>
        <w:gridCol w:w="3460"/>
        <w:gridCol w:w="5598"/>
      </w:tblGrid>
      <w:tr w:rsidR="008D3AF7">
        <w:trPr>
          <w:trHeight w:val="705"/>
        </w:trPr>
        <w:tc>
          <w:tcPr>
            <w:tcW w:w="5000" w:type="pct"/>
            <w:gridSpan w:val="3"/>
            <w:tcBorders>
              <w:top w:val="nil"/>
              <w:left w:val="nil"/>
              <w:bottom w:val="nil"/>
              <w:right w:val="nil"/>
            </w:tcBorders>
            <w:vAlign w:val="center"/>
          </w:tcPr>
          <w:p w:rsidR="008D3AF7" w:rsidRDefault="00000000">
            <w:pPr>
              <w:widowControl/>
              <w:jc w:val="center"/>
              <w:rPr>
                <w:rFonts w:ascii="仿宋" w:eastAsia="仿宋" w:hAnsi="仿宋" w:cs="仿宋"/>
                <w:b/>
                <w:bCs/>
                <w:kern w:val="0"/>
                <w:sz w:val="32"/>
                <w:szCs w:val="32"/>
              </w:rPr>
            </w:pPr>
            <w:r>
              <w:rPr>
                <w:rFonts w:ascii="仿宋" w:eastAsia="仿宋" w:hAnsi="仿宋" w:cs="仿宋" w:hint="eastAsia"/>
                <w:b/>
                <w:bCs/>
                <w:kern w:val="0"/>
                <w:sz w:val="32"/>
                <w:szCs w:val="32"/>
              </w:rPr>
              <w:t>隆尧县司法局固定资产占用情况表</w:t>
            </w:r>
          </w:p>
        </w:tc>
      </w:tr>
      <w:tr w:rsidR="008D3AF7">
        <w:trPr>
          <w:trHeight w:val="510"/>
        </w:trPr>
        <w:tc>
          <w:tcPr>
            <w:tcW w:w="3107" w:type="pct"/>
            <w:gridSpan w:val="2"/>
            <w:tcBorders>
              <w:top w:val="nil"/>
              <w:left w:val="nil"/>
              <w:bottom w:val="nil"/>
              <w:right w:val="nil"/>
            </w:tcBorders>
            <w:vAlign w:val="center"/>
          </w:tcPr>
          <w:p w:rsidR="008D3AF7" w:rsidRDefault="00000000">
            <w:pPr>
              <w:widowControl/>
              <w:jc w:val="left"/>
              <w:rPr>
                <w:rFonts w:ascii="仿宋" w:eastAsia="仿宋" w:hAnsi="仿宋" w:cs="仿宋"/>
                <w:kern w:val="0"/>
                <w:sz w:val="22"/>
                <w:szCs w:val="22"/>
              </w:rPr>
            </w:pPr>
            <w:r>
              <w:rPr>
                <w:rFonts w:ascii="仿宋" w:eastAsia="仿宋" w:hAnsi="仿宋" w:cs="仿宋" w:hint="eastAsia"/>
                <w:kern w:val="0"/>
                <w:sz w:val="22"/>
                <w:szCs w:val="22"/>
              </w:rPr>
              <w:t>编制部门：隆尧县司法局</w:t>
            </w:r>
          </w:p>
        </w:tc>
        <w:tc>
          <w:tcPr>
            <w:tcW w:w="1893" w:type="pct"/>
            <w:tcBorders>
              <w:top w:val="nil"/>
              <w:left w:val="nil"/>
              <w:bottom w:val="nil"/>
              <w:right w:val="nil"/>
            </w:tcBorders>
            <w:vAlign w:val="center"/>
          </w:tcPr>
          <w:p w:rsidR="008D3AF7" w:rsidRDefault="00000000">
            <w:pPr>
              <w:widowControl/>
              <w:ind w:firstLineChars="600" w:firstLine="1320"/>
              <w:jc w:val="left"/>
              <w:rPr>
                <w:rFonts w:ascii="仿宋" w:eastAsia="仿宋" w:hAnsi="仿宋" w:cs="仿宋"/>
                <w:kern w:val="0"/>
                <w:sz w:val="22"/>
                <w:szCs w:val="22"/>
              </w:rPr>
            </w:pPr>
            <w:r>
              <w:rPr>
                <w:rFonts w:ascii="仿宋" w:eastAsia="仿宋" w:hAnsi="仿宋" w:cs="仿宋" w:hint="eastAsia"/>
                <w:kern w:val="0"/>
                <w:sz w:val="22"/>
                <w:szCs w:val="22"/>
              </w:rPr>
              <w:t>截止时间：2020年12月31日</w:t>
            </w:r>
          </w:p>
        </w:tc>
      </w:tr>
      <w:tr w:rsidR="008D3AF7">
        <w:trPr>
          <w:trHeight w:val="645"/>
        </w:trPr>
        <w:tc>
          <w:tcPr>
            <w:tcW w:w="1937" w:type="pct"/>
            <w:tcBorders>
              <w:top w:val="single" w:sz="4" w:space="0" w:color="auto"/>
              <w:left w:val="single" w:sz="4" w:space="0" w:color="auto"/>
              <w:bottom w:val="single" w:sz="4" w:space="0" w:color="auto"/>
              <w:right w:val="single" w:sz="4" w:space="0" w:color="auto"/>
            </w:tcBorders>
            <w:vAlign w:val="center"/>
          </w:tcPr>
          <w:p w:rsidR="008D3AF7" w:rsidRDefault="00000000">
            <w:pPr>
              <w:widowControl/>
              <w:jc w:val="center"/>
              <w:rPr>
                <w:rFonts w:ascii="仿宋" w:eastAsia="仿宋" w:hAnsi="仿宋" w:cs="仿宋"/>
                <w:b/>
                <w:bCs/>
                <w:kern w:val="0"/>
                <w:sz w:val="22"/>
                <w:szCs w:val="22"/>
              </w:rPr>
            </w:pPr>
            <w:r>
              <w:rPr>
                <w:rFonts w:ascii="仿宋" w:eastAsia="仿宋" w:hAnsi="仿宋" w:cs="仿宋" w:hint="eastAsia"/>
                <w:b/>
                <w:bCs/>
                <w:kern w:val="0"/>
                <w:sz w:val="22"/>
                <w:szCs w:val="22"/>
              </w:rPr>
              <w:t>项目</w:t>
            </w:r>
          </w:p>
        </w:tc>
        <w:tc>
          <w:tcPr>
            <w:tcW w:w="1170" w:type="pct"/>
            <w:tcBorders>
              <w:top w:val="single" w:sz="4" w:space="0" w:color="auto"/>
              <w:left w:val="nil"/>
              <w:bottom w:val="single" w:sz="4" w:space="0" w:color="auto"/>
              <w:right w:val="single" w:sz="4" w:space="0" w:color="auto"/>
            </w:tcBorders>
            <w:vAlign w:val="center"/>
          </w:tcPr>
          <w:p w:rsidR="008D3AF7" w:rsidRDefault="00000000">
            <w:pPr>
              <w:widowControl/>
              <w:jc w:val="center"/>
              <w:rPr>
                <w:rFonts w:ascii="仿宋" w:eastAsia="仿宋" w:hAnsi="仿宋" w:cs="仿宋"/>
                <w:b/>
                <w:bCs/>
                <w:kern w:val="0"/>
                <w:sz w:val="22"/>
                <w:szCs w:val="22"/>
              </w:rPr>
            </w:pPr>
            <w:r>
              <w:rPr>
                <w:rFonts w:ascii="仿宋" w:eastAsia="仿宋" w:hAnsi="仿宋" w:cs="仿宋" w:hint="eastAsia"/>
                <w:b/>
                <w:bCs/>
                <w:kern w:val="0"/>
                <w:sz w:val="22"/>
                <w:szCs w:val="22"/>
              </w:rPr>
              <w:t>数量</w:t>
            </w:r>
          </w:p>
        </w:tc>
        <w:tc>
          <w:tcPr>
            <w:tcW w:w="1893" w:type="pct"/>
            <w:tcBorders>
              <w:top w:val="single" w:sz="4" w:space="0" w:color="auto"/>
              <w:left w:val="nil"/>
              <w:bottom w:val="single" w:sz="4" w:space="0" w:color="auto"/>
              <w:right w:val="single" w:sz="4" w:space="0" w:color="auto"/>
            </w:tcBorders>
            <w:vAlign w:val="center"/>
          </w:tcPr>
          <w:p w:rsidR="008D3AF7" w:rsidRDefault="00000000">
            <w:pPr>
              <w:widowControl/>
              <w:jc w:val="center"/>
              <w:rPr>
                <w:rFonts w:ascii="仿宋" w:eastAsia="仿宋" w:hAnsi="仿宋" w:cs="仿宋"/>
                <w:b/>
                <w:bCs/>
                <w:kern w:val="0"/>
                <w:sz w:val="22"/>
                <w:szCs w:val="22"/>
              </w:rPr>
            </w:pPr>
            <w:r>
              <w:rPr>
                <w:rFonts w:ascii="仿宋" w:eastAsia="仿宋" w:hAnsi="仿宋" w:cs="仿宋" w:hint="eastAsia"/>
                <w:b/>
                <w:bCs/>
                <w:kern w:val="0"/>
                <w:sz w:val="22"/>
                <w:szCs w:val="22"/>
              </w:rPr>
              <w:t>价值（金额单位：万元）</w:t>
            </w:r>
          </w:p>
        </w:tc>
      </w:tr>
      <w:tr w:rsidR="008D3AF7">
        <w:trPr>
          <w:trHeight w:val="645"/>
        </w:trPr>
        <w:tc>
          <w:tcPr>
            <w:tcW w:w="1937" w:type="pct"/>
            <w:tcBorders>
              <w:top w:val="nil"/>
              <w:left w:val="single" w:sz="4" w:space="0" w:color="auto"/>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资产总额</w:t>
            </w:r>
          </w:p>
        </w:tc>
        <w:tc>
          <w:tcPr>
            <w:tcW w:w="1170"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w:t>
            </w:r>
          </w:p>
        </w:tc>
        <w:tc>
          <w:tcPr>
            <w:tcW w:w="1893"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color w:val="FF0000"/>
                <w:kern w:val="0"/>
                <w:sz w:val="22"/>
                <w:szCs w:val="22"/>
              </w:rPr>
            </w:pPr>
            <w:r>
              <w:rPr>
                <w:rFonts w:ascii="仿宋" w:eastAsia="仿宋" w:hAnsi="仿宋" w:cs="仿宋" w:hint="eastAsia"/>
                <w:color w:val="000000"/>
                <w:kern w:val="0"/>
                <w:sz w:val="22"/>
                <w:szCs w:val="22"/>
              </w:rPr>
              <w:t>390.77</w:t>
            </w:r>
          </w:p>
        </w:tc>
      </w:tr>
      <w:tr w:rsidR="008D3AF7">
        <w:trPr>
          <w:trHeight w:val="645"/>
        </w:trPr>
        <w:tc>
          <w:tcPr>
            <w:tcW w:w="1937" w:type="pct"/>
            <w:tcBorders>
              <w:top w:val="nil"/>
              <w:left w:val="single" w:sz="4" w:space="0" w:color="auto"/>
              <w:bottom w:val="single" w:sz="4" w:space="0" w:color="auto"/>
              <w:right w:val="single" w:sz="4" w:space="0" w:color="auto"/>
            </w:tcBorders>
            <w:vAlign w:val="center"/>
          </w:tcPr>
          <w:p w:rsidR="008D3AF7" w:rsidRDefault="00000000">
            <w:pPr>
              <w:widowControl/>
              <w:jc w:val="left"/>
              <w:rPr>
                <w:rFonts w:ascii="仿宋" w:eastAsia="仿宋" w:hAnsi="仿宋" w:cs="仿宋"/>
                <w:kern w:val="0"/>
                <w:sz w:val="22"/>
                <w:szCs w:val="22"/>
              </w:rPr>
            </w:pPr>
            <w:r>
              <w:rPr>
                <w:rFonts w:ascii="仿宋" w:eastAsia="仿宋" w:hAnsi="仿宋" w:cs="仿宋" w:hint="eastAsia"/>
                <w:kern w:val="0"/>
                <w:sz w:val="22"/>
                <w:szCs w:val="22"/>
              </w:rPr>
              <w:t>1、房屋（平方米）</w:t>
            </w:r>
          </w:p>
        </w:tc>
        <w:tc>
          <w:tcPr>
            <w:tcW w:w="1170"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1236</w:t>
            </w:r>
          </w:p>
        </w:tc>
        <w:tc>
          <w:tcPr>
            <w:tcW w:w="1893"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58</w:t>
            </w:r>
          </w:p>
        </w:tc>
      </w:tr>
      <w:tr w:rsidR="008D3AF7">
        <w:trPr>
          <w:trHeight w:val="645"/>
        </w:trPr>
        <w:tc>
          <w:tcPr>
            <w:tcW w:w="1937" w:type="pct"/>
            <w:tcBorders>
              <w:top w:val="nil"/>
              <w:left w:val="single" w:sz="4" w:space="0" w:color="auto"/>
              <w:bottom w:val="single" w:sz="4" w:space="0" w:color="auto"/>
              <w:right w:val="single" w:sz="4" w:space="0" w:color="auto"/>
            </w:tcBorders>
            <w:vAlign w:val="center"/>
          </w:tcPr>
          <w:p w:rsidR="008D3AF7" w:rsidRDefault="00000000">
            <w:pPr>
              <w:widowControl/>
              <w:jc w:val="left"/>
              <w:rPr>
                <w:rFonts w:ascii="仿宋" w:eastAsia="仿宋" w:hAnsi="仿宋" w:cs="仿宋"/>
                <w:kern w:val="0"/>
                <w:sz w:val="22"/>
                <w:szCs w:val="22"/>
              </w:rPr>
            </w:pPr>
            <w:r>
              <w:rPr>
                <w:rFonts w:ascii="仿宋" w:eastAsia="仿宋" w:hAnsi="仿宋" w:cs="仿宋" w:hint="eastAsia"/>
                <w:kern w:val="0"/>
                <w:sz w:val="22"/>
                <w:szCs w:val="22"/>
              </w:rPr>
              <w:t>其中：办公用房（平方米）</w:t>
            </w:r>
          </w:p>
        </w:tc>
        <w:tc>
          <w:tcPr>
            <w:tcW w:w="1170"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774</w:t>
            </w:r>
          </w:p>
        </w:tc>
        <w:tc>
          <w:tcPr>
            <w:tcW w:w="1893"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36.32</w:t>
            </w:r>
          </w:p>
        </w:tc>
      </w:tr>
      <w:tr w:rsidR="008D3AF7">
        <w:trPr>
          <w:trHeight w:val="645"/>
        </w:trPr>
        <w:tc>
          <w:tcPr>
            <w:tcW w:w="1937" w:type="pct"/>
            <w:tcBorders>
              <w:top w:val="nil"/>
              <w:left w:val="single" w:sz="4" w:space="0" w:color="auto"/>
              <w:bottom w:val="single" w:sz="4" w:space="0" w:color="auto"/>
              <w:right w:val="single" w:sz="4" w:space="0" w:color="auto"/>
            </w:tcBorders>
            <w:vAlign w:val="center"/>
          </w:tcPr>
          <w:p w:rsidR="008D3AF7" w:rsidRDefault="00000000">
            <w:pPr>
              <w:widowControl/>
              <w:jc w:val="left"/>
              <w:rPr>
                <w:rFonts w:ascii="仿宋" w:eastAsia="仿宋" w:hAnsi="仿宋" w:cs="仿宋"/>
                <w:kern w:val="0"/>
                <w:sz w:val="22"/>
                <w:szCs w:val="22"/>
              </w:rPr>
            </w:pPr>
            <w:r>
              <w:rPr>
                <w:rFonts w:ascii="仿宋" w:eastAsia="仿宋" w:hAnsi="仿宋" w:cs="仿宋" w:hint="eastAsia"/>
                <w:kern w:val="0"/>
                <w:sz w:val="22"/>
                <w:szCs w:val="22"/>
              </w:rPr>
              <w:t>2、车辆（台、辆）</w:t>
            </w:r>
          </w:p>
        </w:tc>
        <w:tc>
          <w:tcPr>
            <w:tcW w:w="1170"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10</w:t>
            </w:r>
          </w:p>
        </w:tc>
        <w:tc>
          <w:tcPr>
            <w:tcW w:w="1893"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55.59</w:t>
            </w:r>
          </w:p>
        </w:tc>
      </w:tr>
      <w:tr w:rsidR="008D3AF7">
        <w:trPr>
          <w:trHeight w:val="645"/>
        </w:trPr>
        <w:tc>
          <w:tcPr>
            <w:tcW w:w="1937" w:type="pct"/>
            <w:tcBorders>
              <w:top w:val="nil"/>
              <w:left w:val="single" w:sz="4" w:space="0" w:color="auto"/>
              <w:bottom w:val="single" w:sz="4" w:space="0" w:color="auto"/>
              <w:right w:val="single" w:sz="4" w:space="0" w:color="auto"/>
            </w:tcBorders>
            <w:vAlign w:val="center"/>
          </w:tcPr>
          <w:p w:rsidR="008D3AF7" w:rsidRDefault="00000000">
            <w:pPr>
              <w:widowControl/>
              <w:jc w:val="left"/>
              <w:rPr>
                <w:rFonts w:ascii="仿宋" w:eastAsia="仿宋" w:hAnsi="仿宋" w:cs="仿宋"/>
                <w:kern w:val="0"/>
                <w:sz w:val="22"/>
                <w:szCs w:val="22"/>
              </w:rPr>
            </w:pPr>
            <w:r>
              <w:rPr>
                <w:rFonts w:ascii="仿宋" w:eastAsia="仿宋" w:hAnsi="仿宋" w:cs="仿宋" w:hint="eastAsia"/>
                <w:kern w:val="0"/>
                <w:sz w:val="22"/>
                <w:szCs w:val="22"/>
              </w:rPr>
              <w:t>3、其他设备</w:t>
            </w:r>
          </w:p>
        </w:tc>
        <w:tc>
          <w:tcPr>
            <w:tcW w:w="1170"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w:t>
            </w:r>
          </w:p>
        </w:tc>
        <w:tc>
          <w:tcPr>
            <w:tcW w:w="1893" w:type="pct"/>
            <w:tcBorders>
              <w:top w:val="nil"/>
              <w:left w:val="nil"/>
              <w:bottom w:val="single" w:sz="4" w:space="0" w:color="auto"/>
              <w:right w:val="single" w:sz="4" w:space="0" w:color="auto"/>
            </w:tcBorders>
            <w:vAlign w:val="center"/>
          </w:tcPr>
          <w:p w:rsidR="008D3AF7" w:rsidRDefault="008D3AF7">
            <w:pPr>
              <w:widowControl/>
              <w:jc w:val="center"/>
              <w:rPr>
                <w:rFonts w:ascii="仿宋" w:eastAsia="仿宋" w:hAnsi="仿宋" w:cs="仿宋"/>
                <w:kern w:val="0"/>
                <w:sz w:val="22"/>
                <w:szCs w:val="22"/>
              </w:rPr>
            </w:pPr>
          </w:p>
        </w:tc>
      </w:tr>
      <w:tr w:rsidR="008D3AF7">
        <w:trPr>
          <w:trHeight w:val="645"/>
        </w:trPr>
        <w:tc>
          <w:tcPr>
            <w:tcW w:w="1937" w:type="pct"/>
            <w:tcBorders>
              <w:top w:val="nil"/>
              <w:left w:val="single" w:sz="4" w:space="0" w:color="auto"/>
              <w:bottom w:val="single" w:sz="4" w:space="0" w:color="auto"/>
              <w:right w:val="single" w:sz="4" w:space="0" w:color="auto"/>
            </w:tcBorders>
            <w:vAlign w:val="center"/>
          </w:tcPr>
          <w:p w:rsidR="008D3AF7" w:rsidRDefault="00000000">
            <w:pPr>
              <w:widowControl/>
              <w:jc w:val="left"/>
              <w:rPr>
                <w:rFonts w:ascii="仿宋" w:eastAsia="仿宋" w:hAnsi="仿宋" w:cs="仿宋"/>
                <w:kern w:val="0"/>
                <w:sz w:val="22"/>
                <w:szCs w:val="22"/>
              </w:rPr>
            </w:pPr>
            <w:r>
              <w:rPr>
                <w:rFonts w:ascii="仿宋" w:eastAsia="仿宋" w:hAnsi="仿宋" w:cs="仿宋" w:hint="eastAsia"/>
                <w:kern w:val="0"/>
                <w:sz w:val="22"/>
                <w:szCs w:val="22"/>
              </w:rPr>
              <w:t>4、其他固定资产</w:t>
            </w:r>
          </w:p>
        </w:tc>
        <w:tc>
          <w:tcPr>
            <w:tcW w:w="1170"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w:t>
            </w:r>
          </w:p>
        </w:tc>
        <w:tc>
          <w:tcPr>
            <w:tcW w:w="1893" w:type="pct"/>
            <w:tcBorders>
              <w:top w:val="nil"/>
              <w:left w:val="nil"/>
              <w:bottom w:val="single" w:sz="4" w:space="0" w:color="auto"/>
              <w:right w:val="single" w:sz="4" w:space="0" w:color="auto"/>
            </w:tcBorders>
            <w:vAlign w:val="center"/>
          </w:tcPr>
          <w:p w:rsidR="008D3AF7" w:rsidRDefault="00000000">
            <w:pPr>
              <w:widowControl/>
              <w:jc w:val="center"/>
              <w:rPr>
                <w:rFonts w:ascii="仿宋" w:eastAsia="仿宋" w:hAnsi="仿宋" w:cs="仿宋"/>
                <w:kern w:val="0"/>
                <w:sz w:val="22"/>
                <w:szCs w:val="22"/>
              </w:rPr>
            </w:pPr>
            <w:r>
              <w:rPr>
                <w:rFonts w:ascii="仿宋" w:eastAsia="仿宋" w:hAnsi="仿宋" w:cs="仿宋" w:hint="eastAsia"/>
                <w:kern w:val="0"/>
                <w:sz w:val="22"/>
                <w:szCs w:val="22"/>
              </w:rPr>
              <w:t>277.18</w:t>
            </w:r>
          </w:p>
        </w:tc>
      </w:tr>
    </w:tbl>
    <w:p w:rsidR="008D3AF7" w:rsidRDefault="00000000">
      <w:pPr>
        <w:autoSpaceDE w:val="0"/>
        <w:autoSpaceDN w:val="0"/>
        <w:adjustRightInd w:val="0"/>
        <w:ind w:firstLineChars="200" w:firstLine="640"/>
        <w:jc w:val="left"/>
        <w:rPr>
          <w:rFonts w:ascii="仿宋" w:eastAsia="仿宋" w:hAnsi="仿宋" w:cs="仿宋"/>
          <w:sz w:val="32"/>
          <w:szCs w:val="32"/>
        </w:rPr>
      </w:pPr>
      <w:r>
        <w:rPr>
          <w:rFonts w:ascii="仿宋" w:eastAsia="仿宋" w:hAnsi="仿宋" w:cs="仿宋" w:hint="eastAsia"/>
          <w:sz w:val="32"/>
          <w:szCs w:val="32"/>
        </w:rPr>
        <w:t>八、名词解释</w:t>
      </w:r>
    </w:p>
    <w:p w:rsidR="008D3AF7" w:rsidRDefault="00000000">
      <w:pPr>
        <w:ind w:firstLineChars="220" w:firstLine="707"/>
        <w:rPr>
          <w:rFonts w:ascii="仿宋" w:eastAsia="仿宋" w:hAnsi="仿宋" w:cs="仿宋"/>
          <w:color w:val="000000"/>
          <w:sz w:val="32"/>
          <w:szCs w:val="32"/>
        </w:rPr>
      </w:pPr>
      <w:r>
        <w:rPr>
          <w:rFonts w:ascii="仿宋" w:eastAsia="仿宋" w:hAnsi="仿宋" w:cs="仿宋" w:hint="eastAsia"/>
          <w:b/>
          <w:bCs/>
          <w:color w:val="000000"/>
          <w:sz w:val="32"/>
          <w:szCs w:val="32"/>
        </w:rPr>
        <w:t>1</w:t>
      </w:r>
      <w:r>
        <w:rPr>
          <w:rFonts w:ascii="仿宋" w:eastAsia="仿宋" w:hAnsi="仿宋" w:cs="仿宋" w:hint="eastAsia"/>
          <w:color w:val="000000"/>
          <w:sz w:val="32"/>
          <w:szCs w:val="32"/>
        </w:rPr>
        <w:t>、一般</w:t>
      </w:r>
      <w:proofErr w:type="gramStart"/>
      <w:r>
        <w:rPr>
          <w:rFonts w:ascii="仿宋" w:eastAsia="仿宋" w:hAnsi="仿宋" w:cs="仿宋" w:hint="eastAsia"/>
          <w:color w:val="000000"/>
          <w:sz w:val="32"/>
          <w:szCs w:val="32"/>
        </w:rPr>
        <w:t>共预算</w:t>
      </w:r>
      <w:proofErr w:type="gramEnd"/>
      <w:r>
        <w:rPr>
          <w:rFonts w:ascii="仿宋" w:eastAsia="仿宋" w:hAnsi="仿宋" w:cs="仿宋" w:hint="eastAsia"/>
          <w:color w:val="000000"/>
          <w:sz w:val="32"/>
          <w:szCs w:val="32"/>
        </w:rPr>
        <w:t>拨款收入：指县级财政当年拨付的资金。</w:t>
      </w:r>
    </w:p>
    <w:p w:rsidR="008D3AF7" w:rsidRDefault="00000000">
      <w:pPr>
        <w:autoSpaceDE w:val="0"/>
        <w:autoSpaceDN w:val="0"/>
        <w:ind w:firstLineChars="220" w:firstLine="707"/>
        <w:rPr>
          <w:rFonts w:ascii="仿宋" w:eastAsia="仿宋" w:hAnsi="仿宋" w:cs="仿宋"/>
          <w:color w:val="000000"/>
          <w:sz w:val="32"/>
          <w:szCs w:val="32"/>
        </w:rPr>
      </w:pPr>
      <w:r>
        <w:rPr>
          <w:rFonts w:ascii="仿宋" w:eastAsia="仿宋" w:hAnsi="仿宋" w:cs="仿宋" w:hint="eastAsia"/>
          <w:b/>
          <w:bCs/>
          <w:color w:val="000000"/>
          <w:sz w:val="32"/>
          <w:szCs w:val="32"/>
        </w:rPr>
        <w:lastRenderedPageBreak/>
        <w:t>2</w:t>
      </w:r>
      <w:r>
        <w:rPr>
          <w:rFonts w:ascii="仿宋" w:eastAsia="仿宋" w:hAnsi="仿宋" w:cs="仿宋" w:hint="eastAsia"/>
          <w:color w:val="000000"/>
          <w:sz w:val="32"/>
          <w:szCs w:val="32"/>
        </w:rPr>
        <w:t>、基本支出：指为保障机构正常运转、完成日常工作任务而发生的人员支出和公用支出。</w:t>
      </w:r>
    </w:p>
    <w:p w:rsidR="008D3AF7" w:rsidRDefault="00000000">
      <w:pPr>
        <w:autoSpaceDE w:val="0"/>
        <w:autoSpaceDN w:val="0"/>
        <w:ind w:firstLineChars="220" w:firstLine="707"/>
        <w:rPr>
          <w:rFonts w:ascii="仿宋" w:eastAsia="仿宋" w:hAnsi="仿宋" w:cs="仿宋"/>
          <w:color w:val="000000"/>
          <w:sz w:val="32"/>
          <w:szCs w:val="32"/>
        </w:rPr>
      </w:pPr>
      <w:r>
        <w:rPr>
          <w:rFonts w:ascii="仿宋" w:eastAsia="仿宋" w:hAnsi="仿宋" w:cs="仿宋" w:hint="eastAsia"/>
          <w:b/>
          <w:bCs/>
          <w:color w:val="000000"/>
          <w:sz w:val="32"/>
          <w:szCs w:val="32"/>
        </w:rPr>
        <w:t>3</w:t>
      </w:r>
      <w:r>
        <w:rPr>
          <w:rFonts w:ascii="仿宋" w:eastAsia="仿宋" w:hAnsi="仿宋" w:cs="仿宋" w:hint="eastAsia"/>
          <w:color w:val="000000"/>
          <w:sz w:val="32"/>
          <w:szCs w:val="32"/>
        </w:rPr>
        <w:t>、项目支出：指在基本支出之外为完成特定行政任务和事业发展目标所发生的支出。</w:t>
      </w:r>
    </w:p>
    <w:p w:rsidR="008D3AF7" w:rsidRDefault="00000000">
      <w:pPr>
        <w:autoSpaceDE w:val="0"/>
        <w:autoSpaceDN w:val="0"/>
        <w:ind w:firstLineChars="220" w:firstLine="707"/>
        <w:rPr>
          <w:rFonts w:ascii="仿宋" w:eastAsia="仿宋" w:hAnsi="仿宋" w:cs="仿宋"/>
          <w:color w:val="000000"/>
          <w:sz w:val="32"/>
          <w:szCs w:val="32"/>
        </w:rPr>
      </w:pPr>
      <w:r>
        <w:rPr>
          <w:rFonts w:ascii="仿宋" w:eastAsia="仿宋" w:hAnsi="仿宋" w:cs="仿宋" w:hint="eastAsia"/>
          <w:b/>
          <w:bCs/>
          <w:color w:val="000000"/>
          <w:sz w:val="32"/>
          <w:szCs w:val="32"/>
        </w:rPr>
        <w:t>4</w:t>
      </w:r>
      <w:r>
        <w:rPr>
          <w:rFonts w:ascii="仿宋" w:eastAsia="仿宋" w:hAnsi="仿宋" w:cs="仿宋" w:hint="eastAsia"/>
          <w:color w:val="000000"/>
          <w:sz w:val="32"/>
          <w:szCs w:val="32"/>
        </w:rPr>
        <w:t>、</w:t>
      </w:r>
      <w:r>
        <w:rPr>
          <w:rFonts w:ascii="仿宋" w:eastAsia="仿宋" w:hAnsi="仿宋" w:cs="仿宋" w:hint="eastAsia"/>
          <w:b/>
          <w:bCs/>
          <w:color w:val="000000"/>
          <w:sz w:val="32"/>
          <w:szCs w:val="32"/>
        </w:rPr>
        <w:t>“</w:t>
      </w:r>
      <w:r>
        <w:rPr>
          <w:rFonts w:ascii="仿宋" w:eastAsia="仿宋" w:hAnsi="仿宋" w:cs="仿宋" w:hint="eastAsia"/>
          <w:color w:val="000000"/>
          <w:sz w:val="32"/>
          <w:szCs w:val="32"/>
        </w:rPr>
        <w:t>三公</w:t>
      </w:r>
      <w:r>
        <w:rPr>
          <w:rFonts w:ascii="仿宋" w:eastAsia="仿宋" w:hAnsi="仿宋" w:cs="仿宋" w:hint="eastAsia"/>
          <w:b/>
          <w:bCs/>
          <w:color w:val="000000"/>
          <w:sz w:val="32"/>
          <w:szCs w:val="32"/>
        </w:rPr>
        <w:t>”</w:t>
      </w:r>
      <w:r>
        <w:rPr>
          <w:rFonts w:ascii="仿宋" w:eastAsia="仿宋" w:hAnsi="仿宋" w:cs="仿宋" w:hint="eastAsia"/>
          <w:color w:val="000000"/>
          <w:sz w:val="32"/>
          <w:szCs w:val="32"/>
        </w:rPr>
        <w:t>经费：纳入县级财政预算管理的“三公”经费，是指县级部门用财政拨款安排的因公出国（境）费、公务用车购置及运行费和公务接待费。其中，因公出国（境）</w:t>
      </w:r>
      <w:proofErr w:type="gramStart"/>
      <w:r>
        <w:rPr>
          <w:rFonts w:ascii="仿宋" w:eastAsia="仿宋" w:hAnsi="仿宋" w:cs="仿宋" w:hint="eastAsia"/>
          <w:color w:val="000000"/>
          <w:sz w:val="32"/>
          <w:szCs w:val="32"/>
        </w:rPr>
        <w:t>费反映</w:t>
      </w:r>
      <w:proofErr w:type="gramEnd"/>
      <w:r>
        <w:rPr>
          <w:rFonts w:ascii="仿宋" w:eastAsia="仿宋" w:hAnsi="仿宋" w:cs="仿宋" w:hint="eastAsia"/>
          <w:color w:val="000000"/>
          <w:sz w:val="32"/>
          <w:szCs w:val="32"/>
        </w:rPr>
        <w:t>单位公务出国（境）的住宿费、旅费、伙食补助费、杂费、培训费等支出；公务用车购置及运行</w:t>
      </w:r>
      <w:proofErr w:type="gramStart"/>
      <w:r>
        <w:rPr>
          <w:rFonts w:ascii="仿宋" w:eastAsia="仿宋" w:hAnsi="仿宋" w:cs="仿宋" w:hint="eastAsia"/>
          <w:color w:val="000000"/>
          <w:sz w:val="32"/>
          <w:szCs w:val="32"/>
        </w:rPr>
        <w:t>费反映</w:t>
      </w:r>
      <w:proofErr w:type="gramEnd"/>
      <w:r>
        <w:rPr>
          <w:rFonts w:ascii="仿宋" w:eastAsia="仿宋" w:hAnsi="仿宋" w:cs="仿宋" w:hint="eastAsia"/>
          <w:color w:val="000000"/>
          <w:sz w:val="32"/>
          <w:szCs w:val="32"/>
        </w:rPr>
        <w:t>单位公务用车购置费及租用费、燃料费、维修费、过路过桥费、保险费、安全奖励费用等支出；公务接待</w:t>
      </w:r>
      <w:proofErr w:type="gramStart"/>
      <w:r>
        <w:rPr>
          <w:rFonts w:ascii="仿宋" w:eastAsia="仿宋" w:hAnsi="仿宋" w:cs="仿宋" w:hint="eastAsia"/>
          <w:color w:val="000000"/>
          <w:sz w:val="32"/>
          <w:szCs w:val="32"/>
        </w:rPr>
        <w:t>费反映</w:t>
      </w:r>
      <w:proofErr w:type="gramEnd"/>
      <w:r>
        <w:rPr>
          <w:rFonts w:ascii="仿宋" w:eastAsia="仿宋" w:hAnsi="仿宋" w:cs="仿宋" w:hint="eastAsia"/>
          <w:color w:val="000000"/>
          <w:sz w:val="32"/>
          <w:szCs w:val="32"/>
        </w:rPr>
        <w:t>单位按规定开支的各类公务接待支出。</w:t>
      </w:r>
    </w:p>
    <w:p w:rsidR="008D3AF7" w:rsidRDefault="00000000">
      <w:pPr>
        <w:ind w:firstLineChars="220" w:firstLine="707"/>
        <w:rPr>
          <w:rFonts w:ascii="仿宋" w:eastAsia="仿宋" w:hAnsi="仿宋" w:cs="仿宋"/>
          <w:color w:val="000000"/>
          <w:sz w:val="32"/>
          <w:szCs w:val="32"/>
        </w:rPr>
      </w:pPr>
      <w:r>
        <w:rPr>
          <w:rFonts w:ascii="仿宋" w:eastAsia="仿宋" w:hAnsi="仿宋" w:cs="仿宋" w:hint="eastAsia"/>
          <w:b/>
          <w:bCs/>
          <w:color w:val="000000"/>
          <w:sz w:val="32"/>
          <w:szCs w:val="32"/>
        </w:rPr>
        <w:t>5</w:t>
      </w:r>
      <w:r>
        <w:rPr>
          <w:rFonts w:ascii="仿宋" w:eastAsia="仿宋" w:hAnsi="仿宋" w:cs="仿宋" w:hint="eastAsia"/>
          <w:color w:val="000000"/>
          <w:sz w:val="32"/>
          <w:szCs w:val="32"/>
        </w:rPr>
        <w:t>、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rsidR="008D3AF7" w:rsidRDefault="00000000">
      <w:pPr>
        <w:ind w:firstLineChars="200" w:firstLine="643"/>
        <w:rPr>
          <w:rFonts w:ascii="仿宋" w:eastAsia="仿宋" w:hAnsi="仿宋" w:cs="仿宋"/>
          <w:b/>
          <w:bCs/>
          <w:sz w:val="32"/>
          <w:szCs w:val="32"/>
        </w:rPr>
      </w:pPr>
      <w:r>
        <w:rPr>
          <w:rFonts w:ascii="仿宋" w:eastAsia="仿宋" w:hAnsi="仿宋" w:cs="仿宋" w:hint="eastAsia"/>
          <w:b/>
          <w:bCs/>
          <w:sz w:val="32"/>
          <w:szCs w:val="32"/>
        </w:rPr>
        <w:t>九、其他需要说明的事项</w:t>
      </w:r>
    </w:p>
    <w:p w:rsidR="008D3AF7" w:rsidRDefault="00000000">
      <w:pPr>
        <w:ind w:firstLineChars="200" w:firstLine="640"/>
        <w:rPr>
          <w:rFonts w:ascii="仿宋" w:eastAsia="仿宋" w:hAnsi="仿宋" w:cs="仿宋"/>
          <w:sz w:val="32"/>
          <w:szCs w:val="32"/>
        </w:rPr>
      </w:pPr>
      <w:proofErr w:type="gramStart"/>
      <w:r>
        <w:rPr>
          <w:rFonts w:ascii="仿宋" w:eastAsia="仿宋" w:hAnsi="仿宋" w:cs="仿宋" w:hint="eastAsia"/>
          <w:sz w:val="32"/>
          <w:szCs w:val="32"/>
        </w:rPr>
        <w:t>我部门</w:t>
      </w:r>
      <w:proofErr w:type="gramEnd"/>
      <w:r>
        <w:rPr>
          <w:rFonts w:ascii="仿宋" w:eastAsia="仿宋" w:hAnsi="仿宋" w:cs="仿宋" w:hint="eastAsia"/>
          <w:sz w:val="32"/>
          <w:szCs w:val="32"/>
        </w:rPr>
        <w:t>无其他需要说明的事项。</w:t>
      </w:r>
    </w:p>
    <w:sectPr w:rsidR="008D3AF7">
      <w:headerReference w:type="default" r:id="rId6"/>
      <w:pgSz w:w="16838" w:h="11906" w:orient="landscape"/>
      <w:pgMar w:top="1304" w:right="1134" w:bottom="1134" w:left="1134"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D260E" w:rsidRDefault="001D260E">
      <w:r>
        <w:separator/>
      </w:r>
    </w:p>
  </w:endnote>
  <w:endnote w:type="continuationSeparator" w:id="0">
    <w:p w:rsidR="001D260E" w:rsidRDefault="001D26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D260E" w:rsidRDefault="001D260E">
      <w:r>
        <w:separator/>
      </w:r>
    </w:p>
  </w:footnote>
  <w:footnote w:type="continuationSeparator" w:id="0">
    <w:p w:rsidR="001D260E" w:rsidRDefault="001D26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D3AF7" w:rsidRDefault="008D3AF7">
    <w:pPr>
      <w:pStyle w:val="a7"/>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oNotTrackMoves/>
  <w:defaultTabStop w:val="420"/>
  <w:doNotHyphenateCaps/>
  <w:drawingGridHorizontalSpacing w:val="105"/>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commondata" w:val="eyJoZGlkIjoiN2NlYmNmNGY2NWIzYzVkODI5OThmNGFiNjg4YWZiNzYifQ=="/>
  </w:docVars>
  <w:rsids>
    <w:rsidRoot w:val="00C67CC4"/>
    <w:rsid w:val="0000235E"/>
    <w:rsid w:val="00010425"/>
    <w:rsid w:val="000143E3"/>
    <w:rsid w:val="00015104"/>
    <w:rsid w:val="00022F3F"/>
    <w:rsid w:val="00041E2A"/>
    <w:rsid w:val="00041E7A"/>
    <w:rsid w:val="00123096"/>
    <w:rsid w:val="0013684B"/>
    <w:rsid w:val="0013770D"/>
    <w:rsid w:val="00152A15"/>
    <w:rsid w:val="00152FAC"/>
    <w:rsid w:val="001A6B8B"/>
    <w:rsid w:val="001C46DC"/>
    <w:rsid w:val="001D260E"/>
    <w:rsid w:val="00260003"/>
    <w:rsid w:val="00261B5D"/>
    <w:rsid w:val="00267D04"/>
    <w:rsid w:val="00295BCC"/>
    <w:rsid w:val="002C5051"/>
    <w:rsid w:val="00325FDA"/>
    <w:rsid w:val="0033618B"/>
    <w:rsid w:val="00351A3E"/>
    <w:rsid w:val="00357A8E"/>
    <w:rsid w:val="0038560B"/>
    <w:rsid w:val="0038693B"/>
    <w:rsid w:val="003B0585"/>
    <w:rsid w:val="003F0E65"/>
    <w:rsid w:val="003F4292"/>
    <w:rsid w:val="00406569"/>
    <w:rsid w:val="0046545D"/>
    <w:rsid w:val="004822EB"/>
    <w:rsid w:val="004D1E10"/>
    <w:rsid w:val="004F486E"/>
    <w:rsid w:val="00557619"/>
    <w:rsid w:val="005722D7"/>
    <w:rsid w:val="005F466F"/>
    <w:rsid w:val="006001FB"/>
    <w:rsid w:val="00601CA1"/>
    <w:rsid w:val="00624B8A"/>
    <w:rsid w:val="007406A9"/>
    <w:rsid w:val="00753E54"/>
    <w:rsid w:val="007770A8"/>
    <w:rsid w:val="007941F0"/>
    <w:rsid w:val="007A0AAD"/>
    <w:rsid w:val="008501A7"/>
    <w:rsid w:val="00857FFD"/>
    <w:rsid w:val="008A7217"/>
    <w:rsid w:val="008C0D97"/>
    <w:rsid w:val="008D3AF7"/>
    <w:rsid w:val="008F3612"/>
    <w:rsid w:val="00955197"/>
    <w:rsid w:val="00961ABF"/>
    <w:rsid w:val="009C3618"/>
    <w:rsid w:val="009F34CC"/>
    <w:rsid w:val="00A5050A"/>
    <w:rsid w:val="00A93B8A"/>
    <w:rsid w:val="00AB2777"/>
    <w:rsid w:val="00AB4CB8"/>
    <w:rsid w:val="00AB662E"/>
    <w:rsid w:val="00AC2E8F"/>
    <w:rsid w:val="00B72DF6"/>
    <w:rsid w:val="00BD78D6"/>
    <w:rsid w:val="00BE7B21"/>
    <w:rsid w:val="00C1201A"/>
    <w:rsid w:val="00C2152F"/>
    <w:rsid w:val="00C40AA4"/>
    <w:rsid w:val="00C41C04"/>
    <w:rsid w:val="00C43390"/>
    <w:rsid w:val="00C61F05"/>
    <w:rsid w:val="00C67CC4"/>
    <w:rsid w:val="00CC2E2A"/>
    <w:rsid w:val="00CE4B6E"/>
    <w:rsid w:val="00CF77F0"/>
    <w:rsid w:val="00D10B4D"/>
    <w:rsid w:val="00DF79C7"/>
    <w:rsid w:val="00E567A1"/>
    <w:rsid w:val="00E810A0"/>
    <w:rsid w:val="00EA6C03"/>
    <w:rsid w:val="00EC3709"/>
    <w:rsid w:val="00F5760A"/>
    <w:rsid w:val="00F705E0"/>
    <w:rsid w:val="00F73D27"/>
    <w:rsid w:val="00F96ECE"/>
    <w:rsid w:val="00FC2F07"/>
    <w:rsid w:val="00FE5CE4"/>
    <w:rsid w:val="02D17B65"/>
    <w:rsid w:val="05BB5175"/>
    <w:rsid w:val="08A52538"/>
    <w:rsid w:val="09BB0D18"/>
    <w:rsid w:val="0CE544B8"/>
    <w:rsid w:val="0D3340AE"/>
    <w:rsid w:val="0D7D02E9"/>
    <w:rsid w:val="0E490D89"/>
    <w:rsid w:val="18E9430D"/>
    <w:rsid w:val="1DB9452C"/>
    <w:rsid w:val="1F477852"/>
    <w:rsid w:val="200B15A0"/>
    <w:rsid w:val="20A532F7"/>
    <w:rsid w:val="22D63CE6"/>
    <w:rsid w:val="23A472AF"/>
    <w:rsid w:val="260131EA"/>
    <w:rsid w:val="26043A84"/>
    <w:rsid w:val="28782A9F"/>
    <w:rsid w:val="2A993245"/>
    <w:rsid w:val="2C4313D0"/>
    <w:rsid w:val="2F972B3F"/>
    <w:rsid w:val="31ED5363"/>
    <w:rsid w:val="357C5CCA"/>
    <w:rsid w:val="380C1266"/>
    <w:rsid w:val="38F32024"/>
    <w:rsid w:val="3A3419D7"/>
    <w:rsid w:val="3D1774A7"/>
    <w:rsid w:val="3E4A175E"/>
    <w:rsid w:val="40202022"/>
    <w:rsid w:val="425F4FB7"/>
    <w:rsid w:val="449F1001"/>
    <w:rsid w:val="45E00677"/>
    <w:rsid w:val="47D02B59"/>
    <w:rsid w:val="4EC251F2"/>
    <w:rsid w:val="503470DF"/>
    <w:rsid w:val="59483EA9"/>
    <w:rsid w:val="5BC00A36"/>
    <w:rsid w:val="5F577207"/>
    <w:rsid w:val="63637DC2"/>
    <w:rsid w:val="6A2012E8"/>
    <w:rsid w:val="6E3E2C0E"/>
    <w:rsid w:val="709B03A2"/>
    <w:rsid w:val="74B54EB5"/>
    <w:rsid w:val="762F11BB"/>
    <w:rsid w:val="773A3661"/>
    <w:rsid w:val="78FA7DF0"/>
    <w:rsid w:val="7A001F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46BD57D"/>
  <w15:docId w15:val="{DEFA6DDB-C028-443E-B27D-CD35371B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qFormat="1"/>
    <w:lsdException w:name="toc 2" w:semiHidden="1" w:qFormat="1"/>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qFormat="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semiHidden/>
    <w:qFormat/>
    <w:pPr>
      <w:shd w:val="clear" w:color="auto" w:fill="000080"/>
    </w:pPr>
  </w:style>
  <w:style w:type="paragraph" w:styleId="a5">
    <w:name w:val="footer"/>
    <w:basedOn w:val="a"/>
    <w:link w:val="a6"/>
    <w:uiPriority w:val="99"/>
    <w:qFormat/>
    <w:pPr>
      <w:tabs>
        <w:tab w:val="center" w:pos="4153"/>
        <w:tab w:val="right" w:pos="8306"/>
      </w:tabs>
      <w:snapToGrid w:val="0"/>
      <w:jc w:val="left"/>
    </w:pPr>
    <w:rPr>
      <w:rFonts w:ascii="Times New Roman" w:hAnsi="Times New Roman" w:cs="Times New Roman"/>
      <w:kern w:val="0"/>
      <w:sz w:val="18"/>
      <w:szCs w:val="18"/>
    </w:rPr>
  </w:style>
  <w:style w:type="paragraph" w:styleId="a7">
    <w:name w:val="header"/>
    <w:basedOn w:val="a"/>
    <w:link w:val="a8"/>
    <w:uiPriority w:val="99"/>
    <w:qFormat/>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TOC1">
    <w:name w:val="toc 1"/>
    <w:basedOn w:val="a"/>
    <w:next w:val="a"/>
    <w:uiPriority w:val="99"/>
    <w:semiHidden/>
    <w:qFormat/>
    <w:rPr>
      <w:rFonts w:ascii="Times New Roman" w:hAnsi="Times New Roman" w:cs="Times New Roman"/>
    </w:rPr>
  </w:style>
  <w:style w:type="paragraph" w:styleId="a9">
    <w:name w:val="footnote text"/>
    <w:basedOn w:val="a"/>
    <w:link w:val="aa"/>
    <w:uiPriority w:val="99"/>
    <w:semiHidden/>
    <w:qFormat/>
    <w:pPr>
      <w:snapToGrid w:val="0"/>
      <w:jc w:val="left"/>
    </w:pPr>
    <w:rPr>
      <w:sz w:val="18"/>
      <w:szCs w:val="18"/>
    </w:rPr>
  </w:style>
  <w:style w:type="paragraph" w:styleId="TOC2">
    <w:name w:val="toc 2"/>
    <w:basedOn w:val="a"/>
    <w:next w:val="a"/>
    <w:uiPriority w:val="99"/>
    <w:semiHidden/>
    <w:qFormat/>
    <w:pPr>
      <w:ind w:leftChars="200" w:left="420"/>
    </w:pPr>
    <w:rPr>
      <w:rFonts w:ascii="Times New Roman" w:hAnsi="Times New Roman" w:cs="Times New Roman"/>
    </w:rPr>
  </w:style>
  <w:style w:type="table" w:styleId="ab">
    <w:name w:val="Table Grid"/>
    <w:basedOn w:val="a1"/>
    <w:uiPriority w:val="99"/>
    <w:qFormat/>
    <w:locked/>
    <w:pPr>
      <w:widowControl w:val="0"/>
      <w:jc w:val="both"/>
    </w:pPr>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otnote reference"/>
    <w:uiPriority w:val="99"/>
    <w:semiHidden/>
    <w:qFormat/>
    <w:rPr>
      <w:vertAlign w:val="superscript"/>
    </w:rPr>
  </w:style>
  <w:style w:type="character" w:customStyle="1" w:styleId="a4">
    <w:name w:val="文档结构图 字符"/>
    <w:link w:val="a3"/>
    <w:uiPriority w:val="99"/>
    <w:semiHidden/>
    <w:qFormat/>
    <w:locked/>
    <w:rPr>
      <w:sz w:val="2"/>
      <w:szCs w:val="2"/>
    </w:rPr>
  </w:style>
  <w:style w:type="character" w:customStyle="1" w:styleId="a6">
    <w:name w:val="页脚 字符"/>
    <w:link w:val="a5"/>
    <w:uiPriority w:val="99"/>
    <w:semiHidden/>
    <w:qFormat/>
    <w:locked/>
    <w:rPr>
      <w:rFonts w:ascii="Times New Roman" w:eastAsia="宋体" w:hAnsi="Times New Roman" w:cs="Times New Roman"/>
      <w:sz w:val="18"/>
      <w:szCs w:val="18"/>
    </w:rPr>
  </w:style>
  <w:style w:type="character" w:customStyle="1" w:styleId="a8">
    <w:name w:val="页眉 字符"/>
    <w:link w:val="a7"/>
    <w:uiPriority w:val="99"/>
    <w:semiHidden/>
    <w:qFormat/>
    <w:locked/>
    <w:rPr>
      <w:rFonts w:ascii="Times New Roman" w:eastAsia="宋体" w:hAnsi="Times New Roman" w:cs="Times New Roman"/>
      <w:sz w:val="18"/>
      <w:szCs w:val="18"/>
    </w:rPr>
  </w:style>
  <w:style w:type="character" w:customStyle="1" w:styleId="aa">
    <w:name w:val="脚注文本 字符"/>
    <w:link w:val="a9"/>
    <w:uiPriority w:val="99"/>
    <w:semiHidden/>
    <w:qFormat/>
    <w:locked/>
    <w:rPr>
      <w:rFonts w:ascii="Calibri" w:hAnsi="Calibri" w:cs="Calibri"/>
      <w:sz w:val="18"/>
      <w:szCs w:val="18"/>
    </w:rPr>
  </w:style>
  <w:style w:type="paragraph" w:customStyle="1" w:styleId="Char">
    <w:name w:val="Char"/>
    <w:basedOn w:val="a"/>
    <w:uiPriority w:val="99"/>
    <w:qFormat/>
    <w:rPr>
      <w:rFonts w:ascii="Times New Roman" w:hAnsi="Times New Roman" w:cs="Times New Roman"/>
    </w:rPr>
  </w:style>
  <w:style w:type="paragraph" w:customStyle="1" w:styleId="Normal">
    <w:name w:val="[Normal]"/>
    <w:uiPriority w:val="99"/>
    <w:qFormat/>
    <w:rPr>
      <w:rFonts w:ascii="宋体" w:hAnsi="宋体" w:cs="宋体"/>
      <w:sz w:val="24"/>
      <w:szCs w:val="24"/>
      <w:lang w:eastAsia="en-US"/>
    </w:rPr>
  </w:style>
  <w:style w:type="paragraph" w:styleId="ad">
    <w:name w:val="List Paragraph"/>
    <w:basedOn w:val="a"/>
    <w:uiPriority w:val="99"/>
    <w:qFormat/>
    <w:pPr>
      <w:ind w:firstLine="420"/>
    </w:pPr>
    <w:rPr>
      <w:kern w:val="0"/>
      <w:lang w:eastAsia="en-US"/>
    </w:rPr>
  </w:style>
  <w:style w:type="paragraph" w:customStyle="1" w:styleId="Normal1">
    <w:name w:val="Normal1"/>
    <w:basedOn w:val="Normal"/>
    <w:uiPriority w:val="99"/>
    <w:qFormat/>
    <w:pPr>
      <w:jc w:val="both"/>
    </w:pPr>
    <w:rPr>
      <w:rFonts w:ascii="Times New Roman" w:hAnsi="Times New Roman"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otnotes.xml" Type="http://schemas.openxmlformats.org/officeDocument/2006/relationships/footnotes"/><Relationship Id="rId5" Target="endnotes.xml" Type="http://schemas.openxmlformats.org/officeDocument/2006/relationships/endnotes"/><Relationship Id="rId6" Target="header1.xml" Type="http://schemas.openxmlformats.org/officeDocument/2006/relationships/header"/><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2307</Words>
  <Characters>13156</Characters>
  <Application>Microsoft Office Word</Application>
  <DocSecurity>0</DocSecurity>
  <Lines>109</Lines>
  <Paragraphs>30</Paragraphs>
  <ScaleCrop>false</ScaleCrop>
  <Company>China</Company>
  <LinksUpToDate>false</LinksUpToDate>
  <CharactersWithSpaces>15433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2023-06-07T08:11:00Z</dcterms:created>
  <dc:creator>guest</dc:creator>
  <cp:lastModifiedBy>史 媌媌</cp:lastModifiedBy>
  <cp:lastPrinted>2017-02-10T09:57:00Z</cp:lastPrinted>
  <dcterms:modified xsi:type="dcterms:W3CDTF">2023-06-07T08:11:00Z</dcterms:modified>
  <cp:revision>2</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B620EA547CC14E6084BA7F69CF2E5972</vt:lpwstr>
  </property>
</Properties>
</file>