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隆尧县自然资源和规划局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整体支出绩效评价报告</w:t>
      </w:r>
    </w:p>
    <w:p>
      <w:pPr>
        <w:rPr>
          <w:rFonts w:ascii="仿宋" w:hAnsi="仿宋" w:eastAsia="仿宋" w:cs="Times New Roman"/>
          <w:b/>
          <w:sz w:val="30"/>
          <w:szCs w:val="30"/>
        </w:rPr>
      </w:pPr>
      <w:r>
        <w:rPr>
          <w:rFonts w:hint="eastAsia" w:ascii="仿宋" w:hAnsi="仿宋" w:eastAsia="仿宋" w:cs="Times New Roman"/>
          <w:b/>
          <w:sz w:val="30"/>
          <w:szCs w:val="30"/>
        </w:rPr>
        <w:t>部门职责及机构设置情况：</w:t>
      </w:r>
    </w:p>
    <w:p>
      <w:pPr>
        <w:ind w:firstLine="640"/>
        <w:rPr>
          <w:rFonts w:ascii="仿宋" w:hAnsi="仿宋" w:eastAsia="仿宋" w:cs="Times New Roman"/>
          <w:sz w:val="30"/>
          <w:szCs w:val="30"/>
        </w:rPr>
      </w:pPr>
      <w:r>
        <w:rPr>
          <w:rFonts w:hint="eastAsia" w:ascii="仿宋" w:hAnsi="仿宋" w:eastAsia="仿宋" w:cs="Times New Roman"/>
          <w:b/>
          <w:sz w:val="30"/>
          <w:szCs w:val="30"/>
        </w:rPr>
        <w:t>一、部门</w:t>
      </w:r>
      <w:r>
        <w:rPr>
          <w:rFonts w:ascii="仿宋" w:hAnsi="仿宋" w:eastAsia="仿宋" w:cs="Times New Roman"/>
          <w:b/>
          <w:sz w:val="30"/>
          <w:szCs w:val="30"/>
        </w:rPr>
        <w:t>职责：</w:t>
      </w:r>
      <w:r>
        <w:rPr>
          <w:rFonts w:ascii="仿宋" w:hAnsi="仿宋" w:eastAsia="仿宋" w:cs="Times New Roman"/>
          <w:sz w:val="30"/>
          <w:szCs w:val="30"/>
        </w:rPr>
        <w:t xml:space="preserve"> </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（一）履行全民所有土地、矿产、森林、草原、湿地、水等自然资源资产所有者职责和所有国土空间用途管制职责。（二）负责全县自然资源调查监测评价。</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（三）负责全县自然资源统一确权登记工作。（四）负责全县自然资源资产有偿使用工作。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（五）负责全县自然资源的合理开发利用。（六）负责建立全县空间规划体系并监督实施。</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（七）负责统筹全县国土空间生态修复。（八）负责组织实施最严格的耕地保护制度。</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（九）负责城乡规划的实施和管理。（十）负责管理全县地质勘查行业和地质工作。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（十一）负责地质灾害预防和治理。（十二）负责全县矿产资源管理工作。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（十三）负责全县城乡规划、测绘地理信息管理工作。（十四）负责全县林业及其生态保护修复的监督管理。</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（十五）组织全县林业生态保护修复和造林绿化工作。（十六）负责全县森林、湿地资源的监督管理。</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（十七）负责监督管理全县荒漠化防治工作。（十八）负责全县陆生野生动植物资源监督管理。</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（十九）负责监督管理全县各类自然保护地。（二十）负责推进全县林业改革相关工作。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（二十一）拟订全县林业资源优化配置及木材利用政策，拟订相关林业产业地方标准并监督实施，组织、指导林产品质量监督，指导生态扶贫相关工作。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（二十二）指导县国有林场基本建设和发展，组织开展林木种子种质资源普查，组织建立种质资源库，负责良种选育推广，管理林木种苗生产经营行为，监管林木种苗质量。</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（二十三）负责落实全县综合防灾减灾规划相关要求。</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（二十四）监督管理林业资金及国有资产，提出全县林业预算内投资、上级和县级财政性资金安排建议，按权限审核规划内和年度计划内投资项目。</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（二十五）推动全县自然资源领域科技发展。</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（二十六）组织开展全县自然资源和规划领域对外交流合作。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（二十七）查处全县自然资源开发利用、国土空间规划、测绘及林业违法案件。</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（二十八）负责全县规划设计单位资质管理，监督注册规划师执业行为。</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（二十九）完成县委、县政府交办的其他任务。</w:t>
      </w:r>
    </w:p>
    <w:p>
      <w:pPr>
        <w:spacing w:line="500" w:lineRule="exact"/>
        <w:ind w:firstLine="602" w:firstLineChars="200"/>
        <w:jc w:val="left"/>
        <w:rPr>
          <w:rFonts w:ascii="仿宋" w:hAnsi="仿宋" w:eastAsia="仿宋" w:cs="Times New Roman"/>
          <w:b/>
          <w:sz w:val="30"/>
          <w:szCs w:val="30"/>
        </w:rPr>
      </w:pPr>
      <w:r>
        <w:rPr>
          <w:rFonts w:hint="eastAsia" w:ascii="仿宋" w:hAnsi="仿宋" w:eastAsia="仿宋" w:cs="Times New Roman"/>
          <w:b/>
          <w:sz w:val="30"/>
          <w:szCs w:val="30"/>
        </w:rPr>
        <w:t>二、县自然资源和规划局设下列内设机构：</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下设12个股室：一、办公室。二、财务股。三、行政执法股。四、自然资源调查和确权登记股。五、自然资源权益和用途管制股。六、国土空间和建设用地规划股。七、建设工程和市政工程规划股。八、耕地保护股。九、地质矿产股。十、地理信息股。十一、生态保护修复股。十二、资源林政股。</w:t>
      </w:r>
    </w:p>
    <w:p>
      <w:pPr>
        <w:spacing w:line="500" w:lineRule="exact"/>
        <w:ind w:firstLine="450" w:firstLineChars="150"/>
        <w:jc w:val="left"/>
        <w:rPr>
          <w:rFonts w:ascii="仿宋" w:hAnsi="仿宋" w:eastAsia="仿宋" w:cs="Times New Roman"/>
          <w:sz w:val="30"/>
          <w:szCs w:val="30"/>
        </w:rPr>
      </w:pPr>
      <w:r>
        <w:rPr>
          <w:rFonts w:hint="eastAsia" w:ascii="仿宋" w:hAnsi="仿宋" w:eastAsia="仿宋" w:cs="Times New Roman"/>
          <w:sz w:val="30"/>
          <w:szCs w:val="30"/>
        </w:rPr>
        <w:t>县自然资源和规划局机关行政编制25名。股级领导职数12名。</w:t>
      </w:r>
      <w:r>
        <w:rPr>
          <w:rFonts w:hint="eastAsia" w:ascii="仿宋" w:hAnsi="仿宋" w:eastAsia="仿宋"/>
          <w:color w:val="000000"/>
          <w:spacing w:val="-2"/>
          <w:sz w:val="30"/>
          <w:szCs w:val="30"/>
        </w:rPr>
        <w:t>人员情况：截止2019年底：财政供养人员47人；差额人员60人；自收自支173人；共计在职：280人。</w:t>
      </w:r>
    </w:p>
    <w:p>
      <w:pPr>
        <w:ind w:firstLine="596" w:firstLineChars="198"/>
        <w:rPr>
          <w:rFonts w:hint="eastAsia" w:ascii="仿宋" w:hAnsi="仿宋" w:eastAsia="仿宋" w:cs="Times New Roman"/>
          <w:b/>
          <w:sz w:val="30"/>
          <w:szCs w:val="30"/>
        </w:rPr>
      </w:pPr>
      <w:r>
        <w:rPr>
          <w:rFonts w:hint="eastAsia" w:ascii="仿宋" w:hAnsi="仿宋" w:eastAsia="仿宋" w:cs="Times New Roman"/>
          <w:b/>
          <w:sz w:val="30"/>
          <w:szCs w:val="30"/>
        </w:rPr>
        <w:t>2019年预算</w:t>
      </w:r>
      <w:r>
        <w:rPr>
          <w:rFonts w:ascii="仿宋" w:hAnsi="仿宋" w:eastAsia="仿宋" w:cs="Times New Roman"/>
          <w:b/>
          <w:sz w:val="30"/>
          <w:szCs w:val="30"/>
        </w:rPr>
        <w:t>收入</w:t>
      </w:r>
      <w:r>
        <w:rPr>
          <w:rFonts w:hint="eastAsia" w:ascii="仿宋" w:hAnsi="仿宋" w:eastAsia="仿宋" w:cs="Times New Roman"/>
          <w:b/>
          <w:sz w:val="30"/>
          <w:szCs w:val="30"/>
        </w:rPr>
        <w:t>情况：</w:t>
      </w:r>
    </w:p>
    <w:p>
      <w:pPr>
        <w:ind w:firstLine="586" w:firstLineChars="198"/>
        <w:rPr>
          <w:rFonts w:ascii="仿宋" w:hAnsi="仿宋" w:eastAsia="仿宋"/>
          <w:color w:val="000000"/>
          <w:spacing w:val="-2"/>
          <w:sz w:val="30"/>
          <w:szCs w:val="30"/>
        </w:rPr>
      </w:pPr>
      <w:r>
        <w:rPr>
          <w:rFonts w:hint="eastAsia" w:ascii="仿宋" w:hAnsi="仿宋" w:eastAsia="仿宋"/>
          <w:color w:val="000000"/>
          <w:spacing w:val="-2"/>
          <w:sz w:val="30"/>
          <w:szCs w:val="30"/>
        </w:rPr>
        <w:t>2019年预算财政拨款收入25846.27万元，其中：一般预算财政拨款收入1730.23万元；政府性基金拨款24116.04万元。2019年实际支出14570.39万元；其中：基本支出1215.01万元，项目支出13355.38万元。</w:t>
      </w:r>
    </w:p>
    <w:p>
      <w:pPr>
        <w:ind w:firstLine="640"/>
        <w:rPr>
          <w:rFonts w:ascii="仿宋" w:hAnsi="仿宋" w:eastAsia="仿宋" w:cs="Times New Roman"/>
          <w:sz w:val="30"/>
          <w:szCs w:val="30"/>
        </w:rPr>
      </w:pPr>
      <w:r>
        <w:rPr>
          <w:rFonts w:hint="eastAsia" w:ascii="仿宋" w:hAnsi="仿宋" w:eastAsia="仿宋" w:cs="Times New Roman"/>
          <w:sz w:val="30"/>
          <w:szCs w:val="30"/>
        </w:rPr>
        <w:t xml:space="preserve">  我局领导对绩效评价工作高度重视并成立了以局长为组长各副局长为副组长的</w:t>
      </w:r>
      <w:bookmarkStart w:id="0" w:name="_GoBack"/>
      <w:bookmarkEnd w:id="0"/>
      <w:r>
        <w:rPr>
          <w:rFonts w:hint="eastAsia" w:ascii="仿宋" w:hAnsi="仿宋" w:eastAsia="仿宋" w:cs="Times New Roman"/>
          <w:sz w:val="30"/>
          <w:szCs w:val="30"/>
        </w:rPr>
        <w:t>绩效评价小组，严格按照预算绩效管理工作要点要求，进一步完善预算绩效管理制度，全面加强绩效目标管理，提升绩效评价质量，加强绩效评价结果应用，强化绩效运行监控管理，夯实预算绩效管理工作基础，推行预算绩效管理工作的落到实处，使财政资金发挥最大效益，提高经济效益和生态环境效益，提高服务群众社会满意度。</w:t>
      </w:r>
    </w:p>
    <w:p>
      <w:pPr>
        <w:ind w:firstLine="640"/>
        <w:rPr>
          <w:rFonts w:hint="eastAsia" w:ascii="仿宋" w:hAnsi="仿宋" w:eastAsia="仿宋" w:cs="Times New Roman"/>
          <w:sz w:val="30"/>
          <w:szCs w:val="30"/>
        </w:rPr>
      </w:pPr>
      <w:r>
        <w:rPr>
          <w:rFonts w:hint="eastAsia" w:ascii="仿宋" w:hAnsi="仿宋" w:eastAsia="仿宋" w:cs="Times New Roman"/>
          <w:sz w:val="30"/>
          <w:szCs w:val="30"/>
        </w:rPr>
        <w:t>在绩效评价的实施过程中，对照继续活动评价的共性指标，从工作活动绩效目标完成情况，工作活动产出、效果、设置、管理等多方面进行打分得分98分，得出绩效评价结论。</w:t>
      </w:r>
    </w:p>
    <w:p>
      <w:pPr>
        <w:ind w:firstLine="640"/>
        <w:rPr>
          <w:rFonts w:hint="eastAsia" w:ascii="仿宋" w:hAnsi="仿宋" w:eastAsia="仿宋" w:cs="Times New Roman"/>
          <w:sz w:val="30"/>
          <w:szCs w:val="30"/>
        </w:rPr>
      </w:pPr>
    </w:p>
    <w:p>
      <w:pPr>
        <w:ind w:firstLine="640"/>
        <w:rPr>
          <w:rFonts w:hint="eastAsia" w:ascii="仿宋" w:hAnsi="仿宋" w:eastAsia="仿宋" w:cs="Times New Roman"/>
          <w:sz w:val="30"/>
          <w:szCs w:val="30"/>
        </w:rPr>
      </w:pPr>
    </w:p>
    <w:p>
      <w:pPr>
        <w:ind w:firstLine="640"/>
        <w:rPr>
          <w:rFonts w:hint="eastAsia" w:ascii="仿宋" w:hAnsi="仿宋" w:eastAsia="仿宋" w:cs="Times New Roman"/>
          <w:sz w:val="30"/>
          <w:szCs w:val="30"/>
        </w:rPr>
      </w:pPr>
    </w:p>
    <w:p>
      <w:pPr>
        <w:ind w:firstLine="640"/>
        <w:jc w:val="center"/>
        <w:rPr>
          <w:rFonts w:ascii="仿宋" w:hAnsi="仿宋" w:eastAsia="仿宋" w:cs="Times New Roman"/>
          <w:b/>
          <w:sz w:val="30"/>
          <w:szCs w:val="30"/>
        </w:rPr>
      </w:pPr>
      <w:r>
        <w:rPr>
          <w:rFonts w:hint="eastAsia" w:ascii="仿宋" w:hAnsi="仿宋" w:eastAsia="仿宋" w:cs="Times New Roman"/>
          <w:sz w:val="30"/>
          <w:szCs w:val="30"/>
        </w:rPr>
        <w:t xml:space="preserve">                           </w:t>
      </w:r>
      <w:r>
        <w:rPr>
          <w:rFonts w:hint="eastAsia" w:ascii="仿宋" w:hAnsi="仿宋" w:eastAsia="仿宋" w:cs="Times New Roman"/>
          <w:b/>
          <w:sz w:val="30"/>
          <w:szCs w:val="30"/>
        </w:rPr>
        <w:t xml:space="preserve"> 二〇二〇年六月二十八日</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4"/>
      </w:rPr>
    </w:pPr>
    <w:r>
      <w:fldChar w:fldCharType="begin"/>
    </w:r>
    <w:r>
      <w:rPr>
        <w:rStyle w:val="14"/>
      </w:rPr>
      <w:instrText xml:space="preserve">PAGE  </w:instrText>
    </w:r>
    <w:r>
      <w:fldChar w:fldCharType="separate"/>
    </w:r>
    <w:r>
      <w:rPr>
        <w:rStyle w:val="14"/>
      </w:rPr>
      <w:t>3</w:t>
    </w:r>
    <w: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hideSpellingError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EE71BA"/>
    <w:rsid w:val="00013B6C"/>
    <w:rsid w:val="000313D1"/>
    <w:rsid w:val="000327FC"/>
    <w:rsid w:val="00053AF1"/>
    <w:rsid w:val="00053E27"/>
    <w:rsid w:val="00060D85"/>
    <w:rsid w:val="000C7140"/>
    <w:rsid w:val="000D0C49"/>
    <w:rsid w:val="00117E8F"/>
    <w:rsid w:val="00121AC1"/>
    <w:rsid w:val="001420C5"/>
    <w:rsid w:val="00144F83"/>
    <w:rsid w:val="00147E69"/>
    <w:rsid w:val="001B04DF"/>
    <w:rsid w:val="001C5559"/>
    <w:rsid w:val="002012BF"/>
    <w:rsid w:val="00251348"/>
    <w:rsid w:val="002544C2"/>
    <w:rsid w:val="002A58D1"/>
    <w:rsid w:val="002C087D"/>
    <w:rsid w:val="002D49F9"/>
    <w:rsid w:val="002F0A83"/>
    <w:rsid w:val="002F4000"/>
    <w:rsid w:val="00311B83"/>
    <w:rsid w:val="00323B29"/>
    <w:rsid w:val="00341C70"/>
    <w:rsid w:val="0039059E"/>
    <w:rsid w:val="003B500A"/>
    <w:rsid w:val="003B50EE"/>
    <w:rsid w:val="003C60CA"/>
    <w:rsid w:val="003D2F38"/>
    <w:rsid w:val="00424613"/>
    <w:rsid w:val="00447DA8"/>
    <w:rsid w:val="00476620"/>
    <w:rsid w:val="004A12CD"/>
    <w:rsid w:val="004C50EE"/>
    <w:rsid w:val="00535B4D"/>
    <w:rsid w:val="0055586B"/>
    <w:rsid w:val="005641A9"/>
    <w:rsid w:val="005B121A"/>
    <w:rsid w:val="00613FC6"/>
    <w:rsid w:val="006233DF"/>
    <w:rsid w:val="00630DF3"/>
    <w:rsid w:val="00691404"/>
    <w:rsid w:val="006D2337"/>
    <w:rsid w:val="006F38B8"/>
    <w:rsid w:val="00730462"/>
    <w:rsid w:val="00732BA3"/>
    <w:rsid w:val="00784F37"/>
    <w:rsid w:val="00797040"/>
    <w:rsid w:val="007F0341"/>
    <w:rsid w:val="0088286B"/>
    <w:rsid w:val="008D4FC3"/>
    <w:rsid w:val="00944A70"/>
    <w:rsid w:val="00966D3E"/>
    <w:rsid w:val="009A04BB"/>
    <w:rsid w:val="009A521C"/>
    <w:rsid w:val="009B14F3"/>
    <w:rsid w:val="009B67F8"/>
    <w:rsid w:val="00A16030"/>
    <w:rsid w:val="00A975F0"/>
    <w:rsid w:val="00AA1C09"/>
    <w:rsid w:val="00AA5613"/>
    <w:rsid w:val="00B04C69"/>
    <w:rsid w:val="00B25911"/>
    <w:rsid w:val="00B94B75"/>
    <w:rsid w:val="00C153F9"/>
    <w:rsid w:val="00C1552D"/>
    <w:rsid w:val="00D34177"/>
    <w:rsid w:val="00D51674"/>
    <w:rsid w:val="00D607DA"/>
    <w:rsid w:val="00DC4C56"/>
    <w:rsid w:val="00DC6EE5"/>
    <w:rsid w:val="00E6695C"/>
    <w:rsid w:val="00E8337E"/>
    <w:rsid w:val="00ED2F05"/>
    <w:rsid w:val="00EE71BA"/>
    <w:rsid w:val="00F30B76"/>
    <w:rsid w:val="00F800C9"/>
    <w:rsid w:val="00F867E4"/>
    <w:rsid w:val="215E6B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20"/>
    <w:qFormat/>
    <w:uiPriority w:val="0"/>
    <w:pPr>
      <w:widowControl/>
      <w:spacing w:before="100" w:beforeAutospacing="1" w:after="100" w:afterAutospacing="1"/>
      <w:jc w:val="left"/>
    </w:pPr>
    <w:rPr>
      <w:rFonts w:ascii="宋体" w:hAnsi="宋体" w:cs="宋体"/>
      <w:kern w:val="0"/>
      <w:sz w:val="24"/>
      <w:szCs w:val="24"/>
    </w:rPr>
  </w:style>
  <w:style w:type="paragraph" w:styleId="3">
    <w:name w:val="footer"/>
    <w:basedOn w:val="1"/>
    <w:link w:val="15"/>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6"/>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uiPriority w:val="0"/>
    <w:rPr>
      <w:rFonts w:ascii="Times New Roman" w:hAnsi="Times New Roman" w:cs="Times New Roman"/>
      <w:szCs w:val="24"/>
    </w:rPr>
  </w:style>
  <w:style w:type="paragraph" w:styleId="6">
    <w:name w:val="footnote text"/>
    <w:basedOn w:val="1"/>
    <w:uiPriority w:val="0"/>
    <w:pPr>
      <w:snapToGrid w:val="0"/>
      <w:jc w:val="left"/>
    </w:pPr>
    <w:rPr>
      <w:sz w:val="18"/>
      <w:szCs w:val="18"/>
    </w:rPr>
  </w:style>
  <w:style w:type="paragraph" w:styleId="7">
    <w:name w:val="toc 2"/>
    <w:basedOn w:val="1"/>
    <w:next w:val="1"/>
    <w:uiPriority w:val="0"/>
    <w:pPr>
      <w:ind w:left="420" w:leftChars="200"/>
    </w:pPr>
    <w:rPr>
      <w:rFonts w:ascii="Times New Roman" w:hAnsi="Times New Roman" w:cs="Times New Roman"/>
      <w:szCs w:val="24"/>
    </w:rPr>
  </w:style>
  <w:style w:type="character" w:styleId="9">
    <w:name w:val="page number"/>
    <w:basedOn w:val="8"/>
    <w:uiPriority w:val="0"/>
  </w:style>
  <w:style w:type="character" w:styleId="10">
    <w:name w:val="footnote reference"/>
    <w:qFormat/>
    <w:uiPriority w:val="0"/>
    <w:rPr>
      <w:vertAlign w:val="superscript"/>
    </w:rPr>
  </w:style>
  <w:style w:type="table" w:styleId="12">
    <w:name w:val="Table Grid"/>
    <w:basedOn w:val="11"/>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3">
    <w:name w:val="Char"/>
    <w:basedOn w:val="1"/>
    <w:uiPriority w:val="0"/>
    <w:rPr>
      <w:rFonts w:ascii="Times New Roman" w:hAnsi="Times New Roman" w:cs="Times New Roman"/>
      <w:szCs w:val="24"/>
    </w:rPr>
  </w:style>
  <w:style w:type="character" w:customStyle="1" w:styleId="14">
    <w:name w:val="页码1"/>
    <w:uiPriority w:val="0"/>
  </w:style>
  <w:style w:type="character" w:customStyle="1" w:styleId="15">
    <w:name w:val="页脚 Char"/>
    <w:link w:val="3"/>
    <w:semiHidden/>
    <w:uiPriority w:val="0"/>
    <w:rPr>
      <w:rFonts w:ascii="Times New Roman" w:hAnsi="Times New Roman" w:eastAsia="宋体" w:cs="Times New Roman"/>
      <w:sz w:val="18"/>
      <w:szCs w:val="18"/>
    </w:rPr>
  </w:style>
  <w:style w:type="character" w:customStyle="1" w:styleId="16">
    <w:name w:val="页眉 Char"/>
    <w:link w:val="4"/>
    <w:semiHidden/>
    <w:uiPriority w:val="0"/>
    <w:rPr>
      <w:rFonts w:ascii="Times New Roman" w:hAnsi="Times New Roman" w:eastAsia="宋体" w:cs="Times New Roman"/>
      <w:sz w:val="18"/>
      <w:szCs w:val="18"/>
    </w:rPr>
  </w:style>
  <w:style w:type="character" w:customStyle="1" w:styleId="17">
    <w:name w:val="页码2"/>
    <w:basedOn w:val="8"/>
    <w:uiPriority w:val="6"/>
    <w:rPr>
      <w:rFonts w:ascii="Times New Roman" w:hAnsi="Times New Roman" w:eastAsia="Times New Roman" w:cs="Times New Roman"/>
    </w:rPr>
  </w:style>
  <w:style w:type="paragraph" w:customStyle="1" w:styleId="18">
    <w:name w:val="[Normal]"/>
    <w:uiPriority w:val="6"/>
    <w:rPr>
      <w:rFonts w:ascii="宋体" w:hAnsi="宋体" w:eastAsia="宋体" w:cs="Times New Roman"/>
      <w:sz w:val="24"/>
      <w:lang w:val="en-US" w:eastAsia="en-US" w:bidi="ar-SA"/>
    </w:rPr>
  </w:style>
  <w:style w:type="paragraph" w:customStyle="1" w:styleId="19">
    <w:name w:val="页脚1"/>
    <w:basedOn w:val="1"/>
    <w:uiPriority w:val="6"/>
    <w:pPr>
      <w:widowControl/>
      <w:tabs>
        <w:tab w:val="center" w:pos="4153"/>
        <w:tab w:val="right" w:pos="8306"/>
      </w:tabs>
      <w:jc w:val="left"/>
    </w:pPr>
    <w:rPr>
      <w:rFonts w:eastAsia="Calibri" w:cs="Times New Roman"/>
      <w:kern w:val="0"/>
      <w:sz w:val="18"/>
      <w:szCs w:val="20"/>
      <w:lang w:eastAsia="en-US"/>
    </w:rPr>
  </w:style>
  <w:style w:type="character" w:customStyle="1" w:styleId="20">
    <w:name w:val="正文文本 Char"/>
    <w:basedOn w:val="8"/>
    <w:link w:val="2"/>
    <w:qFormat/>
    <w:uiPriority w:val="0"/>
    <w:rPr>
      <w:rFonts w:ascii="宋体" w:hAnsi="宋体" w:cs="宋体"/>
      <w:sz w:val="24"/>
      <w:szCs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228</Words>
  <Characters>1306</Characters>
  <Lines>10</Lines>
  <Paragraphs>3</Paragraphs>
  <TotalTime>158</TotalTime>
  <ScaleCrop>false</ScaleCrop>
  <LinksUpToDate>false</LinksUpToDate>
  <CharactersWithSpaces>1531</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2020-02-05T06:03:00Z</dcterms:created>
  <dc:creator>guest</dc:creator>
  <cp:lastModifiedBy>lenovo</cp:lastModifiedBy>
  <cp:lastPrinted>2020-06-28T08:05:00Z</cp:lastPrinted>
  <dcterms:modified xsi:type="dcterms:W3CDTF">2023-06-07T07:40:06Z</dcterms:modified>
  <cp:revision>42</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