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隆尧县医疗保障局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2021年城乡居民基本医疗保险护理县配套自评报告</w:t>
      </w:r>
    </w:p>
    <w:p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9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pStyle w:val="9"/>
        <w:widowControl/>
        <w:numPr>
          <w:ilvl w:val="0"/>
          <w:numId w:val="2"/>
        </w:numPr>
        <w:ind w:firstLineChars="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政府战略规划或目标。</w:t>
      </w:r>
    </w:p>
    <w:p>
      <w:pPr>
        <w:pStyle w:val="9"/>
        <w:widowControl/>
        <w:ind w:left="315" w:leftChars="150" w:firstLine="64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为做好我县长期护理保险资金绩效自评工作，根据我县政府下发的《隆尧县长期护理保险实施细则》隆政字[2019]25号文件，我局高度重视，认真学习、组织自评工作，对绩效目标逐条逐项进行认真自评，确保自评结果真实、准确、客观。</w:t>
      </w:r>
    </w:p>
    <w:p>
      <w:pPr>
        <w:pStyle w:val="9"/>
        <w:widowControl/>
        <w:numPr>
          <w:ilvl w:val="0"/>
          <w:numId w:val="2"/>
        </w:numPr>
        <w:ind w:firstLineChars="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单位工作目标。</w:t>
      </w:r>
    </w:p>
    <w:p>
      <w:pPr>
        <w:widowControl/>
        <w:ind w:left="315" w:leftChars="150" w:firstLine="640" w:firstLineChars="2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坚持以人为本，着力解决失能人员长期护理保障问题。</w:t>
      </w:r>
    </w:p>
    <w:p>
      <w:pPr>
        <w:pStyle w:val="9"/>
        <w:widowControl/>
        <w:numPr>
          <w:ilvl w:val="0"/>
          <w:numId w:val="2"/>
        </w:numPr>
        <w:ind w:firstLineChars="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工作活动(项目)基本情况。</w:t>
      </w:r>
    </w:p>
    <w:p>
      <w:pPr>
        <w:widowControl/>
        <w:ind w:left="315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项目名称: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</w:rPr>
        <w:t>城乡居民基本医疗保险护理县配套</w:t>
      </w:r>
    </w:p>
    <w:p>
      <w:pPr>
        <w:widowControl/>
        <w:ind w:left="315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主管单位: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</w:rPr>
        <w:t>隆尧县医疗保障局</w:t>
      </w:r>
    </w:p>
    <w:p>
      <w:pPr>
        <w:widowControl/>
        <w:ind w:left="315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实施单位:</w:t>
      </w:r>
      <w:r>
        <w:rPr>
          <w:rFonts w:hint="eastAsia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</w:rPr>
        <w:t>隆尧县医疗保障局</w:t>
      </w:r>
    </w:p>
    <w:p>
      <w:pPr>
        <w:widowControl/>
        <w:ind w:left="317" w:firstLine="640" w:firstLineChars="2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我局高度重视医保资金风险防控，对长护险资金严格管控、严厉打击欺诈骗保，确保长护险资金安全运行。2021年长护险失能人员入住定点服务机构报销资金已全部下达。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>
      <w:pPr>
        <w:widowControl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（一）工作活动(项目)总目标、年度目标设定情况。</w:t>
      </w:r>
    </w:p>
    <w:p>
      <w:pPr>
        <w:widowControl/>
        <w:ind w:firstLine="640" w:firstLineChars="2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坚持以人为本，着力解决失能人员长期护理保障问题</w:t>
      </w:r>
    </w:p>
    <w:p>
      <w:pPr>
        <w:widowControl/>
        <w:numPr>
          <w:ilvl w:val="0"/>
          <w:numId w:val="3"/>
        </w:numPr>
        <w:ind w:firstLine="320" w:firstLineChars="1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工作活动(项目)绩效指标设定情况。</w:t>
      </w:r>
    </w:p>
    <w:p>
      <w:pPr>
        <w:widowControl/>
        <w:ind w:firstLine="640" w:firstLineChars="2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绩效指标分为：产出指标（数量指标、质量指标、时效指标、成本指标）、效益指标（社会效益指标）和满意度指标。</w:t>
      </w:r>
    </w:p>
    <w:p>
      <w:pPr>
        <w:widowControl/>
        <w:numPr>
          <w:ilvl w:val="0"/>
          <w:numId w:val="3"/>
        </w:numPr>
        <w:ind w:firstLine="320" w:firstLineChars="1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调整情况。</w:t>
      </w:r>
    </w:p>
    <w:p>
      <w:pPr>
        <w:widowControl/>
        <w:ind w:firstLine="640" w:firstLineChars="2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组织制定全县城镇职工、城乡居民参保筹资和保障待遇政策，统筹城乡医疗保障政策标准，建立健全与筹资水平相应的待遇调整机制，拟订长期护理保险制度方案及政策标准并组织实施。</w:t>
      </w: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>
      <w:pPr>
        <w:widowControl/>
        <w:ind w:left="32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（一）计划制定和落实情况。</w:t>
      </w:r>
    </w:p>
    <w:p>
      <w:pPr>
        <w:spacing w:line="600" w:lineRule="exact"/>
        <w:ind w:firstLine="640"/>
        <w:textAlignment w:val="baseline"/>
        <w:rPr>
          <w:rFonts w:ascii="仿宋_GB2312" w:hAnsi="仿宋_GB2312" w:eastAsia="仿宋_GB2312" w:cs="仿宋_GB2312"/>
          <w:bCs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>2021年我县长期护理保险工作持续全面开展，今年我县共筹集长护险基金1420.75万元。截至目前，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全县长护险医疗专护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9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家，机构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护理4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家，居家护理公司3家。共有床位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690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张，医护人员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66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名，康复师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22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名，护理员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146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名。三家居家护理服务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机构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派出58名医护人员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累计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提供居家护理服务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2376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zh-CN"/>
        </w:rPr>
        <w:t>人次。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今年共有6225人次享受长护险待遇，报销金额727.37万元（其中居家护理报销357.85万元）。</w:t>
      </w:r>
    </w:p>
    <w:p>
      <w:pPr>
        <w:widowControl/>
        <w:numPr>
          <w:ilvl w:val="0"/>
          <w:numId w:val="4"/>
        </w:numPr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执行绩效监控情况。</w:t>
      </w:r>
    </w:p>
    <w:p>
      <w:pPr>
        <w:widowControl/>
        <w:ind w:firstLine="640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各绩效目标均已完成。</w:t>
      </w:r>
    </w:p>
    <w:p>
      <w:pPr>
        <w:widowControl/>
        <w:numPr>
          <w:ilvl w:val="0"/>
          <w:numId w:val="4"/>
        </w:numPr>
        <w:ind w:left="210" w:leftChars="100"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资金管理情况。</w:t>
      </w:r>
    </w:p>
    <w:p>
      <w:pPr>
        <w:widowControl/>
        <w:ind w:left="529" w:leftChars="252" w:firstLine="640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2021年长期护理保险县配套资金到位349.1579万元，支出349.1579万元。</w:t>
      </w:r>
    </w:p>
    <w:p>
      <w:pPr>
        <w:widowControl/>
        <w:numPr>
          <w:ilvl w:val="0"/>
          <w:numId w:val="4"/>
        </w:numPr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绩效管理制度建设及执行情况。</w:t>
      </w:r>
    </w:p>
    <w:p>
      <w:pPr>
        <w:widowControl/>
        <w:ind w:left="319" w:leftChars="152" w:firstLine="640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项目绩效目标已完成。</w:t>
      </w:r>
    </w:p>
    <w:p>
      <w:pPr>
        <w:widowControl/>
        <w:numPr>
          <w:ilvl w:val="0"/>
          <w:numId w:val="4"/>
        </w:numPr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风险管理情况。</w:t>
      </w:r>
    </w:p>
    <w:p>
      <w:pPr>
        <w:widowControl/>
        <w:ind w:left="210" w:left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>
      <w:pPr>
        <w:widowControl/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（一）工作活动(项目)自评组织情况。</w:t>
      </w:r>
    </w:p>
    <w:p>
      <w:pPr>
        <w:widowControl/>
        <w:ind w:firstLine="960" w:firstLineChars="3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2021年城乡居民长期护理险任务基本完成。转移支付绩效自评已完成。</w:t>
      </w:r>
    </w:p>
    <w:p>
      <w:pPr>
        <w:widowControl/>
        <w:numPr>
          <w:ilvl w:val="0"/>
          <w:numId w:val="5"/>
        </w:numPr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工作活动(项目)评价结果。</w:t>
      </w:r>
    </w:p>
    <w:p>
      <w:pPr>
        <w:pStyle w:val="9"/>
        <w:widowControl/>
        <w:ind w:left="420" w:leftChars="200" w:firstLine="64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2021年城乡居民长期护理险任务基本完成。转移支付绩效自评在隆尧县医疗保障局公众号公开。</w:t>
      </w:r>
    </w:p>
    <w:p>
      <w:pPr>
        <w:widowControl/>
        <w:ind w:firstLine="321" w:firstLineChars="10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>
      <w:pPr>
        <w:widowControl/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（一）工作活动(项目)实现绩效目标过程中存在的问题。</w:t>
      </w:r>
    </w:p>
    <w:p>
      <w:pPr>
        <w:widowControl/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加快</w:t>
      </w:r>
      <w:r>
        <w:rPr>
          <w:rFonts w:ascii="仿宋" w:hAnsi="仿宋" w:eastAsia="仿宋" w:cs="宋体"/>
          <w:color w:val="000000"/>
          <w:kern w:val="0"/>
          <w:sz w:val="32"/>
          <w:szCs w:val="32"/>
        </w:rPr>
        <w:t>长护险系统平台建设、落实长护险市内无异地，方便群众就近享受服务。</w:t>
      </w:r>
    </w:p>
    <w:p>
      <w:pPr>
        <w:widowControl/>
        <w:numPr>
          <w:ilvl w:val="0"/>
          <w:numId w:val="5"/>
        </w:numPr>
        <w:ind w:firstLine="320" w:firstLineChars="1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工作活动(项目)实施中改进意见及措施。</w:t>
      </w:r>
    </w:p>
    <w:p>
      <w:pPr>
        <w:pStyle w:val="2"/>
        <w:ind w:left="210" w:leftChars="100" w:firstLine="640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全面推进长护险业务提质扩面，进一步扩大长护险覆盖面和享受待遇范围，确保失能半失能人员享受到长护险政策带来的益处；细化监管措施，确保长护险基金安全稳定运行，及时防范基金风险。</w:t>
      </w:r>
    </w:p>
    <w:p>
      <w:pPr>
        <w:widowControl/>
        <w:ind w:firstLine="640" w:firstLineChars="200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（三）建议。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为进一步巩固长期护理保险改革工作成果，方便参保群众享受待遇，落实“三统一、两规范”做好长护险</w:t>
      </w:r>
      <w:r>
        <w:rPr>
          <w:rFonts w:hint="eastAsia" w:ascii="仿宋" w:hAnsi="仿宋" w:eastAsia="仿宋"/>
          <w:sz w:val="28"/>
          <w:szCs w:val="28"/>
          <w:lang w:eastAsia="zh-CN"/>
        </w:rPr>
        <w:t>提质增效</w:t>
      </w:r>
      <w:r>
        <w:rPr>
          <w:rFonts w:hint="eastAsia" w:ascii="仿宋" w:hAnsi="仿宋" w:eastAsia="仿宋"/>
          <w:sz w:val="28"/>
          <w:szCs w:val="28"/>
        </w:rPr>
        <w:t>工作。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BDFF1C"/>
    <w:multiLevelType w:val="singleLevel"/>
    <w:tmpl w:val="9CBDFF1C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B09FF3DE"/>
    <w:multiLevelType w:val="singleLevel"/>
    <w:tmpl w:val="B09FF3D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abstractNum w:abstractNumId="3">
    <w:nsid w:val="1A7C30EC"/>
    <w:multiLevelType w:val="multilevel"/>
    <w:tmpl w:val="1A7C30EC"/>
    <w:lvl w:ilvl="0" w:tentative="0">
      <w:start w:val="1"/>
      <w:numFmt w:val="japaneseCounting"/>
      <w:lvlText w:val="（%1）"/>
      <w:lvlJc w:val="left"/>
      <w:pPr>
        <w:ind w:left="1395" w:hanging="10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155" w:hanging="420"/>
      </w:pPr>
    </w:lvl>
    <w:lvl w:ilvl="2" w:tentative="0">
      <w:start w:val="1"/>
      <w:numFmt w:val="lowerRoman"/>
      <w:lvlText w:val="%3."/>
      <w:lvlJc w:val="right"/>
      <w:pPr>
        <w:ind w:left="1575" w:hanging="420"/>
      </w:pPr>
    </w:lvl>
    <w:lvl w:ilvl="3" w:tentative="0">
      <w:start w:val="1"/>
      <w:numFmt w:val="decimal"/>
      <w:lvlText w:val="%4."/>
      <w:lvlJc w:val="left"/>
      <w:pPr>
        <w:ind w:left="1995" w:hanging="420"/>
      </w:pPr>
    </w:lvl>
    <w:lvl w:ilvl="4" w:tentative="0">
      <w:start w:val="1"/>
      <w:numFmt w:val="lowerLetter"/>
      <w:lvlText w:val="%5)"/>
      <w:lvlJc w:val="left"/>
      <w:pPr>
        <w:ind w:left="2415" w:hanging="420"/>
      </w:pPr>
    </w:lvl>
    <w:lvl w:ilvl="5" w:tentative="0">
      <w:start w:val="1"/>
      <w:numFmt w:val="lowerRoman"/>
      <w:lvlText w:val="%6."/>
      <w:lvlJc w:val="right"/>
      <w:pPr>
        <w:ind w:left="2835" w:hanging="420"/>
      </w:pPr>
    </w:lvl>
    <w:lvl w:ilvl="6" w:tentative="0">
      <w:start w:val="1"/>
      <w:numFmt w:val="decimal"/>
      <w:lvlText w:val="%7."/>
      <w:lvlJc w:val="left"/>
      <w:pPr>
        <w:ind w:left="3255" w:hanging="420"/>
      </w:pPr>
    </w:lvl>
    <w:lvl w:ilvl="7" w:tentative="0">
      <w:start w:val="1"/>
      <w:numFmt w:val="lowerLetter"/>
      <w:lvlText w:val="%8)"/>
      <w:lvlJc w:val="left"/>
      <w:pPr>
        <w:ind w:left="3675" w:hanging="420"/>
      </w:pPr>
    </w:lvl>
    <w:lvl w:ilvl="8" w:tentative="0">
      <w:start w:val="1"/>
      <w:numFmt w:val="lowerRoman"/>
      <w:lvlText w:val="%9."/>
      <w:lvlJc w:val="right"/>
      <w:pPr>
        <w:ind w:left="4095" w:hanging="420"/>
      </w:pPr>
    </w:lvl>
  </w:abstractNum>
  <w:abstractNum w:abstractNumId="4">
    <w:nsid w:val="5C7D64D9"/>
    <w:multiLevelType w:val="singleLevel"/>
    <w:tmpl w:val="5C7D64D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3MWMyNzA2ZTNhZGExZTA4OWFlOGM0OTA1MzdkZDAifQ=="/>
  </w:docVars>
  <w:rsids>
    <w:rsidRoot w:val="00C047EA"/>
    <w:rsid w:val="000A4F78"/>
    <w:rsid w:val="000B6188"/>
    <w:rsid w:val="000C5001"/>
    <w:rsid w:val="000F41CA"/>
    <w:rsid w:val="001845B8"/>
    <w:rsid w:val="001D2EAA"/>
    <w:rsid w:val="00285B7B"/>
    <w:rsid w:val="002C71AF"/>
    <w:rsid w:val="003342D8"/>
    <w:rsid w:val="0036746E"/>
    <w:rsid w:val="003C5A3F"/>
    <w:rsid w:val="003F0E5C"/>
    <w:rsid w:val="00476898"/>
    <w:rsid w:val="00584A12"/>
    <w:rsid w:val="005E04FA"/>
    <w:rsid w:val="00630333"/>
    <w:rsid w:val="00661BB7"/>
    <w:rsid w:val="006723A4"/>
    <w:rsid w:val="006A012B"/>
    <w:rsid w:val="006C0284"/>
    <w:rsid w:val="00767F1C"/>
    <w:rsid w:val="007A1805"/>
    <w:rsid w:val="008E0144"/>
    <w:rsid w:val="008E6970"/>
    <w:rsid w:val="008F51D4"/>
    <w:rsid w:val="00B4420A"/>
    <w:rsid w:val="00C047EA"/>
    <w:rsid w:val="00C569E2"/>
    <w:rsid w:val="00C91487"/>
    <w:rsid w:val="00CA444D"/>
    <w:rsid w:val="00D36DA7"/>
    <w:rsid w:val="00FC3534"/>
    <w:rsid w:val="00FE09BC"/>
    <w:rsid w:val="014D3D68"/>
    <w:rsid w:val="11310C8E"/>
    <w:rsid w:val="464A44D9"/>
    <w:rsid w:val="59234189"/>
    <w:rsid w:val="5B7D7254"/>
    <w:rsid w:val="7413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1181</Words>
  <Characters>1249</Characters>
  <Lines>9</Lines>
  <Paragraphs>2</Paragraphs>
  <TotalTime>18</TotalTime>
  <ScaleCrop>false</ScaleCrop>
  <LinksUpToDate>false</LinksUpToDate>
  <CharactersWithSpaces>1253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2022-03-18T02:06:00Z</dcterms:created>
  <dc:creator>lenovo</dc:creator>
  <cp:lastModifiedBy>何必</cp:lastModifiedBy>
  <cp:lastPrinted>2022-03-24T02:21:00Z</cp:lastPrinted>
  <dcterms:modified xsi:type="dcterms:W3CDTF">2023-06-07T07:22:33Z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7B25652555E34949800F7C1AE6557B91_12</vt:lpwstr>
  </property>
</Properties>
</file>