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1320" w:firstLineChars="300"/>
        <w:rPr>
          <w:rFonts w:ascii="Times New Roman" w:hAnsi="Times New Roman" w:eastAsia="方正小标宋_GBK" w:cs="方正小标宋_GBK"/>
          <w:sz w:val="44"/>
          <w:szCs w:val="44"/>
        </w:rPr>
      </w:pPr>
    </w:p>
    <w:p>
      <w:pPr>
        <w:ind w:firstLine="1320" w:firstLineChars="300"/>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隆尧县退役军人事务局</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21</w:t>
      </w:r>
      <w:r>
        <w:rPr>
          <w:rFonts w:hint="eastAsia" w:ascii="Times New Roman" w:hAnsi="Times New Roman" w:eastAsia="方正小标宋_GBK" w:cs="方正小标宋_GBK"/>
          <w:sz w:val="44"/>
          <w:szCs w:val="44"/>
        </w:rPr>
        <w:t>年部门预算信息公开情况说明</w:t>
      </w:r>
    </w:p>
    <w:p>
      <w:pPr>
        <w:ind w:firstLine="480" w:firstLineChars="15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按照《预算法》、《地方预决算公开操作规程》和《河北省省县级预算公开办法》规定，现将隆尧县退役军人事务局</w:t>
      </w:r>
      <w:r>
        <w:rPr>
          <w:rFonts w:ascii="仿宋" w:hAnsi="仿宋" w:eastAsia="仿宋" w:cs="仿宋"/>
          <w:sz w:val="32"/>
          <w:szCs w:val="32"/>
        </w:rPr>
        <w:t>20</w:t>
      </w:r>
      <w:r>
        <w:rPr>
          <w:rFonts w:hint="eastAsia" w:ascii="仿宋" w:hAnsi="仿宋" w:eastAsia="仿宋" w:cs="仿宋"/>
          <w:sz w:val="32"/>
          <w:szCs w:val="32"/>
        </w:rPr>
        <w:t>21年部门预算公开如下：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部门职责：</w:t>
      </w:r>
    </w:p>
    <w:p>
      <w:pPr>
        <w:widowControl/>
        <w:autoSpaceDE w:val="0"/>
        <w:autoSpaceDN w:val="0"/>
        <w:adjustRightInd w:val="0"/>
        <w:spacing w:line="360" w:lineRule="auto"/>
        <w:ind w:firstLine="960" w:firstLineChars="300"/>
        <w:jc w:val="left"/>
        <w:rPr>
          <w:rFonts w:ascii="仿宋" w:hAnsi="仿宋" w:eastAsia="仿宋" w:cs="新宋体"/>
          <w:kern w:val="0"/>
          <w:sz w:val="32"/>
          <w:szCs w:val="32"/>
        </w:rPr>
      </w:pPr>
      <w:r>
        <w:rPr>
          <w:rFonts w:hint="eastAsia" w:ascii="仿宋" w:hAnsi="仿宋" w:eastAsia="仿宋" w:cs="新宋体"/>
          <w:kern w:val="0"/>
          <w:sz w:val="32"/>
          <w:szCs w:val="32"/>
        </w:rPr>
        <w:t>隆尧县退役军人事务局贯彻落实党中央和省委、市委、县委关于退役军人工作的方针政策和决策部署，坚持和加强对退役军人工作的集中统一领导。拟定全县退役军人思想政治、管理保障和安置优抚等政策并组织实施。褒扬彰显退役军人为党、国家和人民牺牲奉献的精神风范和价值导向；负责全县军队转业干部、复员干部、离退休干部、退役士兵、符合条件消防员和无军籍退休退职职工的移交安置工作以及自主择业、就业退役军人的服务管理工作；组织指导退役军人教育培训工作，协调扶持退役军人和随军随调家属就业创业。落实企业中军队转业干部的解困政策；组织指导全县拥军优属工作；负责烈士及退役军人荣誉奖励、军人公墓管理维护、纪念活动等工作；完成县委、县政府交办的其他任务。</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autoSpaceDE w:val="0"/>
        <w:autoSpaceDN w:val="0"/>
        <w:adjustRightInd w:val="0"/>
        <w:ind w:firstLine="707" w:firstLineChars="221"/>
        <w:jc w:val="left"/>
        <w:rPr>
          <w:rFonts w:ascii="仿宋" w:hAnsi="仿宋" w:eastAsia="仿宋" w:cs="Times New Roman"/>
          <w:kern w:val="0"/>
          <w:sz w:val="32"/>
          <w:szCs w:val="32"/>
        </w:rPr>
      </w:pPr>
      <w:r>
        <w:rPr>
          <w:rFonts w:hint="eastAsia" w:ascii="仿宋" w:hAnsi="仿宋" w:eastAsia="仿宋" w:cs="仿宋"/>
          <w:kern w:val="0"/>
          <w:sz w:val="32"/>
          <w:szCs w:val="32"/>
        </w:rPr>
        <w:t>隆尧县退役军人事务局部门机构设置情况：</w:t>
      </w:r>
    </w:p>
    <w:tbl>
      <w:tblPr>
        <w:tblStyle w:val="7"/>
        <w:tblW w:w="13020"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单位名称</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单位性质</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单位规格</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隆尧县退役军人事务局局（机关）</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行政</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正科级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仿宋"/>
                <w:kern w:val="0"/>
                <w:sz w:val="24"/>
                <w:szCs w:val="24"/>
              </w:rPr>
            </w:pPr>
            <w:r>
              <w:rPr>
                <w:rFonts w:hint="eastAsia" w:ascii="仿宋" w:hAnsi="仿宋" w:eastAsia="仿宋" w:cs="仿宋"/>
                <w:kern w:val="0"/>
                <w:sz w:val="24"/>
                <w:szCs w:val="24"/>
              </w:rPr>
              <w:t>隆尧县退役军人服务中心</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事业</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隆尧县光荣院</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Times New Roman"/>
                <w:kern w:val="0"/>
                <w:sz w:val="24"/>
                <w:szCs w:val="24"/>
              </w:rPr>
              <w:t>事业</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Times New Roman"/>
                <w:kern w:val="0"/>
                <w:sz w:val="24"/>
                <w:szCs w:val="24"/>
              </w:rPr>
              <w:t>隆尧县荣复军人疗养所</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Times New Roman"/>
                <w:kern w:val="0"/>
                <w:sz w:val="24"/>
                <w:szCs w:val="24"/>
              </w:rPr>
              <w:t>事业</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bl>
    <w:p>
      <w:pPr>
        <w:ind w:firstLine="640" w:firstLineChars="200"/>
        <w:rPr>
          <w:rFonts w:ascii="黑体" w:hAnsi="黑体" w:eastAsia="黑体" w:cs="Times New Roman"/>
          <w:sz w:val="32"/>
          <w:szCs w:val="32"/>
        </w:rPr>
      </w:pPr>
      <w:r>
        <w:rPr>
          <w:rFonts w:hint="eastAsia" w:ascii="黑体" w:hAnsi="黑体" w:eastAsia="黑体" w:cs="黑体"/>
          <w:sz w:val="32"/>
          <w:szCs w:val="32"/>
        </w:rPr>
        <w:t>二、部门预算安排的总体情况</w:t>
      </w:r>
    </w:p>
    <w:p>
      <w:pPr>
        <w:autoSpaceDE w:val="0"/>
        <w:autoSpaceDN w:val="0"/>
        <w:ind w:firstLine="640" w:firstLineChars="200"/>
        <w:rPr>
          <w:rFonts w:ascii="仿宋" w:hAnsi="仿宋" w:eastAsia="仿宋" w:cs="Times New Roman"/>
          <w:sz w:val="32"/>
          <w:szCs w:val="32"/>
        </w:rPr>
      </w:pPr>
      <w:r>
        <w:rPr>
          <w:rFonts w:hint="eastAsia" w:ascii="仿宋" w:hAnsi="仿宋" w:eastAsia="仿宋" w:cs="仿宋"/>
          <w:sz w:val="32"/>
          <w:szCs w:val="32"/>
        </w:rPr>
        <w:t>按照预算管理有关规定，目前我局部门预算的编制实行综合预算制度，即全部收入和支出都反映预算中。隆尧县退役军人事务局局机关及所属事业单位的收支包含在部门预算中。</w:t>
      </w:r>
    </w:p>
    <w:p>
      <w:pPr>
        <w:autoSpaceDE w:val="0"/>
        <w:autoSpaceDN w:val="0"/>
        <w:rPr>
          <w:rFonts w:ascii="仿宋" w:hAnsi="仿宋" w:eastAsia="仿宋" w:cs="Times New Roman"/>
          <w:b/>
          <w:bCs/>
          <w:sz w:val="32"/>
          <w:szCs w:val="32"/>
        </w:rPr>
      </w:pPr>
      <w:r>
        <w:rPr>
          <w:rFonts w:ascii="仿宋" w:hAnsi="仿宋" w:eastAsia="仿宋" w:cs="仿宋"/>
          <w:sz w:val="32"/>
          <w:szCs w:val="32"/>
        </w:rPr>
        <w:t xml:space="preserve">     </w:t>
      </w:r>
      <w:r>
        <w:rPr>
          <w:rFonts w:ascii="仿宋" w:hAnsi="仿宋" w:eastAsia="仿宋" w:cs="仿宋"/>
          <w:b/>
          <w:bCs/>
          <w:sz w:val="32"/>
          <w:szCs w:val="32"/>
        </w:rPr>
        <w:t>1</w:t>
      </w:r>
      <w:r>
        <w:rPr>
          <w:rFonts w:hint="eastAsia" w:ascii="仿宋" w:hAnsi="仿宋" w:eastAsia="仿宋" w:cs="仿宋"/>
          <w:b/>
          <w:bCs/>
          <w:sz w:val="32"/>
          <w:szCs w:val="32"/>
        </w:rPr>
        <w:t>、收入说明</w:t>
      </w:r>
    </w:p>
    <w:p>
      <w:pPr>
        <w:autoSpaceDE w:val="0"/>
        <w:autoSpaceDN w:val="0"/>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w:t>
      </w:r>
      <w:r>
        <w:rPr>
          <w:rFonts w:hint="eastAsia" w:ascii="仿宋" w:hAnsi="仿宋" w:eastAsia="仿宋" w:cs="仿宋"/>
          <w:sz w:val="32"/>
          <w:szCs w:val="32"/>
        </w:rPr>
        <w:t>21年财政拨款预算收入</w:t>
      </w:r>
      <w:r>
        <w:rPr>
          <w:rFonts w:hint="eastAsia" w:ascii="仿宋" w:hAnsi="仿宋" w:eastAsia="仿宋" w:cs="仿宋"/>
          <w:kern w:val="0"/>
          <w:sz w:val="32"/>
          <w:szCs w:val="32"/>
        </w:rPr>
        <w:t>9883.05</w:t>
      </w:r>
      <w:r>
        <w:rPr>
          <w:rFonts w:hint="eastAsia" w:ascii="仿宋" w:hAnsi="仿宋" w:eastAsia="仿宋" w:cs="仿宋"/>
          <w:sz w:val="32"/>
          <w:szCs w:val="32"/>
        </w:rPr>
        <w:t>万元。其中：一般公共预算</w:t>
      </w:r>
      <w:r>
        <w:rPr>
          <w:rFonts w:ascii="仿宋" w:hAnsi="仿宋" w:eastAsia="仿宋" w:cs="仿宋"/>
          <w:sz w:val="32"/>
          <w:szCs w:val="32"/>
        </w:rPr>
        <w:t>9883</w:t>
      </w:r>
      <w:r>
        <w:rPr>
          <w:rFonts w:hint="eastAsia" w:ascii="仿宋" w:hAnsi="仿宋" w:eastAsia="仿宋" w:cs="仿宋"/>
          <w:sz w:val="32"/>
          <w:szCs w:val="32"/>
        </w:rPr>
        <w:t>.05万元，基金预算收入0万元，国有资本经营预算收入0万元，财政专户核拨收入0万元，单位资金收入0万元，上年结转结余0万元。</w:t>
      </w:r>
    </w:p>
    <w:p>
      <w:pPr>
        <w:autoSpaceDE w:val="0"/>
        <w:autoSpaceDN w:val="0"/>
        <w:rPr>
          <w:rFonts w:ascii="仿宋" w:hAnsi="仿宋" w:eastAsia="仿宋" w:cs="Times New Roman"/>
          <w:b/>
          <w:bCs/>
          <w:sz w:val="32"/>
          <w:szCs w:val="32"/>
        </w:rPr>
      </w:pPr>
      <w:r>
        <w:rPr>
          <w:rFonts w:ascii="仿宋" w:hAnsi="仿宋" w:eastAsia="仿宋" w:cs="仿宋"/>
          <w:sz w:val="32"/>
          <w:szCs w:val="32"/>
        </w:rPr>
        <w:t xml:space="preserve">     </w:t>
      </w:r>
      <w:r>
        <w:rPr>
          <w:rFonts w:ascii="仿宋" w:hAnsi="仿宋" w:eastAsia="仿宋" w:cs="仿宋"/>
          <w:b/>
          <w:bCs/>
          <w:sz w:val="32"/>
          <w:szCs w:val="32"/>
        </w:rPr>
        <w:t>2</w:t>
      </w:r>
      <w:r>
        <w:rPr>
          <w:rFonts w:hint="eastAsia" w:ascii="仿宋" w:hAnsi="仿宋" w:eastAsia="仿宋" w:cs="仿宋"/>
          <w:b/>
          <w:bCs/>
          <w:sz w:val="32"/>
          <w:szCs w:val="32"/>
        </w:rPr>
        <w:t>、支出说明</w:t>
      </w:r>
    </w:p>
    <w:p>
      <w:pPr>
        <w:ind w:firstLine="645"/>
        <w:jc w:val="left"/>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收支预算总表支出栏、基本支出表、项目支出表按经济分类和支出功能分类科目编制，反映隆尧县退役军人事务局年度部门预算中支出预算的总体情况。</w:t>
      </w:r>
      <w:r>
        <w:rPr>
          <w:rFonts w:ascii="仿宋" w:hAnsi="仿宋" w:eastAsia="仿宋" w:cs="仿宋"/>
          <w:sz w:val="32"/>
          <w:szCs w:val="32"/>
        </w:rPr>
        <w:t>20</w:t>
      </w:r>
      <w:r>
        <w:rPr>
          <w:rFonts w:hint="eastAsia" w:ascii="仿宋" w:hAnsi="仿宋" w:eastAsia="仿宋" w:cs="仿宋"/>
          <w:sz w:val="32"/>
          <w:szCs w:val="32"/>
        </w:rPr>
        <w:t>21年支出预算</w:t>
      </w:r>
      <w:r>
        <w:rPr>
          <w:rFonts w:hint="eastAsia" w:ascii="仿宋" w:hAnsi="仿宋" w:eastAsia="仿宋" w:cs="仿宋"/>
          <w:kern w:val="0"/>
          <w:sz w:val="32"/>
          <w:szCs w:val="32"/>
        </w:rPr>
        <w:t>9883.05</w:t>
      </w:r>
      <w:r>
        <w:rPr>
          <w:rFonts w:hint="eastAsia" w:ascii="仿宋" w:hAnsi="仿宋" w:eastAsia="仿宋" w:cs="仿宋"/>
          <w:sz w:val="32"/>
          <w:szCs w:val="32"/>
        </w:rPr>
        <w:t>万元，其中;基本支出104.49元，包括人员经费91.79万元和日常公用经费12.7万元；项目支出9778.56万元，主要为优抚对象抚恤补助、医疗补助、退役安置补助等。</w:t>
      </w:r>
    </w:p>
    <w:p>
      <w:pPr>
        <w:ind w:firstLine="645"/>
        <w:jc w:val="left"/>
        <w:rPr>
          <w:rFonts w:ascii="仿宋" w:hAnsi="仿宋" w:eastAsia="仿宋" w:cs="仿宋"/>
          <w:b/>
          <w:sz w:val="32"/>
          <w:szCs w:val="32"/>
        </w:rPr>
      </w:pPr>
      <w:r>
        <w:rPr>
          <w:rFonts w:hint="eastAsia" w:ascii="仿宋" w:hAnsi="仿宋" w:eastAsia="仿宋" w:cs="仿宋"/>
          <w:b/>
          <w:sz w:val="32"/>
          <w:szCs w:val="32"/>
        </w:rPr>
        <w:t>3、比上年增减情况</w:t>
      </w:r>
    </w:p>
    <w:p>
      <w:pPr>
        <w:ind w:firstLine="645"/>
        <w:jc w:val="left"/>
        <w:rPr>
          <w:rFonts w:ascii="仿宋" w:hAnsi="仿宋" w:eastAsia="仿宋" w:cs="仿宋"/>
          <w:kern w:val="0"/>
          <w:sz w:val="32"/>
          <w:szCs w:val="32"/>
        </w:rPr>
      </w:pPr>
      <w:r>
        <w:rPr>
          <w:rFonts w:hint="eastAsia" w:ascii="仿宋" w:hAnsi="仿宋" w:eastAsia="仿宋" w:cs="仿宋"/>
          <w:sz w:val="32"/>
          <w:szCs w:val="32"/>
        </w:rPr>
        <w:t>2021年预算收支安排9883.05万元，较2020年年初预算增加4134.88万元，主要增加了项目支出，为消化涉军人员养老保险和生活费暂付款项目。</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2021年，我局机关运行经费共计安排12.7万元，主要用于日常维修、办公费、印刷费、邮电费、取暖费等日常运行支出。</w:t>
      </w:r>
    </w:p>
    <w:p>
      <w:pPr>
        <w:autoSpaceDE w:val="0"/>
        <w:autoSpaceDN w:val="0"/>
        <w:ind w:firstLine="800" w:firstLineChars="250"/>
        <w:rPr>
          <w:rFonts w:ascii="黑体" w:hAnsi="黑体" w:eastAsia="黑体" w:cs="Times New Roman"/>
          <w:color w:val="000000"/>
          <w:sz w:val="32"/>
          <w:szCs w:val="32"/>
        </w:rPr>
      </w:pPr>
      <w:r>
        <w:rPr>
          <w:rFonts w:hint="eastAsia" w:ascii="黑体" w:hAnsi="黑体" w:eastAsia="黑体" w:cs="Times New Roman"/>
          <w:color w:val="000000"/>
          <w:sz w:val="32"/>
          <w:szCs w:val="32"/>
        </w:rPr>
        <w:t>四、财政拨款“三公”经费预算情况及增减变化原因</w:t>
      </w:r>
    </w:p>
    <w:p>
      <w:pPr>
        <w:pStyle w:val="17"/>
        <w:ind w:firstLine="1024" w:firstLineChars="366"/>
        <w:rPr>
          <w:rFonts w:ascii="仿宋" w:hAnsi="仿宋" w:eastAsia="仿宋" w:cs="Times New Roman"/>
          <w:color w:val="000000"/>
          <w:sz w:val="32"/>
          <w:szCs w:val="32"/>
        </w:rPr>
      </w:pPr>
      <w:r>
        <w:rPr>
          <w:rFonts w:hint="eastAsia" w:eastAsiaTheme="minorEastAsia"/>
        </w:rPr>
        <w:t>2021年，我部门财政拨款“三公”经费预算安排0万元，其中因公出国（境）费0万元；公务用车购置及运维费0万元（其中：公务用车购置费0万元，公务用车运维费0万元）；公务接待费0万元。与2020年相比无变化。</w:t>
      </w:r>
    </w:p>
    <w:p>
      <w:pPr>
        <w:autoSpaceDE w:val="0"/>
        <w:autoSpaceDN w:val="0"/>
        <w:ind w:firstLine="803" w:firstLineChars="250"/>
        <w:rPr>
          <w:rFonts w:ascii="仿宋" w:hAnsi="仿宋" w:eastAsia="仿宋" w:cs="Times New Roman"/>
          <w:b/>
          <w:color w:val="000000"/>
          <w:sz w:val="32"/>
          <w:szCs w:val="32"/>
        </w:rPr>
      </w:pPr>
      <w:r>
        <w:rPr>
          <w:rFonts w:hint="eastAsia" w:ascii="黑体" w:hAnsi="黑体" w:eastAsia="黑体" w:cs="黑体"/>
          <w:b/>
          <w:sz w:val="32"/>
          <w:szCs w:val="32"/>
        </w:rPr>
        <w:t>五、绩效预算信息</w:t>
      </w:r>
    </w:p>
    <w:p>
      <w:pPr>
        <w:autoSpaceDE w:val="0"/>
        <w:autoSpaceDN w:val="0"/>
        <w:adjustRightInd w:val="0"/>
        <w:ind w:firstLine="643" w:firstLineChars="200"/>
        <w:jc w:val="left"/>
        <w:rPr>
          <w:rFonts w:ascii="黑体" w:hAnsi="黑体" w:eastAsia="黑体" w:cs="仿宋"/>
          <w:b/>
          <w:color w:val="000000"/>
          <w:sz w:val="32"/>
          <w:szCs w:val="32"/>
        </w:rPr>
      </w:pPr>
      <w:bookmarkStart w:id="0" w:name="_Toc471398463"/>
      <w:r>
        <w:rPr>
          <w:rFonts w:hint="eastAsia" w:ascii="黑体" w:hAnsi="黑体" w:eastAsia="黑体" w:cs="仿宋"/>
          <w:b/>
          <w:color w:val="000000"/>
          <w:sz w:val="32"/>
          <w:szCs w:val="32"/>
        </w:rPr>
        <w:t>第一部分部门整体绩效目标</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（一）总体绩效目标：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276" w:lineRule="auto"/>
        <w:ind w:firstLine="640"/>
        <w:rPr>
          <w:rFonts w:ascii="仿宋" w:hAnsi="仿宋" w:eastAsia="仿宋"/>
          <w:sz w:val="30"/>
          <w:szCs w:val="30"/>
        </w:rPr>
      </w:pPr>
      <w:r>
        <w:rPr>
          <w:rFonts w:hint="eastAsia" w:ascii="仿宋" w:hAnsi="仿宋" w:eastAsia="仿宋"/>
          <w:sz w:val="30"/>
          <w:szCs w:val="30"/>
        </w:rPr>
        <w:t>以习近平新时代中国特色社会主义思想为指导,深入贯彻习近平总书记关于退役军人工作重要论述精神,围绕“让军人成为全社会尊崇的职业”,以“带一流队伍,创一流业绩,保一方稳定”为目标,以“建好队伍、推进创新、守住底线、提质提效”为路径,坚持以退役军人为中心,坚持为经济社会发展、国防和军队建设服务,综合施策,持续发力,突出抓好党的建设、移交安置、权益保障、促进就业、优待抚恤、信访稳定等重点工作,增强广大退役军人和其他优抚对象获得感、幸福感。</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0" w:after="0" w:line="276" w:lineRule="auto"/>
        <w:ind w:firstLine="645"/>
        <w:jc w:val="both"/>
        <w:rPr>
          <w:rFonts w:ascii="仿宋" w:hAnsi="仿宋" w:eastAsia="仿宋"/>
          <w:color w:val="4C4C4C"/>
          <w:sz w:val="30"/>
          <w:szCs w:val="30"/>
          <w:shd w:val="clear" w:color="auto" w:fill="FFFFFF"/>
          <w:lang w:eastAsia="zh-CN"/>
        </w:rPr>
      </w:pPr>
      <w:r>
        <w:rPr>
          <w:rFonts w:hint="eastAsia" w:ascii="仿宋" w:hAnsi="仿宋" w:eastAsia="仿宋"/>
          <w:color w:val="4C4C4C"/>
          <w:sz w:val="30"/>
          <w:szCs w:val="30"/>
          <w:shd w:val="clear" w:color="auto" w:fill="FFFFFF"/>
          <w:lang w:eastAsia="zh-CN"/>
        </w:rPr>
        <w:t>通过实施财政支出绩效评价，增强部门单位的绩效观念和责任意识，确保“预算编制有目标、预算执行有监控、预算完成有评价、评价结果有应用”，使财政资金得到全面监管，财政预算和政策得到有效实施，逐步建立以“绩效”为导向的部门单位整体支出和项目支出评价监督机制。</w:t>
      </w:r>
    </w:p>
    <w:p>
      <w:pPr>
        <w:autoSpaceDE w:val="0"/>
        <w:autoSpaceDN w:val="0"/>
        <w:adjustRightInd w:val="0"/>
        <w:ind w:left="198" w:firstLine="750" w:firstLineChars="250"/>
        <w:jc w:val="left"/>
        <w:rPr>
          <w:rFonts w:ascii="仿宋" w:hAnsi="仿宋" w:eastAsia="仿宋" w:cs="Times New Roman"/>
          <w:color w:val="FF0000"/>
          <w:sz w:val="32"/>
          <w:szCs w:val="32"/>
        </w:rPr>
      </w:pPr>
      <w:r>
        <w:rPr>
          <w:rFonts w:hint="eastAsia" w:ascii="仿宋" w:hAnsi="仿宋" w:eastAsia="仿宋"/>
          <w:sz w:val="30"/>
          <w:szCs w:val="30"/>
        </w:rPr>
        <w:t>2021年度各类资金整体使用管理情况总体必须规范，相关制度逐渐完善，支出符合政策文件规定。下一步，退役军人事务局和财政部门业务主管人员，将进一步加强对国家财经法律法规的学习，借鉴兄弟县市的好经验、好办法，进一步强化和完善各项补助资金使用管理情况的监督管理，切实管好用好各项资金，为隆尧的发展和社会和谐稳定做出积极的贡献。</w:t>
      </w:r>
    </w:p>
    <w:p>
      <w:pPr>
        <w:autoSpaceDE w:val="0"/>
        <w:autoSpaceDN w:val="0"/>
        <w:adjustRightInd w:val="0"/>
        <w:ind w:firstLine="960" w:firstLineChars="300"/>
        <w:jc w:val="left"/>
        <w:rPr>
          <w:rFonts w:ascii="仿宋" w:hAnsi="仿宋" w:eastAsia="仿宋" w:cs="Times New Roman"/>
          <w:color w:val="000000"/>
          <w:sz w:val="32"/>
          <w:szCs w:val="32"/>
        </w:rPr>
      </w:pPr>
      <w:r>
        <w:rPr>
          <w:rFonts w:hint="eastAsia" w:ascii="仿宋" w:hAnsi="仿宋" w:eastAsia="仿宋" w:cs="仿宋"/>
          <w:color w:val="000000"/>
          <w:sz w:val="32"/>
          <w:szCs w:val="32"/>
        </w:rPr>
        <w:t>（二）分项绩效目标：</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一、全面加强党的建设。深入学习习近平新时代中国特色社会主义思想和党的十九大精神</w:t>
      </w:r>
      <w:r>
        <w:rPr>
          <w:rFonts w:ascii="仿宋" w:hAnsi="仿宋" w:eastAsia="仿宋" w:cs="仿宋"/>
          <w:kern w:val="0"/>
          <w:sz w:val="30"/>
          <w:szCs w:val="30"/>
        </w:rPr>
        <w:t>,</w:t>
      </w:r>
      <w:r>
        <w:rPr>
          <w:rFonts w:hint="eastAsia" w:ascii="仿宋" w:hAnsi="仿宋" w:eastAsia="仿宋" w:cs="仿宋"/>
          <w:kern w:val="0"/>
          <w:sz w:val="30"/>
          <w:szCs w:val="30"/>
        </w:rPr>
        <w:t>加强党的纪律和作风建设，结合“不忘初心、牢记使命”</w:t>
      </w:r>
      <w:bookmarkStart w:id="2" w:name="_GoBack"/>
      <w:r>
        <w:rPr>
          <w:rFonts w:hint="eastAsia" w:ascii="仿宋" w:hAnsi="仿宋" w:eastAsia="仿宋" w:cs="仿宋"/>
          <w:kern w:val="0"/>
          <w:sz w:val="30"/>
          <w:szCs w:val="30"/>
        </w:rPr>
        <w:t>主题教育</w:t>
      </w:r>
      <w:bookmarkEnd w:id="2"/>
      <w:r>
        <w:rPr>
          <w:rFonts w:hint="eastAsia" w:ascii="仿宋" w:hAnsi="仿宋" w:eastAsia="仿宋" w:cs="仿宋"/>
          <w:kern w:val="0"/>
          <w:sz w:val="30"/>
          <w:szCs w:val="30"/>
        </w:rPr>
        <w:t>，安排部署</w:t>
      </w:r>
      <w:r>
        <w:rPr>
          <w:rFonts w:ascii="仿宋" w:hAnsi="仿宋" w:eastAsia="仿宋" w:cs="仿宋"/>
          <w:kern w:val="0"/>
          <w:sz w:val="30"/>
          <w:szCs w:val="30"/>
        </w:rPr>
        <w:t>2021</w:t>
      </w:r>
      <w:r>
        <w:rPr>
          <w:rFonts w:hint="eastAsia" w:ascii="仿宋" w:hAnsi="仿宋" w:eastAsia="仿宋" w:cs="仿宋"/>
          <w:kern w:val="0"/>
          <w:sz w:val="30"/>
          <w:szCs w:val="30"/>
        </w:rPr>
        <w:t>年各项工作</w:t>
      </w:r>
      <w:r>
        <w:rPr>
          <w:rFonts w:ascii="仿宋" w:hAnsi="仿宋" w:eastAsia="仿宋" w:cs="仿宋"/>
          <w:kern w:val="0"/>
          <w:sz w:val="30"/>
          <w:szCs w:val="30"/>
        </w:rPr>
        <w:t>.</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二、健全县、乡、村三级服务体系保障工作。指导各乡</w:t>
      </w:r>
      <w:r>
        <w:rPr>
          <w:rFonts w:ascii="仿宋" w:hAnsi="仿宋" w:eastAsia="仿宋" w:cs="仿宋"/>
          <w:kern w:val="0"/>
          <w:sz w:val="30"/>
          <w:szCs w:val="30"/>
        </w:rPr>
        <w:t>(</w:t>
      </w:r>
      <w:r>
        <w:rPr>
          <w:rFonts w:hint="eastAsia" w:ascii="仿宋" w:hAnsi="仿宋" w:eastAsia="仿宋" w:cs="仿宋"/>
          <w:kern w:val="0"/>
          <w:sz w:val="30"/>
          <w:szCs w:val="30"/>
        </w:rPr>
        <w:t>镇</w:t>
      </w:r>
      <w:r>
        <w:rPr>
          <w:rFonts w:ascii="仿宋" w:hAnsi="仿宋" w:eastAsia="仿宋" w:cs="仿宋"/>
          <w:kern w:val="0"/>
          <w:sz w:val="30"/>
          <w:szCs w:val="30"/>
        </w:rPr>
        <w:t>)</w:t>
      </w:r>
      <w:r>
        <w:rPr>
          <w:rFonts w:hint="eastAsia" w:ascii="仿宋" w:hAnsi="仿宋" w:eastAsia="仿宋" w:cs="仿宋"/>
          <w:kern w:val="0"/>
          <w:sz w:val="30"/>
          <w:szCs w:val="30"/>
        </w:rPr>
        <w:t>成立退役军人事务工作领导小组</w:t>
      </w:r>
      <w:r>
        <w:rPr>
          <w:rFonts w:ascii="仿宋" w:hAnsi="仿宋" w:eastAsia="仿宋" w:cs="仿宋"/>
          <w:kern w:val="0"/>
          <w:sz w:val="30"/>
          <w:szCs w:val="30"/>
        </w:rPr>
        <w:t>,</w:t>
      </w:r>
      <w:r>
        <w:rPr>
          <w:rFonts w:hint="eastAsia" w:ascii="仿宋" w:hAnsi="仿宋" w:eastAsia="仿宋" w:cs="仿宋"/>
          <w:kern w:val="0"/>
          <w:sz w:val="30"/>
          <w:szCs w:val="30"/>
        </w:rPr>
        <w:t>建立乡（镇）党委牵头负责的退役军人事务工作决策议事协调机制。</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三、加强退役军人思想政治工作</w:t>
      </w:r>
      <w:r>
        <w:rPr>
          <w:rFonts w:hint="eastAsia" w:ascii="仿宋" w:hAnsi="仿宋" w:eastAsia="仿宋" w:cs="仿宋"/>
          <w:b/>
          <w:bCs/>
          <w:kern w:val="0"/>
          <w:sz w:val="30"/>
          <w:szCs w:val="30"/>
        </w:rPr>
        <w:t>。</w:t>
      </w:r>
      <w:r>
        <w:rPr>
          <w:rFonts w:hint="eastAsia" w:ascii="仿宋" w:hAnsi="仿宋" w:eastAsia="仿宋" w:cs="仿宋"/>
          <w:kern w:val="0"/>
          <w:sz w:val="30"/>
          <w:szCs w:val="30"/>
        </w:rPr>
        <w:t>贯彻落实省《关于加强退役军人党员教育管理工作的意见》</w:t>
      </w:r>
      <w:r>
        <w:rPr>
          <w:rFonts w:ascii="仿宋" w:hAnsi="仿宋" w:eastAsia="仿宋" w:cs="仿宋"/>
          <w:kern w:val="0"/>
          <w:sz w:val="30"/>
          <w:szCs w:val="30"/>
        </w:rPr>
        <w:t>,</w:t>
      </w:r>
      <w:r>
        <w:rPr>
          <w:rFonts w:hint="eastAsia" w:ascii="仿宋" w:hAnsi="仿宋" w:eastAsia="仿宋" w:cs="仿宋"/>
          <w:kern w:val="0"/>
          <w:sz w:val="30"/>
          <w:szCs w:val="30"/>
        </w:rPr>
        <w:t>加强退役军人党组织关系转接工作</w:t>
      </w:r>
      <w:r>
        <w:rPr>
          <w:rFonts w:ascii="仿宋" w:hAnsi="仿宋" w:eastAsia="仿宋" w:cs="仿宋"/>
          <w:kern w:val="0"/>
          <w:sz w:val="30"/>
          <w:szCs w:val="30"/>
        </w:rPr>
        <w:t>,</w:t>
      </w:r>
      <w:r>
        <w:rPr>
          <w:rFonts w:hint="eastAsia" w:ascii="仿宋" w:hAnsi="仿宋" w:eastAsia="仿宋" w:cs="仿宋"/>
          <w:kern w:val="0"/>
          <w:sz w:val="30"/>
          <w:szCs w:val="30"/>
        </w:rPr>
        <w:t>在</w:t>
      </w:r>
      <w:r>
        <w:rPr>
          <w:rFonts w:ascii="仿宋" w:hAnsi="仿宋" w:eastAsia="仿宋" w:cs="仿宋"/>
          <w:kern w:val="0"/>
          <w:sz w:val="30"/>
          <w:szCs w:val="30"/>
        </w:rPr>
        <w:t>12</w:t>
      </w:r>
      <w:r>
        <w:rPr>
          <w:rFonts w:hint="eastAsia" w:ascii="仿宋" w:hAnsi="仿宋" w:eastAsia="仿宋" w:cs="仿宋"/>
          <w:kern w:val="0"/>
          <w:sz w:val="30"/>
          <w:szCs w:val="30"/>
        </w:rPr>
        <w:t>个乡</w:t>
      </w:r>
      <w:r>
        <w:rPr>
          <w:rFonts w:ascii="仿宋" w:hAnsi="仿宋" w:eastAsia="仿宋" w:cs="仿宋"/>
          <w:kern w:val="0"/>
          <w:sz w:val="30"/>
          <w:szCs w:val="30"/>
        </w:rPr>
        <w:t>(</w:t>
      </w:r>
      <w:r>
        <w:rPr>
          <w:rFonts w:hint="eastAsia" w:ascii="仿宋" w:hAnsi="仿宋" w:eastAsia="仿宋" w:cs="仿宋"/>
          <w:kern w:val="0"/>
          <w:sz w:val="30"/>
          <w:szCs w:val="30"/>
        </w:rPr>
        <w:t>镇</w:t>
      </w:r>
      <w:r>
        <w:rPr>
          <w:rFonts w:ascii="仿宋" w:hAnsi="仿宋" w:eastAsia="仿宋" w:cs="仿宋"/>
          <w:kern w:val="0"/>
          <w:sz w:val="30"/>
          <w:szCs w:val="30"/>
        </w:rPr>
        <w:t>)</w:t>
      </w:r>
      <w:r>
        <w:rPr>
          <w:rFonts w:hint="eastAsia" w:ascii="仿宋" w:hAnsi="仿宋" w:eastAsia="仿宋" w:cs="仿宋"/>
          <w:kern w:val="0"/>
          <w:sz w:val="30"/>
          <w:szCs w:val="30"/>
        </w:rPr>
        <w:t>退役军人服务站设立专门窗口</w:t>
      </w:r>
      <w:r>
        <w:rPr>
          <w:rFonts w:ascii="仿宋" w:hAnsi="仿宋" w:eastAsia="仿宋" w:cs="仿宋"/>
          <w:kern w:val="0"/>
          <w:sz w:val="30"/>
          <w:szCs w:val="30"/>
        </w:rPr>
        <w:t>,</w:t>
      </w:r>
      <w:r>
        <w:rPr>
          <w:rFonts w:hint="eastAsia" w:ascii="仿宋" w:hAnsi="仿宋" w:eastAsia="仿宋" w:cs="仿宋"/>
          <w:kern w:val="0"/>
          <w:sz w:val="30"/>
          <w:szCs w:val="30"/>
        </w:rPr>
        <w:t>为退役军人组织关系转接提供“一站式”服务。</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三、加强退役军人思想政治工作</w:t>
      </w:r>
      <w:r>
        <w:rPr>
          <w:rFonts w:hint="eastAsia" w:ascii="仿宋" w:hAnsi="仿宋" w:eastAsia="仿宋" w:cs="仿宋"/>
          <w:b/>
          <w:bCs/>
          <w:kern w:val="0"/>
          <w:sz w:val="30"/>
          <w:szCs w:val="30"/>
        </w:rPr>
        <w:t>。</w:t>
      </w:r>
      <w:r>
        <w:rPr>
          <w:rFonts w:hint="eastAsia" w:ascii="仿宋" w:hAnsi="仿宋" w:eastAsia="仿宋" w:cs="仿宋"/>
          <w:kern w:val="0"/>
          <w:sz w:val="30"/>
          <w:szCs w:val="30"/>
        </w:rPr>
        <w:t>贯彻落实省《关于加强退役军人党员教育管理工作的意见》</w:t>
      </w:r>
      <w:r>
        <w:rPr>
          <w:rFonts w:ascii="仿宋" w:hAnsi="仿宋" w:eastAsia="仿宋" w:cs="仿宋"/>
          <w:kern w:val="0"/>
          <w:sz w:val="30"/>
          <w:szCs w:val="30"/>
        </w:rPr>
        <w:t>,</w:t>
      </w:r>
      <w:r>
        <w:rPr>
          <w:rFonts w:hint="eastAsia" w:ascii="仿宋" w:hAnsi="仿宋" w:eastAsia="仿宋" w:cs="仿宋"/>
          <w:kern w:val="0"/>
          <w:sz w:val="30"/>
          <w:szCs w:val="30"/>
        </w:rPr>
        <w:t>加强退役军人党组织关系转接工作</w:t>
      </w:r>
      <w:r>
        <w:rPr>
          <w:rFonts w:ascii="仿宋" w:hAnsi="仿宋" w:eastAsia="仿宋" w:cs="仿宋"/>
          <w:kern w:val="0"/>
          <w:sz w:val="30"/>
          <w:szCs w:val="30"/>
        </w:rPr>
        <w:t>,</w:t>
      </w:r>
      <w:r>
        <w:rPr>
          <w:rFonts w:hint="eastAsia" w:ascii="仿宋" w:hAnsi="仿宋" w:eastAsia="仿宋" w:cs="仿宋"/>
          <w:kern w:val="0"/>
          <w:sz w:val="30"/>
          <w:szCs w:val="30"/>
        </w:rPr>
        <w:t>在</w:t>
      </w:r>
      <w:r>
        <w:rPr>
          <w:rFonts w:ascii="仿宋" w:hAnsi="仿宋" w:eastAsia="仿宋" w:cs="仿宋"/>
          <w:kern w:val="0"/>
          <w:sz w:val="30"/>
          <w:szCs w:val="30"/>
        </w:rPr>
        <w:t>12</w:t>
      </w:r>
      <w:r>
        <w:rPr>
          <w:rFonts w:hint="eastAsia" w:ascii="仿宋" w:hAnsi="仿宋" w:eastAsia="仿宋" w:cs="仿宋"/>
          <w:kern w:val="0"/>
          <w:sz w:val="30"/>
          <w:szCs w:val="30"/>
        </w:rPr>
        <w:t>个乡</w:t>
      </w:r>
      <w:r>
        <w:rPr>
          <w:rFonts w:ascii="仿宋" w:hAnsi="仿宋" w:eastAsia="仿宋" w:cs="仿宋"/>
          <w:kern w:val="0"/>
          <w:sz w:val="30"/>
          <w:szCs w:val="30"/>
        </w:rPr>
        <w:t>(</w:t>
      </w:r>
      <w:r>
        <w:rPr>
          <w:rFonts w:hint="eastAsia" w:ascii="仿宋" w:hAnsi="仿宋" w:eastAsia="仿宋" w:cs="仿宋"/>
          <w:kern w:val="0"/>
          <w:sz w:val="30"/>
          <w:szCs w:val="30"/>
        </w:rPr>
        <w:t>镇</w:t>
      </w:r>
      <w:r>
        <w:rPr>
          <w:rFonts w:ascii="仿宋" w:hAnsi="仿宋" w:eastAsia="仿宋" w:cs="仿宋"/>
          <w:kern w:val="0"/>
          <w:sz w:val="30"/>
          <w:szCs w:val="30"/>
        </w:rPr>
        <w:t>)</w:t>
      </w:r>
      <w:r>
        <w:rPr>
          <w:rFonts w:hint="eastAsia" w:ascii="仿宋" w:hAnsi="仿宋" w:eastAsia="仿宋" w:cs="仿宋"/>
          <w:kern w:val="0"/>
          <w:sz w:val="30"/>
          <w:szCs w:val="30"/>
        </w:rPr>
        <w:t>退役军人服务站设立专门窗口</w:t>
      </w:r>
      <w:r>
        <w:rPr>
          <w:rFonts w:ascii="仿宋" w:hAnsi="仿宋" w:eastAsia="仿宋" w:cs="仿宋"/>
          <w:kern w:val="0"/>
          <w:sz w:val="30"/>
          <w:szCs w:val="30"/>
        </w:rPr>
        <w:t>,</w:t>
      </w:r>
      <w:r>
        <w:rPr>
          <w:rFonts w:hint="eastAsia" w:ascii="仿宋" w:hAnsi="仿宋" w:eastAsia="仿宋" w:cs="仿宋"/>
          <w:kern w:val="0"/>
          <w:sz w:val="30"/>
          <w:szCs w:val="30"/>
        </w:rPr>
        <w:t>为退役军人组织关系转接提供“一站式”服务。组织开展我县“最美双拥人物”“最美军嫂”评选活动</w:t>
      </w:r>
      <w:r>
        <w:rPr>
          <w:rFonts w:ascii="仿宋" w:hAnsi="仿宋" w:eastAsia="仿宋" w:cs="仿宋"/>
          <w:kern w:val="0"/>
          <w:sz w:val="30"/>
          <w:szCs w:val="30"/>
        </w:rPr>
        <w:t>,</w:t>
      </w:r>
      <w:r>
        <w:rPr>
          <w:rFonts w:hint="eastAsia" w:ascii="仿宋" w:hAnsi="仿宋" w:eastAsia="仿宋" w:cs="仿宋"/>
          <w:kern w:val="0"/>
          <w:sz w:val="30"/>
          <w:szCs w:val="30"/>
        </w:rPr>
        <w:t>深入</w:t>
      </w:r>
      <w:r>
        <w:rPr>
          <w:rFonts w:ascii="仿宋" w:hAnsi="仿宋" w:eastAsia="仿宋" w:cs="仿宋"/>
          <w:kern w:val="0"/>
          <w:sz w:val="30"/>
          <w:szCs w:val="30"/>
        </w:rPr>
        <w:t>12</w:t>
      </w:r>
      <w:r>
        <w:rPr>
          <w:rFonts w:hint="eastAsia" w:ascii="仿宋" w:hAnsi="仿宋" w:eastAsia="仿宋" w:cs="仿宋"/>
          <w:kern w:val="0"/>
          <w:sz w:val="30"/>
          <w:szCs w:val="30"/>
        </w:rPr>
        <w:t>个乡镇及县直单位开展</w:t>
      </w:r>
      <w:r>
        <w:rPr>
          <w:rFonts w:ascii="仿宋" w:hAnsi="仿宋" w:eastAsia="仿宋" w:cs="仿宋"/>
          <w:kern w:val="0"/>
          <w:sz w:val="30"/>
          <w:szCs w:val="30"/>
        </w:rPr>
        <w:t>2020</w:t>
      </w:r>
      <w:r>
        <w:rPr>
          <w:rFonts w:hint="eastAsia" w:ascii="仿宋" w:hAnsi="仿宋" w:eastAsia="仿宋" w:cs="仿宋"/>
          <w:kern w:val="0"/>
          <w:sz w:val="30"/>
          <w:szCs w:val="30"/>
        </w:rPr>
        <w:t>、</w:t>
      </w:r>
      <w:r>
        <w:rPr>
          <w:rFonts w:ascii="仿宋" w:hAnsi="仿宋" w:eastAsia="仿宋" w:cs="仿宋"/>
          <w:kern w:val="0"/>
          <w:sz w:val="30"/>
          <w:szCs w:val="30"/>
        </w:rPr>
        <w:t>2021</w:t>
      </w:r>
      <w:r>
        <w:rPr>
          <w:rFonts w:hint="eastAsia" w:ascii="仿宋" w:hAnsi="仿宋" w:eastAsia="仿宋" w:cs="仿宋"/>
          <w:kern w:val="0"/>
          <w:sz w:val="30"/>
          <w:szCs w:val="30"/>
        </w:rPr>
        <w:t>年度“优秀退役军人”典型事迹宣传活动</w:t>
      </w:r>
      <w:r>
        <w:rPr>
          <w:rFonts w:ascii="仿宋" w:hAnsi="仿宋" w:eastAsia="仿宋" w:cs="仿宋"/>
          <w:kern w:val="0"/>
          <w:sz w:val="30"/>
          <w:szCs w:val="30"/>
        </w:rPr>
        <w:t>,</w:t>
      </w:r>
      <w:r>
        <w:rPr>
          <w:rFonts w:hint="eastAsia" w:ascii="仿宋" w:hAnsi="仿宋" w:eastAsia="仿宋" w:cs="仿宋"/>
          <w:kern w:val="0"/>
          <w:sz w:val="30"/>
          <w:szCs w:val="30"/>
        </w:rPr>
        <w:t>讲好退役军人故事</w:t>
      </w:r>
      <w:r>
        <w:rPr>
          <w:rFonts w:ascii="仿宋" w:hAnsi="仿宋" w:eastAsia="仿宋" w:cs="仿宋"/>
          <w:kern w:val="0"/>
          <w:sz w:val="30"/>
          <w:szCs w:val="30"/>
        </w:rPr>
        <w:t>,</w:t>
      </w:r>
      <w:r>
        <w:rPr>
          <w:rFonts w:hint="eastAsia" w:ascii="仿宋" w:hAnsi="仿宋" w:eastAsia="仿宋" w:cs="仿宋"/>
          <w:kern w:val="0"/>
          <w:sz w:val="30"/>
          <w:szCs w:val="30"/>
        </w:rPr>
        <w:t>激励广大退役军人建功新时代。</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四、扎实推进就业创业。深入贯彻落实省市《关于促进新时代退役军人就业创业工作的意见》</w:t>
      </w:r>
      <w:r>
        <w:rPr>
          <w:rFonts w:ascii="仿宋" w:hAnsi="仿宋" w:eastAsia="仿宋" w:cs="仿宋"/>
          <w:kern w:val="0"/>
          <w:sz w:val="30"/>
          <w:szCs w:val="30"/>
        </w:rPr>
        <w:t xml:space="preserve">, </w:t>
      </w:r>
      <w:r>
        <w:rPr>
          <w:rFonts w:hint="eastAsia" w:ascii="仿宋" w:hAnsi="仿宋" w:eastAsia="仿宋" w:cs="仿宋"/>
          <w:kern w:val="0"/>
          <w:sz w:val="30"/>
          <w:szCs w:val="30"/>
        </w:rPr>
        <w:t>施行“</w:t>
      </w:r>
      <w:r>
        <w:rPr>
          <w:rFonts w:ascii="仿宋" w:hAnsi="仿宋" w:eastAsia="仿宋" w:cs="仿宋"/>
          <w:kern w:val="0"/>
          <w:sz w:val="30"/>
          <w:szCs w:val="30"/>
        </w:rPr>
        <w:t>12345+N</w:t>
      </w:r>
      <w:r>
        <w:rPr>
          <w:rFonts w:hint="eastAsia" w:ascii="仿宋" w:hAnsi="仿宋" w:eastAsia="仿宋" w:cs="仿宋"/>
          <w:kern w:val="0"/>
          <w:sz w:val="30"/>
          <w:szCs w:val="30"/>
        </w:rPr>
        <w:t>”的工作思路，全面推进我县就业创业工作，打造出我县就业创业一号工程。</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五、提高移交安置质量。严格执行退役军人移交安置政策</w:t>
      </w:r>
      <w:r>
        <w:rPr>
          <w:rFonts w:ascii="仿宋" w:hAnsi="仿宋" w:eastAsia="仿宋" w:cs="仿宋"/>
          <w:kern w:val="0"/>
          <w:sz w:val="30"/>
          <w:szCs w:val="30"/>
        </w:rPr>
        <w:t>,</w:t>
      </w:r>
      <w:r>
        <w:rPr>
          <w:rFonts w:hint="eastAsia" w:ascii="仿宋" w:hAnsi="仿宋" w:eastAsia="仿宋" w:cs="仿宋"/>
          <w:kern w:val="0"/>
          <w:sz w:val="30"/>
          <w:szCs w:val="30"/>
        </w:rPr>
        <w:t>科学制定年度安置计划</w:t>
      </w:r>
      <w:r>
        <w:rPr>
          <w:rFonts w:ascii="仿宋" w:hAnsi="仿宋" w:eastAsia="仿宋" w:cs="仿宋"/>
          <w:kern w:val="0"/>
          <w:sz w:val="30"/>
          <w:szCs w:val="30"/>
        </w:rPr>
        <w:t>,</w:t>
      </w:r>
      <w:r>
        <w:rPr>
          <w:rFonts w:hint="eastAsia" w:ascii="仿宋" w:hAnsi="仿宋" w:eastAsia="仿宋" w:cs="仿宋"/>
          <w:kern w:val="0"/>
          <w:sz w:val="30"/>
          <w:szCs w:val="30"/>
        </w:rPr>
        <w:t>实行</w:t>
      </w:r>
      <w:r>
        <w:rPr>
          <w:rFonts w:ascii="仿宋" w:hAnsi="仿宋" w:eastAsia="仿宋" w:cs="仿宋"/>
          <w:kern w:val="0"/>
          <w:sz w:val="30"/>
          <w:szCs w:val="30"/>
        </w:rPr>
        <w:t xml:space="preserve"> </w:t>
      </w:r>
      <w:r>
        <w:rPr>
          <w:rFonts w:hint="eastAsia" w:ascii="仿宋" w:hAnsi="仿宋" w:eastAsia="仿宋" w:cs="仿宋"/>
          <w:kern w:val="0"/>
          <w:sz w:val="30"/>
          <w:szCs w:val="30"/>
        </w:rPr>
        <w:t>“阳光安置”</w:t>
      </w:r>
      <w:r>
        <w:rPr>
          <w:rFonts w:ascii="仿宋" w:hAnsi="仿宋" w:eastAsia="仿宋" w:cs="仿宋"/>
          <w:kern w:val="0"/>
          <w:sz w:val="30"/>
          <w:szCs w:val="30"/>
        </w:rPr>
        <w:t>,</w:t>
      </w:r>
      <w:r>
        <w:rPr>
          <w:rFonts w:hint="eastAsia" w:ascii="仿宋" w:hAnsi="仿宋" w:eastAsia="仿宋" w:cs="仿宋"/>
          <w:kern w:val="0"/>
          <w:sz w:val="30"/>
          <w:szCs w:val="30"/>
        </w:rPr>
        <w:t>将退役军人服役期间的表现作为安排工作的主要依据</w:t>
      </w:r>
      <w:r>
        <w:rPr>
          <w:rFonts w:ascii="仿宋" w:hAnsi="仿宋" w:eastAsia="仿宋" w:cs="仿宋"/>
          <w:kern w:val="0"/>
          <w:sz w:val="30"/>
          <w:szCs w:val="30"/>
        </w:rPr>
        <w:t>,</w:t>
      </w:r>
      <w:r>
        <w:rPr>
          <w:rFonts w:hint="eastAsia" w:ascii="仿宋" w:hAnsi="仿宋" w:eastAsia="仿宋" w:cs="仿宋"/>
          <w:kern w:val="0"/>
          <w:sz w:val="30"/>
          <w:szCs w:val="30"/>
        </w:rPr>
        <w:t>退役士兵根据档案评分情况进行排序选岗</w:t>
      </w:r>
      <w:r>
        <w:rPr>
          <w:rFonts w:ascii="仿宋" w:hAnsi="仿宋" w:eastAsia="仿宋" w:cs="仿宋"/>
          <w:kern w:val="0"/>
          <w:sz w:val="30"/>
          <w:szCs w:val="30"/>
        </w:rPr>
        <w:t>,</w:t>
      </w:r>
      <w:r>
        <w:rPr>
          <w:rFonts w:hint="eastAsia" w:ascii="仿宋" w:hAnsi="仿宋" w:eastAsia="仿宋" w:cs="仿宋"/>
          <w:kern w:val="0"/>
          <w:sz w:val="30"/>
          <w:szCs w:val="30"/>
        </w:rPr>
        <w:t>确保公开公平公正。</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六、落实权益保障工作。</w:t>
      </w:r>
      <w:r>
        <w:rPr>
          <w:rFonts w:ascii="仿宋" w:hAnsi="仿宋" w:eastAsia="仿宋" w:cs="仿宋"/>
          <w:kern w:val="0"/>
          <w:sz w:val="30"/>
          <w:szCs w:val="30"/>
        </w:rPr>
        <w:t>2021</w:t>
      </w:r>
      <w:r>
        <w:rPr>
          <w:rFonts w:hint="eastAsia" w:ascii="仿宋" w:hAnsi="仿宋" w:eastAsia="仿宋" w:cs="仿宋"/>
          <w:kern w:val="0"/>
          <w:sz w:val="30"/>
          <w:szCs w:val="30"/>
        </w:rPr>
        <w:t>年为</w:t>
      </w:r>
      <w:r>
        <w:rPr>
          <w:rFonts w:ascii="仿宋" w:hAnsi="仿宋" w:eastAsia="仿宋" w:cs="仿宋"/>
          <w:kern w:val="0"/>
          <w:sz w:val="30"/>
          <w:szCs w:val="30"/>
        </w:rPr>
        <w:t>1978</w:t>
      </w:r>
      <w:r>
        <w:rPr>
          <w:rFonts w:hint="eastAsia" w:ascii="仿宋" w:hAnsi="仿宋" w:eastAsia="仿宋" w:cs="仿宋"/>
          <w:kern w:val="0"/>
          <w:sz w:val="30"/>
          <w:szCs w:val="30"/>
        </w:rPr>
        <w:t>年以来符合政府安置对象人员及时缴纳医疗保险。</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七、做好帮扶援助工作。发挥隆尧县关爱退役军人基金会作用</w:t>
      </w:r>
      <w:r>
        <w:rPr>
          <w:rFonts w:ascii="仿宋" w:hAnsi="仿宋" w:eastAsia="仿宋" w:cs="仿宋"/>
          <w:kern w:val="0"/>
          <w:sz w:val="30"/>
          <w:szCs w:val="30"/>
        </w:rPr>
        <w:t>,</w:t>
      </w:r>
      <w:r>
        <w:rPr>
          <w:rFonts w:hint="eastAsia" w:ascii="仿宋" w:hAnsi="仿宋" w:eastAsia="仿宋" w:cs="仿宋"/>
          <w:kern w:val="0"/>
          <w:sz w:val="30"/>
          <w:szCs w:val="30"/>
        </w:rPr>
        <w:t>积极募集资金</w:t>
      </w:r>
      <w:r>
        <w:rPr>
          <w:rFonts w:ascii="仿宋" w:hAnsi="仿宋" w:eastAsia="仿宋" w:cs="仿宋"/>
          <w:kern w:val="0"/>
          <w:sz w:val="30"/>
          <w:szCs w:val="30"/>
        </w:rPr>
        <w:t>,</w:t>
      </w:r>
      <w:r>
        <w:rPr>
          <w:rFonts w:hint="eastAsia" w:ascii="仿宋" w:hAnsi="仿宋" w:eastAsia="仿宋" w:cs="仿宋"/>
          <w:kern w:val="0"/>
          <w:sz w:val="30"/>
          <w:szCs w:val="30"/>
        </w:rPr>
        <w:t>规范管理</w:t>
      </w:r>
      <w:r>
        <w:rPr>
          <w:rFonts w:ascii="仿宋" w:hAnsi="仿宋" w:eastAsia="仿宋" w:cs="仿宋"/>
          <w:kern w:val="0"/>
          <w:sz w:val="30"/>
          <w:szCs w:val="30"/>
        </w:rPr>
        <w:t xml:space="preserve">, </w:t>
      </w:r>
      <w:r>
        <w:rPr>
          <w:rFonts w:hint="eastAsia" w:ascii="仿宋" w:hAnsi="仿宋" w:eastAsia="仿宋" w:cs="仿宋"/>
          <w:kern w:val="0"/>
          <w:sz w:val="30"/>
          <w:szCs w:val="30"/>
        </w:rPr>
        <w:t>通过个人申请，乡镇摸排对落实社会保险、社会救助政策后仍有特殊困难的退役军人给予有针对性的资助。</w:t>
      </w:r>
    </w:p>
    <w:p>
      <w:pPr>
        <w:widowControl/>
        <w:autoSpaceDE w:val="0"/>
        <w:autoSpaceDN w:val="0"/>
        <w:adjustRightInd w:val="0"/>
        <w:ind w:firstLine="750" w:firstLineChars="250"/>
        <w:rPr>
          <w:rFonts w:ascii="仿宋" w:hAnsi="Times New Roman" w:eastAsia="仿宋" w:cs="仿宋"/>
          <w:b/>
          <w:bCs/>
          <w:kern w:val="0"/>
          <w:sz w:val="30"/>
          <w:szCs w:val="30"/>
        </w:rPr>
      </w:pPr>
      <w:r>
        <w:rPr>
          <w:rFonts w:ascii="仿宋" w:hAnsi="Times New Roman" w:eastAsia="仿宋" w:cs="仿宋"/>
          <w:kern w:val="0"/>
          <w:sz w:val="30"/>
          <w:szCs w:val="30"/>
        </w:rPr>
        <w:t>(</w:t>
      </w:r>
      <w:r>
        <w:rPr>
          <w:rFonts w:hint="eastAsia" w:ascii="仿宋" w:hAnsi="仿宋" w:eastAsia="仿宋" w:cs="仿宋"/>
          <w:kern w:val="0"/>
          <w:sz w:val="30"/>
          <w:szCs w:val="30"/>
        </w:rPr>
        <w:t>九</w:t>
      </w:r>
      <w:r>
        <w:rPr>
          <w:rFonts w:ascii="仿宋" w:hAnsi="仿宋" w:eastAsia="仿宋" w:cs="仿宋"/>
          <w:kern w:val="0"/>
          <w:sz w:val="30"/>
          <w:szCs w:val="30"/>
        </w:rPr>
        <w:t>)</w:t>
      </w:r>
      <w:r>
        <w:rPr>
          <w:rFonts w:hint="eastAsia" w:ascii="仿宋" w:hAnsi="仿宋" w:eastAsia="仿宋" w:cs="仿宋"/>
          <w:kern w:val="0"/>
          <w:sz w:val="30"/>
          <w:szCs w:val="30"/>
        </w:rPr>
        <w:t>提升褒扬纪念服务水平。做好我县烈士陵园管理工作，争取</w:t>
      </w:r>
      <w:r>
        <w:rPr>
          <w:rFonts w:ascii="仿宋" w:hAnsi="仿宋" w:eastAsia="仿宋" w:cs="仿宋"/>
          <w:kern w:val="0"/>
          <w:sz w:val="30"/>
          <w:szCs w:val="30"/>
        </w:rPr>
        <w:t>200</w:t>
      </w:r>
      <w:r>
        <w:rPr>
          <w:rFonts w:hint="eastAsia" w:ascii="仿宋" w:hAnsi="仿宋" w:eastAsia="仿宋" w:cs="仿宋"/>
          <w:kern w:val="0"/>
          <w:sz w:val="30"/>
          <w:szCs w:val="30"/>
        </w:rPr>
        <w:t>万元维修资金，对陵园外部硬件条件进行整修，开展花园式管理，同时申请烈士陵园三期工程展厅陈列布展，打造河北省级爱国主义教育基地。</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（十）做好信访稳定和防范风险工作。坚决落实“北京不能去、河北不能聚”的目标要求</w:t>
      </w:r>
      <w:r>
        <w:rPr>
          <w:rFonts w:ascii="仿宋" w:hAnsi="仿宋" w:eastAsia="仿宋" w:cs="仿宋"/>
          <w:kern w:val="0"/>
          <w:sz w:val="30"/>
          <w:szCs w:val="30"/>
        </w:rPr>
        <w:t>,</w:t>
      </w:r>
      <w:r>
        <w:rPr>
          <w:rFonts w:hint="eastAsia" w:ascii="仿宋" w:hAnsi="仿宋" w:eastAsia="仿宋" w:cs="仿宋"/>
          <w:kern w:val="0"/>
          <w:sz w:val="30"/>
          <w:szCs w:val="30"/>
        </w:rPr>
        <w:t>对各乡镇继续实行“日接访、周研判、月通报”制度</w:t>
      </w:r>
      <w:r>
        <w:rPr>
          <w:rFonts w:ascii="仿宋" w:hAnsi="仿宋" w:eastAsia="仿宋" w:cs="仿宋"/>
          <w:kern w:val="0"/>
          <w:sz w:val="30"/>
          <w:szCs w:val="30"/>
        </w:rPr>
        <w:t>,</w:t>
      </w:r>
      <w:r>
        <w:rPr>
          <w:rFonts w:hint="eastAsia" w:ascii="仿宋" w:hAnsi="仿宋" w:eastAsia="仿宋" w:cs="仿宋"/>
          <w:kern w:val="0"/>
          <w:sz w:val="30"/>
          <w:szCs w:val="30"/>
        </w:rPr>
        <w:t>压实属地责任、属事部门责任和首办责任。</w:t>
      </w:r>
    </w:p>
    <w:p>
      <w:pPr>
        <w:widowControl/>
        <w:autoSpaceDE w:val="0"/>
        <w:autoSpaceDN w:val="0"/>
        <w:adjustRightInd w:val="0"/>
        <w:ind w:firstLine="600"/>
        <w:rPr>
          <w:rFonts w:ascii="仿宋" w:hAnsi="Times New Roman" w:eastAsia="仿宋" w:cs="仿宋"/>
          <w:b/>
          <w:bCs/>
          <w:kern w:val="0"/>
          <w:sz w:val="30"/>
          <w:szCs w:val="30"/>
        </w:rPr>
      </w:pPr>
      <w:r>
        <w:rPr>
          <w:rFonts w:hint="eastAsia" w:ascii="仿宋" w:hAnsi="仿宋" w:eastAsia="仿宋" w:cs="仿宋"/>
          <w:kern w:val="0"/>
          <w:sz w:val="30"/>
          <w:szCs w:val="30"/>
        </w:rPr>
        <w:t>（十一）加强部门自身建设。加强局领导班子建设，提升自身形象，做到带头讲政治</w:t>
      </w:r>
      <w:r>
        <w:rPr>
          <w:rFonts w:ascii="仿宋" w:hAnsi="仿宋" w:eastAsia="仿宋" w:cs="仿宋"/>
          <w:kern w:val="0"/>
          <w:sz w:val="30"/>
          <w:szCs w:val="30"/>
        </w:rPr>
        <w:t>,</w:t>
      </w:r>
      <w:r>
        <w:rPr>
          <w:rFonts w:hint="eastAsia" w:ascii="仿宋" w:hAnsi="仿宋" w:eastAsia="仿宋" w:cs="仿宋"/>
          <w:kern w:val="0"/>
          <w:sz w:val="30"/>
          <w:szCs w:val="30"/>
        </w:rPr>
        <w:t>做政治过硬的表率</w:t>
      </w:r>
      <w:r>
        <w:rPr>
          <w:rFonts w:ascii="仿宋" w:hAnsi="仿宋" w:eastAsia="仿宋" w:cs="仿宋"/>
          <w:kern w:val="0"/>
          <w:sz w:val="30"/>
          <w:szCs w:val="30"/>
        </w:rPr>
        <w:t>;</w:t>
      </w:r>
      <w:r>
        <w:rPr>
          <w:rFonts w:hint="eastAsia" w:ascii="仿宋" w:hAnsi="仿宋" w:eastAsia="仿宋" w:cs="仿宋"/>
          <w:kern w:val="0"/>
          <w:sz w:val="30"/>
          <w:szCs w:val="30"/>
        </w:rPr>
        <w:t>带头讲实干</w:t>
      </w:r>
      <w:r>
        <w:rPr>
          <w:rFonts w:ascii="仿宋" w:hAnsi="仿宋" w:eastAsia="仿宋" w:cs="仿宋"/>
          <w:kern w:val="0"/>
          <w:sz w:val="30"/>
          <w:szCs w:val="30"/>
        </w:rPr>
        <w:t>,</w:t>
      </w:r>
      <w:r>
        <w:rPr>
          <w:rFonts w:hint="eastAsia" w:ascii="仿宋" w:hAnsi="仿宋" w:eastAsia="仿宋" w:cs="仿宋"/>
          <w:kern w:val="0"/>
          <w:sz w:val="30"/>
          <w:szCs w:val="30"/>
        </w:rPr>
        <w:t>做担当作为的表率</w:t>
      </w:r>
      <w:r>
        <w:rPr>
          <w:rFonts w:ascii="仿宋" w:hAnsi="仿宋" w:eastAsia="仿宋" w:cs="仿宋"/>
          <w:kern w:val="0"/>
          <w:sz w:val="30"/>
          <w:szCs w:val="30"/>
        </w:rPr>
        <w:t xml:space="preserve">; </w:t>
      </w:r>
      <w:r>
        <w:rPr>
          <w:rFonts w:hint="eastAsia" w:ascii="仿宋" w:hAnsi="仿宋" w:eastAsia="仿宋" w:cs="仿宋"/>
          <w:kern w:val="0"/>
          <w:sz w:val="30"/>
          <w:szCs w:val="30"/>
        </w:rPr>
        <w:t>加强制度建设，建立健全局机关工作纪律、学习制度、文件接受、财务管理、来信来访处理等一整套制度体系</w:t>
      </w:r>
      <w:r>
        <w:rPr>
          <w:rFonts w:ascii="仿宋" w:hAnsi="仿宋" w:eastAsia="仿宋" w:cs="仿宋"/>
          <w:kern w:val="0"/>
          <w:sz w:val="30"/>
          <w:szCs w:val="30"/>
        </w:rPr>
        <w:t>,</w:t>
      </w:r>
      <w:r>
        <w:rPr>
          <w:rFonts w:hint="eastAsia" w:ascii="仿宋" w:hAnsi="仿宋" w:eastAsia="仿宋" w:cs="仿宋"/>
          <w:kern w:val="0"/>
          <w:sz w:val="30"/>
          <w:szCs w:val="30"/>
        </w:rPr>
        <w:t>规范工作流程</w:t>
      </w:r>
      <w:r>
        <w:rPr>
          <w:rFonts w:ascii="仿宋" w:hAnsi="仿宋" w:eastAsia="仿宋" w:cs="仿宋"/>
          <w:kern w:val="0"/>
          <w:sz w:val="30"/>
          <w:szCs w:val="30"/>
        </w:rPr>
        <w:t>,</w:t>
      </w:r>
      <w:r>
        <w:rPr>
          <w:rFonts w:hint="eastAsia" w:ascii="仿宋" w:hAnsi="仿宋" w:eastAsia="仿宋" w:cs="仿宋"/>
          <w:kern w:val="0"/>
          <w:sz w:val="30"/>
          <w:szCs w:val="30"/>
        </w:rPr>
        <w:t>不断提高各项工作规范化、科学化水平。加强制度建设，建立健全局机关工作纪律、学习制度、文件接受、财务管理、来信来访处理等一整套制度体系</w:t>
      </w:r>
      <w:r>
        <w:rPr>
          <w:rFonts w:ascii="仿宋" w:hAnsi="仿宋" w:eastAsia="仿宋" w:cs="仿宋"/>
          <w:kern w:val="0"/>
          <w:sz w:val="30"/>
          <w:szCs w:val="30"/>
        </w:rPr>
        <w:t>,</w:t>
      </w:r>
      <w:r>
        <w:rPr>
          <w:rFonts w:hint="eastAsia" w:ascii="仿宋" w:hAnsi="仿宋" w:eastAsia="仿宋" w:cs="仿宋"/>
          <w:kern w:val="0"/>
          <w:sz w:val="30"/>
          <w:szCs w:val="30"/>
        </w:rPr>
        <w:t>规范工作流程</w:t>
      </w:r>
      <w:r>
        <w:rPr>
          <w:rFonts w:ascii="仿宋" w:hAnsi="仿宋" w:eastAsia="仿宋" w:cs="仿宋"/>
          <w:kern w:val="0"/>
          <w:sz w:val="30"/>
          <w:szCs w:val="30"/>
        </w:rPr>
        <w:t>,</w:t>
      </w:r>
      <w:r>
        <w:rPr>
          <w:rFonts w:hint="eastAsia" w:ascii="仿宋" w:hAnsi="仿宋" w:eastAsia="仿宋" w:cs="仿宋"/>
          <w:kern w:val="0"/>
          <w:sz w:val="30"/>
          <w:szCs w:val="30"/>
        </w:rPr>
        <w:t>不断提高各项工作规范化、科学化水平。</w:t>
      </w:r>
    </w:p>
    <w:p>
      <w:pPr>
        <w:widowControl/>
        <w:autoSpaceDE w:val="0"/>
        <w:autoSpaceDN w:val="0"/>
        <w:adjustRightInd w:val="0"/>
        <w:ind w:firstLine="750"/>
        <w:rPr>
          <w:rFonts w:ascii="仿宋" w:hAnsi="仿宋" w:eastAsia="仿宋" w:cs="仿宋"/>
          <w:kern w:val="0"/>
          <w:sz w:val="30"/>
          <w:szCs w:val="30"/>
        </w:rPr>
      </w:pPr>
      <w:r>
        <w:rPr>
          <w:rFonts w:ascii="仿宋" w:hAnsi="Times New Roman" w:eastAsia="仿宋" w:cs="仿宋"/>
          <w:kern w:val="0"/>
          <w:sz w:val="30"/>
          <w:szCs w:val="30"/>
        </w:rPr>
        <w:t>(</w:t>
      </w:r>
      <w:r>
        <w:rPr>
          <w:rFonts w:hint="eastAsia" w:ascii="仿宋" w:hAnsi="仿宋" w:eastAsia="仿宋" w:cs="仿宋"/>
          <w:kern w:val="0"/>
          <w:sz w:val="30"/>
          <w:szCs w:val="30"/>
        </w:rPr>
        <w:t>十二</w:t>
      </w:r>
      <w:r>
        <w:rPr>
          <w:rFonts w:ascii="仿宋" w:hAnsi="仿宋" w:eastAsia="仿宋" w:cs="仿宋"/>
          <w:kern w:val="0"/>
          <w:sz w:val="30"/>
          <w:szCs w:val="30"/>
        </w:rPr>
        <w:t>)</w:t>
      </w:r>
      <w:r>
        <w:rPr>
          <w:rFonts w:hint="eastAsia" w:ascii="仿宋" w:hAnsi="仿宋" w:eastAsia="仿宋" w:cs="仿宋"/>
          <w:kern w:val="0"/>
          <w:sz w:val="30"/>
          <w:szCs w:val="30"/>
        </w:rPr>
        <w:t>完善单位日常办公、局机关办公经费，按时按制度使用人员类、车辆类、管理类等经费。</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（十三）及时发放优抚对象生活补助，保障优抚对象生活水平、保障参试人员年度健康体检有序进行，有效帮助解决优抚对象医疗难问题，落实好义务兵家庭优待问题。</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（十四）切实做到阳光安置，保障退役士兵合法权益；加强职业教育和技能培训；按时足额发放各类经济补助。全面落实军队离退休干部、退休士官和军队无军籍退休退职职工的政治和生活待遇。</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（十五）对重点优抚对象及驻地官兵部队进行走访慰问，保证在春节</w:t>
      </w:r>
      <w:r>
        <w:rPr>
          <w:rFonts w:ascii="仿宋" w:hAnsi="仿宋" w:eastAsia="仿宋" w:cs="仿宋"/>
          <w:kern w:val="0"/>
          <w:sz w:val="30"/>
          <w:szCs w:val="30"/>
        </w:rPr>
        <w:t>,</w:t>
      </w:r>
      <w:r>
        <w:rPr>
          <w:rFonts w:hint="eastAsia" w:ascii="仿宋" w:hAnsi="仿宋" w:eastAsia="仿宋" w:cs="仿宋"/>
          <w:kern w:val="0"/>
          <w:sz w:val="30"/>
          <w:szCs w:val="30"/>
        </w:rPr>
        <w:t>八一走访慰问重点优抚对象工作顺利开展。</w:t>
      </w:r>
    </w:p>
    <w:p>
      <w:pPr>
        <w:widowControl/>
        <w:autoSpaceDE w:val="0"/>
        <w:autoSpaceDN w:val="0"/>
        <w:adjustRightInd w:val="0"/>
        <w:ind w:firstLine="600"/>
        <w:rPr>
          <w:rFonts w:ascii="仿宋" w:hAnsi="仿宋" w:eastAsia="仿宋" w:cs="仿宋"/>
          <w:kern w:val="0"/>
          <w:sz w:val="30"/>
          <w:szCs w:val="30"/>
        </w:rPr>
      </w:pPr>
      <w:r>
        <w:rPr>
          <w:rFonts w:hint="eastAsia" w:ascii="仿宋" w:hAnsi="仿宋" w:eastAsia="仿宋" w:cs="仿宋"/>
          <w:kern w:val="0"/>
          <w:sz w:val="30"/>
          <w:szCs w:val="30"/>
        </w:rPr>
        <w:t>（十六）组织全县军转干部培训工作并做好军转安置工作。落实解困政策，落实解困政策，做好“春节”走访慰问工作。</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0" w:after="0" w:line="276" w:lineRule="auto"/>
        <w:ind w:firstLine="964" w:firstLineChars="300"/>
        <w:jc w:val="both"/>
        <w:rPr>
          <w:rFonts w:ascii="仿宋" w:hAnsi="仿宋" w:eastAsia="仿宋"/>
          <w:sz w:val="30"/>
          <w:szCs w:val="30"/>
          <w:shd w:val="clear" w:color="auto" w:fill="FFFFFF"/>
          <w:lang w:eastAsia="zh-CN"/>
        </w:rPr>
      </w:pPr>
      <w:r>
        <w:rPr>
          <w:rFonts w:hint="eastAsia" w:ascii="Times New Roman" w:hAnsi="Times New Roman" w:eastAsia="仿宋" w:cs="仿宋"/>
          <w:b/>
          <w:bCs/>
          <w:sz w:val="32"/>
          <w:szCs w:val="32"/>
          <w:lang w:eastAsia="zh-CN"/>
        </w:rPr>
        <w:t>部门职责及工作活动绩效目标指标：</w:t>
      </w:r>
      <w:bookmarkEnd w:id="0"/>
    </w:p>
    <w:p>
      <w:pPr>
        <w:ind w:firstLine="964" w:firstLineChars="300"/>
        <w:outlineLvl w:val="0"/>
        <w:rPr>
          <w:rFonts w:ascii="仿宋" w:hAnsi="仿宋" w:eastAsia="仿宋" w:cs="Times New Roman"/>
          <w:b/>
          <w:bCs/>
          <w:sz w:val="32"/>
          <w:szCs w:val="32"/>
        </w:rPr>
      </w:pPr>
      <w:bookmarkStart w:id="1" w:name="_Toc446518889"/>
      <w:r>
        <w:rPr>
          <w:rFonts w:hint="eastAsia" w:ascii="Times New Roman" w:hAnsi="Times New Roman" w:eastAsia="仿宋" w:cs="Times New Roman"/>
          <w:b/>
          <w:bCs/>
          <w:sz w:val="32"/>
          <w:szCs w:val="32"/>
        </w:rPr>
        <w:t>1、</w:t>
      </w:r>
      <w:r>
        <w:rPr>
          <w:rFonts w:hint="eastAsia" w:ascii="仿宋" w:hAnsi="仿宋" w:eastAsia="仿宋" w:cs="仿宋"/>
          <w:b/>
          <w:bCs/>
          <w:sz w:val="32"/>
          <w:szCs w:val="32"/>
        </w:rPr>
        <w:t>部门职责</w:t>
      </w:r>
      <w:r>
        <w:rPr>
          <w:rFonts w:ascii="仿宋" w:hAnsi="仿宋" w:eastAsia="仿宋" w:cs="仿宋"/>
          <w:b/>
          <w:bCs/>
          <w:sz w:val="32"/>
          <w:szCs w:val="32"/>
        </w:rPr>
        <w:t>-</w:t>
      </w:r>
      <w:r>
        <w:rPr>
          <w:rFonts w:hint="eastAsia" w:ascii="仿宋" w:hAnsi="仿宋" w:eastAsia="仿宋" w:cs="仿宋"/>
          <w:b/>
          <w:bCs/>
          <w:sz w:val="32"/>
          <w:szCs w:val="32"/>
        </w:rPr>
        <w:t>工作活动绩效目标</w:t>
      </w:r>
      <w:bookmarkEnd w:id="1"/>
    </w:p>
    <w:tbl>
      <w:tblPr>
        <w:tblStyle w:val="7"/>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Times New Roman"/>
                <w:sz w:val="24"/>
                <w:szCs w:val="24"/>
              </w:rPr>
            </w:pPr>
            <w:r>
              <w:rPr>
                <w:rFonts w:ascii="仿宋" w:hAnsi="仿宋" w:eastAsia="仿宋" w:cs="仿宋"/>
                <w:sz w:val="24"/>
                <w:szCs w:val="24"/>
              </w:rPr>
              <w:t>31</w:t>
            </w:r>
            <w:r>
              <w:rPr>
                <w:rFonts w:hint="eastAsia" w:ascii="仿宋" w:hAnsi="仿宋" w:eastAsia="仿宋" w:cs="仿宋"/>
                <w:sz w:val="24"/>
                <w:szCs w:val="24"/>
              </w:rPr>
              <w:t>7隆尧县退役军人事务局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职责活动</w:t>
            </w:r>
          </w:p>
        </w:tc>
        <w:tc>
          <w:tcPr>
            <w:tcW w:w="12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年度</w:t>
            </w:r>
          </w:p>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预算数</w:t>
            </w:r>
          </w:p>
        </w:tc>
        <w:tc>
          <w:tcPr>
            <w:tcW w:w="29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内容描述</w:t>
            </w:r>
          </w:p>
        </w:tc>
        <w:tc>
          <w:tcPr>
            <w:tcW w:w="29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绩效目标</w:t>
            </w:r>
          </w:p>
        </w:tc>
        <w:tc>
          <w:tcPr>
            <w:tcW w:w="1417"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绩效指标</w:t>
            </w:r>
          </w:p>
        </w:tc>
        <w:tc>
          <w:tcPr>
            <w:tcW w:w="2948" w:type="dxa"/>
            <w:gridSpan w:val="4"/>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ascii="仿宋" w:hAnsi="仿宋" w:eastAsia="仿宋" w:cs="Times New Roman"/>
                <w:sz w:val="24"/>
                <w:szCs w:val="24"/>
              </w:rPr>
            </w:pPr>
          </w:p>
        </w:tc>
        <w:tc>
          <w:tcPr>
            <w:tcW w:w="1276" w:type="dxa"/>
            <w:vMerge w:val="continue"/>
            <w:vAlign w:val="center"/>
          </w:tcPr>
          <w:p>
            <w:pPr>
              <w:spacing w:line="300" w:lineRule="exact"/>
              <w:jc w:val="left"/>
              <w:outlineLvl w:val="0"/>
              <w:rPr>
                <w:rFonts w:ascii="仿宋" w:hAnsi="仿宋" w:eastAsia="仿宋" w:cs="Times New Roman"/>
                <w:sz w:val="24"/>
                <w:szCs w:val="24"/>
              </w:rPr>
            </w:pPr>
          </w:p>
        </w:tc>
        <w:tc>
          <w:tcPr>
            <w:tcW w:w="2976" w:type="dxa"/>
            <w:vMerge w:val="continue"/>
            <w:vAlign w:val="center"/>
          </w:tcPr>
          <w:p>
            <w:pPr>
              <w:spacing w:line="300" w:lineRule="exact"/>
              <w:jc w:val="left"/>
              <w:outlineLvl w:val="0"/>
              <w:rPr>
                <w:rFonts w:ascii="仿宋" w:hAnsi="仿宋" w:eastAsia="仿宋" w:cs="Times New Roman"/>
                <w:sz w:val="24"/>
                <w:szCs w:val="24"/>
              </w:rPr>
            </w:pPr>
          </w:p>
        </w:tc>
        <w:tc>
          <w:tcPr>
            <w:tcW w:w="2976" w:type="dxa"/>
            <w:vMerge w:val="continue"/>
            <w:vAlign w:val="center"/>
          </w:tcPr>
          <w:p>
            <w:pPr>
              <w:spacing w:line="300" w:lineRule="exact"/>
              <w:jc w:val="left"/>
              <w:outlineLvl w:val="0"/>
              <w:rPr>
                <w:rFonts w:ascii="仿宋" w:hAnsi="仿宋" w:eastAsia="仿宋" w:cs="Times New Roman"/>
                <w:sz w:val="24"/>
                <w:szCs w:val="24"/>
              </w:rPr>
            </w:pPr>
          </w:p>
        </w:tc>
        <w:tc>
          <w:tcPr>
            <w:tcW w:w="1417" w:type="dxa"/>
            <w:vMerge w:val="continue"/>
            <w:vAlign w:val="center"/>
          </w:tcPr>
          <w:p>
            <w:pPr>
              <w:spacing w:line="300" w:lineRule="exact"/>
              <w:jc w:val="left"/>
              <w:outlineLvl w:val="0"/>
              <w:rPr>
                <w:rFonts w:ascii="仿宋" w:hAnsi="仿宋" w:eastAsia="仿宋" w:cs="Times New Roman"/>
                <w:sz w:val="24"/>
                <w:szCs w:val="24"/>
              </w:rPr>
            </w:pP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优</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良</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中</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双拥优抚安置管理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8979.5万元</w:t>
            </w:r>
          </w:p>
        </w:tc>
        <w:tc>
          <w:tcPr>
            <w:tcW w:w="2976" w:type="dxa"/>
            <w:vAlign w:val="center"/>
          </w:tcPr>
          <w:p>
            <w:pPr>
              <w:jc w:val="left"/>
              <w:rPr>
                <w:rFonts w:ascii="仿宋" w:hAnsi="仿宋" w:eastAsia="仿宋" w:cs="宋体"/>
                <w:sz w:val="24"/>
                <w:szCs w:val="24"/>
              </w:rPr>
            </w:pPr>
            <w:r>
              <w:rPr>
                <w:rFonts w:hint="eastAsia" w:ascii="仿宋" w:hAnsi="仿宋" w:eastAsia="仿宋"/>
                <w:sz w:val="24"/>
                <w:szCs w:val="24"/>
              </w:rPr>
              <w:t>指导全县拥军优属活动。组织对优抚对象的优待、抚恤的政策落实，负责全县转业士官、退役士兵及军队离退休干部、退休士官和军队无军籍退休退职职工接收工作。</w:t>
            </w:r>
          </w:p>
          <w:p>
            <w:pPr>
              <w:spacing w:line="300" w:lineRule="exact"/>
              <w:jc w:val="left"/>
              <w:rPr>
                <w:rFonts w:ascii="仿宋" w:hAnsi="仿宋" w:eastAsia="仿宋" w:cs="Times New Roman"/>
                <w:sz w:val="24"/>
                <w:szCs w:val="24"/>
              </w:rPr>
            </w:pPr>
          </w:p>
        </w:tc>
        <w:tc>
          <w:tcPr>
            <w:tcW w:w="2976" w:type="dxa"/>
          </w:tcPr>
          <w:p>
            <w:pPr>
              <w:rPr>
                <w:rFonts w:ascii="仿宋" w:hAnsi="仿宋" w:eastAsia="仿宋" w:cs="宋体"/>
                <w:sz w:val="24"/>
                <w:szCs w:val="24"/>
              </w:rPr>
            </w:pPr>
            <w:r>
              <w:rPr>
                <w:rFonts w:hint="eastAsia" w:ascii="仿宋" w:hAnsi="仿宋" w:eastAsia="仿宋"/>
                <w:sz w:val="24"/>
                <w:szCs w:val="24"/>
              </w:rPr>
              <w:t>解决优抚对象的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的政治和生活待遇。</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优抚对象的优待、抚恤的政策落实，负责全县转业士官、退役士兵及军队离退休干部、退休士官和军队无军籍退休退职职工待遇完善。</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超额完成目标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6"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事务局综合事务管理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903.55万元</w:t>
            </w:r>
          </w:p>
        </w:tc>
        <w:tc>
          <w:tcPr>
            <w:tcW w:w="2976" w:type="dxa"/>
            <w:vAlign w:val="center"/>
          </w:tcPr>
          <w:p>
            <w:pPr>
              <w:rPr>
                <w:rFonts w:ascii="仿宋" w:hAnsi="仿宋" w:eastAsia="仿宋" w:cs="宋体"/>
                <w:sz w:val="24"/>
                <w:szCs w:val="24"/>
              </w:rPr>
            </w:pPr>
            <w:r>
              <w:rPr>
                <w:rFonts w:hint="eastAsia" w:ascii="仿宋" w:hAnsi="仿宋" w:eastAsia="仿宋"/>
                <w:sz w:val="24"/>
                <w:szCs w:val="24"/>
              </w:rPr>
              <w:t>负责机关日常运转；负责局机关和所属单位的党群工作；负责局机关和所属单位的机构编制、干部人事工作；负责局机关和所属单位的离退休干部工作；指导退役军人事务系统干部队伍建设。拟订退役军人事业发展规划、年度计划、贯彻执行省、市退役军人管理保障基础设施建设标准。</w:t>
            </w:r>
          </w:p>
        </w:tc>
        <w:tc>
          <w:tcPr>
            <w:tcW w:w="2976" w:type="dxa"/>
            <w:vAlign w:val="center"/>
          </w:tcPr>
          <w:p>
            <w:pPr>
              <w:rPr>
                <w:rFonts w:ascii="仿宋" w:hAnsi="仿宋" w:eastAsia="仿宋" w:cs="宋体"/>
                <w:sz w:val="24"/>
                <w:szCs w:val="24"/>
              </w:rPr>
            </w:pPr>
            <w:r>
              <w:rPr>
                <w:rFonts w:hint="eastAsia" w:ascii="仿宋" w:hAnsi="仿宋" w:eastAsia="仿宋"/>
                <w:sz w:val="24"/>
                <w:szCs w:val="24"/>
              </w:rPr>
              <w:t>承担文秘、信息、安全、保密、政务公开、后勤管理等工作；承担机关财务、资产管理、内部审计和退役军人事务系统信息化建设、统计等工作；承担退役军人权益维护和有关人员的帮扶援助工作；承担全县烈士审核申报和褒扬工作；拟订全县军人公墓建设规划、管理维护等政策并指导实施</w:t>
            </w:r>
          </w:p>
        </w:tc>
        <w:tc>
          <w:tcPr>
            <w:tcW w:w="1417" w:type="dxa"/>
            <w:vAlign w:val="center"/>
          </w:tcPr>
          <w:p>
            <w:pPr>
              <w:jc w:val="left"/>
              <w:rPr>
                <w:rFonts w:ascii="仿宋" w:hAnsi="仿宋" w:eastAsia="仿宋" w:cs="宋体"/>
                <w:sz w:val="24"/>
                <w:szCs w:val="24"/>
              </w:rPr>
            </w:pPr>
            <w:r>
              <w:rPr>
                <w:rFonts w:hint="eastAsia" w:ascii="仿宋" w:hAnsi="仿宋" w:eastAsia="仿宋"/>
                <w:sz w:val="24"/>
                <w:szCs w:val="24"/>
              </w:rPr>
              <w:t>指导并监督检查退役军人相关法律法规和政策措施的落实，组织开展退役军人权益维护和有关人员的帮扶援助工作；组织指导全县拥军优属工作；完成县委、县政府交办的其他任务。</w:t>
            </w:r>
          </w:p>
          <w:p>
            <w:pPr>
              <w:spacing w:line="300" w:lineRule="exact"/>
              <w:jc w:val="left"/>
              <w:rPr>
                <w:rFonts w:ascii="仿宋" w:hAnsi="仿宋" w:eastAsia="仿宋" w:cs="Times New Roman"/>
                <w:sz w:val="24"/>
                <w:szCs w:val="24"/>
              </w:rPr>
            </w:pP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未落实</w:t>
            </w:r>
          </w:p>
        </w:tc>
      </w:tr>
    </w:tbl>
    <w:p>
      <w:pPr>
        <w:autoSpaceDE w:val="0"/>
        <w:autoSpaceDN w:val="0"/>
        <w:adjustRightInd w:val="0"/>
        <w:ind w:firstLine="960" w:firstLineChars="300"/>
        <w:jc w:val="left"/>
        <w:rPr>
          <w:rFonts w:ascii="黑体" w:hAnsi="黑体" w:eastAsia="黑体" w:cs="黑体"/>
          <w:sz w:val="32"/>
          <w:szCs w:val="32"/>
        </w:rPr>
      </w:pPr>
      <w:r>
        <w:rPr>
          <w:rFonts w:hint="eastAsia" w:ascii="黑体" w:hAnsi="黑体" w:eastAsia="黑体" w:cs="黑体"/>
          <w:sz w:val="32"/>
          <w:szCs w:val="32"/>
        </w:rPr>
        <w:t>2、部门整体支出绩效指标情况</w:t>
      </w:r>
    </w:p>
    <w:tbl>
      <w:tblPr>
        <w:tblStyle w:val="7"/>
        <w:tblW w:w="21506" w:type="dxa"/>
        <w:tblInd w:w="93" w:type="dxa"/>
        <w:tblLayout w:type="autofit"/>
        <w:tblCellMar>
          <w:top w:w="0" w:type="dxa"/>
          <w:left w:w="108" w:type="dxa"/>
          <w:bottom w:w="0" w:type="dxa"/>
          <w:right w:w="108" w:type="dxa"/>
        </w:tblCellMar>
      </w:tblPr>
      <w:tblGrid>
        <w:gridCol w:w="14162"/>
        <w:gridCol w:w="1650"/>
        <w:gridCol w:w="222"/>
        <w:gridCol w:w="15"/>
        <w:gridCol w:w="208"/>
        <w:gridCol w:w="314"/>
        <w:gridCol w:w="1946"/>
        <w:gridCol w:w="1198"/>
        <w:gridCol w:w="1173"/>
        <w:gridCol w:w="396"/>
        <w:gridCol w:w="222"/>
      </w:tblGrid>
      <w:tr>
        <w:tblPrEx>
          <w:tblCellMar>
            <w:top w:w="0" w:type="dxa"/>
            <w:left w:w="108" w:type="dxa"/>
            <w:bottom w:w="0" w:type="dxa"/>
            <w:right w:w="108" w:type="dxa"/>
          </w:tblCellMar>
        </w:tblPrEx>
        <w:trPr>
          <w:gridAfter w:val="10"/>
          <w:wAfter w:w="7344" w:type="dxa"/>
          <w:trHeight w:val="375" w:hRule="atLeast"/>
        </w:trPr>
        <w:tc>
          <w:tcPr>
            <w:tcW w:w="14162" w:type="dxa"/>
            <w:vMerge w:val="restart"/>
            <w:tcBorders>
              <w:top w:val="nil"/>
              <w:left w:val="nil"/>
              <w:bottom w:val="nil"/>
              <w:right w:val="nil"/>
            </w:tcBorders>
            <w:shd w:val="clear" w:color="auto" w:fill="auto"/>
            <w:noWrap/>
            <w:vAlign w:val="center"/>
          </w:tcPr>
          <w:tbl>
            <w:tblPr>
              <w:tblStyle w:val="7"/>
              <w:tblW w:w="13936" w:type="dxa"/>
              <w:tblInd w:w="0" w:type="dxa"/>
              <w:tblLayout w:type="autofit"/>
              <w:tblCellMar>
                <w:top w:w="0" w:type="dxa"/>
                <w:left w:w="108" w:type="dxa"/>
                <w:bottom w:w="0" w:type="dxa"/>
                <w:right w:w="108" w:type="dxa"/>
              </w:tblCellMar>
            </w:tblPr>
            <w:tblGrid>
              <w:gridCol w:w="1463"/>
              <w:gridCol w:w="1416"/>
              <w:gridCol w:w="1937"/>
              <w:gridCol w:w="2174"/>
              <w:gridCol w:w="1276"/>
              <w:gridCol w:w="992"/>
              <w:gridCol w:w="1134"/>
              <w:gridCol w:w="1843"/>
              <w:gridCol w:w="1701"/>
            </w:tblGrid>
            <w:tr>
              <w:tblPrEx>
                <w:tblCellMar>
                  <w:top w:w="0" w:type="dxa"/>
                  <w:left w:w="108" w:type="dxa"/>
                  <w:bottom w:w="0" w:type="dxa"/>
                  <w:right w:w="108" w:type="dxa"/>
                </w:tblCellMar>
              </w:tblPrEx>
              <w:trPr>
                <w:trHeight w:val="225" w:hRule="atLeast"/>
              </w:trPr>
              <w:tc>
                <w:tcPr>
                  <w:tcW w:w="1463"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416"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93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17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w:t>
                  </w:r>
                </w:p>
              </w:tc>
              <w:tc>
                <w:tcPr>
                  <w:tcW w:w="1276"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评（扣）分标准</w:t>
                  </w:r>
                </w:p>
              </w:tc>
              <w:tc>
                <w:tcPr>
                  <w:tcW w:w="3969"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70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指标值确定依据</w:t>
                  </w:r>
                </w:p>
              </w:tc>
            </w:tr>
            <w:tr>
              <w:tblPrEx>
                <w:tblCellMar>
                  <w:top w:w="0" w:type="dxa"/>
                  <w:left w:w="108" w:type="dxa"/>
                  <w:bottom w:w="0" w:type="dxa"/>
                  <w:right w:w="108" w:type="dxa"/>
                </w:tblCellMar>
              </w:tblPrEx>
              <w:trPr>
                <w:trHeight w:val="675" w:hRule="atLeast"/>
              </w:trPr>
              <w:tc>
                <w:tcPr>
                  <w:tcW w:w="1463"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937"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2174"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276"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113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单位（文字描述）</w:t>
                  </w:r>
                </w:p>
              </w:tc>
              <w:tc>
                <w:tcPr>
                  <w:tcW w:w="1701"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r>
            <w:tr>
              <w:tblPrEx>
                <w:tblCellMar>
                  <w:top w:w="0" w:type="dxa"/>
                  <w:left w:w="108" w:type="dxa"/>
                  <w:bottom w:w="0" w:type="dxa"/>
                  <w:right w:w="108" w:type="dxa"/>
                </w:tblCellMar>
              </w:tblPrEx>
              <w:trPr>
                <w:trHeight w:val="830" w:hRule="atLeast"/>
              </w:trPr>
              <w:tc>
                <w:tcPr>
                  <w:tcW w:w="1463"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产出指标</w:t>
                  </w: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数量指标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优抚对象抚恤和生活补助兑现率</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优抚对象生活抚恤兑付资金占应兑付额的比率</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98.00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900"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质量指标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资金到账精确率</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资金精确到账所占总到账户数比例</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100.00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700"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时效指标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资金按时到户率</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资金按时到账所占总资金拨付的比例</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95.00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709"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成本指标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保证资金成本</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保证资金成本</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100.00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705" w:hRule="atLeast"/>
              </w:trPr>
              <w:tc>
                <w:tcPr>
                  <w:tcW w:w="1463"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效益指标</w:t>
                  </w: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社会效益指标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促进社会和谐</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促进社会和谐</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文字描述</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效果显著</w:t>
                  </w: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841"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社会效益指标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优抚对象生活得到改善</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优抚对象生活得到改善</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文字描述</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效果显著</w:t>
                  </w: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852"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服务对象满意度指标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优抚对象对死亡抚恤工作满意度</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优抚对象对死亡抚恤工作满意度</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90.00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844" w:hRule="atLeast"/>
              </w:trPr>
              <w:tc>
                <w:tcPr>
                  <w:tcW w:w="1463"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满意度指标</w:t>
                  </w: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服务对象满意度指标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优抚对象对死亡抚恤政策满意度</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优抚对象对死亡抚恤工作满意度</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90.00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900"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服务对象满意度指标</w:t>
                  </w: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机构经费支出及时率满意度</w:t>
                  </w: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优抚对象对死亡抚恤政策满意度</w:t>
                  </w: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w:t>
                  </w: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90.00</w:t>
                  </w: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计划标准</w:t>
                  </w:r>
                </w:p>
              </w:tc>
            </w:tr>
            <w:tr>
              <w:tblPrEx>
                <w:tblCellMar>
                  <w:top w:w="0" w:type="dxa"/>
                  <w:left w:w="108" w:type="dxa"/>
                  <w:bottom w:w="0" w:type="dxa"/>
                  <w:right w:w="108" w:type="dxa"/>
                </w:tblCellMar>
              </w:tblPrEx>
              <w:trPr>
                <w:trHeight w:val="444" w:hRule="atLeast"/>
              </w:trPr>
              <w:tc>
                <w:tcPr>
                  <w:tcW w:w="1463" w:type="dxa"/>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kern w:val="0"/>
                      <w:sz w:val="18"/>
                      <w:szCs w:val="18"/>
                    </w:rPr>
                  </w:pPr>
                </w:p>
              </w:tc>
              <w:tc>
                <w:tcPr>
                  <w:tcW w:w="14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19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21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276" w:type="dxa"/>
                  <w:tcBorders>
                    <w:top w:val="nil"/>
                    <w:left w:val="nil"/>
                    <w:bottom w:val="single" w:color="auto" w:sz="4" w:space="0"/>
                    <w:right w:val="single" w:color="auto" w:sz="4" w:space="0"/>
                  </w:tcBorders>
                  <w:shd w:val="clear" w:color="auto" w:fill="auto"/>
                  <w:noWrap/>
                </w:tcPr>
                <w:p>
                  <w:pPr>
                    <w:widowControl/>
                    <w:jc w:val="center"/>
                    <w:rPr>
                      <w:rFonts w:ascii="宋体" w:hAnsi="宋体" w:cs="宋体"/>
                      <w:kern w:val="0"/>
                      <w:sz w:val="18"/>
                      <w:szCs w:val="18"/>
                    </w:rPr>
                  </w:pPr>
                </w:p>
              </w:tc>
              <w:tc>
                <w:tcPr>
                  <w:tcW w:w="99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18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r>
          </w:tbl>
          <w:p>
            <w:pPr>
              <w:widowControl/>
              <w:jc w:val="center"/>
              <w:rPr>
                <w:rFonts w:ascii="宋体" w:hAnsi="宋体" w:cs="宋体"/>
                <w:b/>
                <w:bCs/>
                <w:kern w:val="0"/>
                <w:sz w:val="18"/>
                <w:szCs w:val="18"/>
              </w:rPr>
            </w:pPr>
          </w:p>
        </w:tc>
      </w:tr>
      <w:tr>
        <w:tblPrEx>
          <w:tblCellMar>
            <w:top w:w="0" w:type="dxa"/>
            <w:left w:w="108" w:type="dxa"/>
            <w:bottom w:w="0" w:type="dxa"/>
            <w:right w:w="108" w:type="dxa"/>
          </w:tblCellMar>
        </w:tblPrEx>
        <w:trPr>
          <w:gridAfter w:val="5"/>
          <w:wAfter w:w="4935" w:type="dxa"/>
          <w:trHeight w:val="375" w:hRule="atLeast"/>
        </w:trPr>
        <w:tc>
          <w:tcPr>
            <w:tcW w:w="14162" w:type="dxa"/>
            <w:vMerge w:val="continue"/>
            <w:tcBorders>
              <w:top w:val="nil"/>
              <w:left w:val="nil"/>
              <w:bottom w:val="nil"/>
              <w:right w:val="nil"/>
            </w:tcBorders>
            <w:vAlign w:val="center"/>
          </w:tcPr>
          <w:p>
            <w:pPr>
              <w:widowControl/>
              <w:jc w:val="center"/>
              <w:rPr>
                <w:rFonts w:ascii="宋体" w:hAnsi="宋体" w:cs="宋体"/>
                <w:b/>
                <w:bCs/>
                <w:kern w:val="0"/>
                <w:sz w:val="18"/>
                <w:szCs w:val="18"/>
              </w:rPr>
            </w:pPr>
          </w:p>
        </w:tc>
        <w:tc>
          <w:tcPr>
            <w:tcW w:w="1887" w:type="dxa"/>
            <w:gridSpan w:val="3"/>
            <w:tcBorders>
              <w:top w:val="nil"/>
              <w:left w:val="nil"/>
              <w:bottom w:val="nil"/>
              <w:right w:val="nil"/>
            </w:tcBorders>
            <w:shd w:val="clear" w:color="auto" w:fill="auto"/>
            <w:vAlign w:val="center"/>
          </w:tcPr>
          <w:p>
            <w:pPr>
              <w:widowControl/>
              <w:jc w:val="center"/>
              <w:rPr>
                <w:rFonts w:ascii="宋体" w:hAnsi="宋体" w:cs="宋体"/>
                <w:b/>
                <w:bCs/>
                <w:kern w:val="0"/>
                <w:sz w:val="18"/>
                <w:szCs w:val="18"/>
              </w:rPr>
            </w:pPr>
          </w:p>
        </w:tc>
        <w:tc>
          <w:tcPr>
            <w:tcW w:w="522" w:type="dxa"/>
            <w:gridSpan w:val="2"/>
            <w:tcBorders>
              <w:top w:val="nil"/>
              <w:left w:val="nil"/>
              <w:bottom w:val="nil"/>
              <w:right w:val="nil"/>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gridAfter w:val="10"/>
          <w:wAfter w:w="7344" w:type="dxa"/>
          <w:trHeight w:val="375" w:hRule="atLeast"/>
        </w:trPr>
        <w:tc>
          <w:tcPr>
            <w:tcW w:w="14162" w:type="dxa"/>
            <w:vMerge w:val="continue"/>
            <w:tcBorders>
              <w:top w:val="nil"/>
              <w:left w:val="nil"/>
              <w:bottom w:val="nil"/>
              <w:right w:val="nil"/>
            </w:tcBorders>
            <w:vAlign w:val="center"/>
          </w:tcPr>
          <w:p>
            <w:pPr>
              <w:widowControl/>
              <w:jc w:val="center"/>
              <w:rPr>
                <w:rFonts w:ascii="宋体" w:hAnsi="宋体" w:cs="宋体"/>
                <w:b/>
                <w:bCs/>
                <w:kern w:val="0"/>
                <w:sz w:val="18"/>
                <w:szCs w:val="18"/>
              </w:rPr>
            </w:pPr>
          </w:p>
        </w:tc>
      </w:tr>
      <w:tr>
        <w:tblPrEx>
          <w:tblCellMar>
            <w:top w:w="0" w:type="dxa"/>
            <w:left w:w="108" w:type="dxa"/>
            <w:bottom w:w="0" w:type="dxa"/>
            <w:right w:w="108" w:type="dxa"/>
          </w:tblCellMar>
        </w:tblPrEx>
        <w:trPr>
          <w:gridAfter w:val="10"/>
          <w:wAfter w:w="7344" w:type="dxa"/>
          <w:trHeight w:val="375" w:hRule="atLeast"/>
        </w:trPr>
        <w:tc>
          <w:tcPr>
            <w:tcW w:w="14162" w:type="dxa"/>
            <w:vMerge w:val="continue"/>
            <w:tcBorders>
              <w:top w:val="nil"/>
              <w:left w:val="nil"/>
              <w:bottom w:val="nil"/>
              <w:right w:val="nil"/>
            </w:tcBorders>
            <w:shd w:val="clear" w:color="auto" w:fill="auto"/>
            <w:vAlign w:val="center"/>
          </w:tcPr>
          <w:p>
            <w:pPr>
              <w:widowControl/>
              <w:jc w:val="center"/>
              <w:rPr>
                <w:rFonts w:ascii="宋体" w:hAnsi="宋体" w:cs="宋体"/>
                <w:b/>
                <w:bCs/>
                <w:kern w:val="0"/>
                <w:sz w:val="18"/>
                <w:szCs w:val="18"/>
              </w:rPr>
            </w:pPr>
          </w:p>
        </w:tc>
      </w:tr>
      <w:tr>
        <w:tblPrEx>
          <w:tblCellMar>
            <w:top w:w="0" w:type="dxa"/>
            <w:left w:w="108" w:type="dxa"/>
            <w:bottom w:w="0" w:type="dxa"/>
            <w:right w:w="108" w:type="dxa"/>
          </w:tblCellMar>
        </w:tblPrEx>
        <w:trPr>
          <w:gridAfter w:val="10"/>
          <w:wAfter w:w="7344" w:type="dxa"/>
          <w:trHeight w:val="375" w:hRule="atLeast"/>
        </w:trPr>
        <w:tc>
          <w:tcPr>
            <w:tcW w:w="14162" w:type="dxa"/>
            <w:vMerge w:val="continue"/>
            <w:tcBorders>
              <w:top w:val="nil"/>
              <w:left w:val="nil"/>
              <w:bottom w:val="nil"/>
              <w:right w:val="nil"/>
            </w:tcBorders>
            <w:vAlign w:val="center"/>
          </w:tcPr>
          <w:p>
            <w:pPr>
              <w:widowControl/>
              <w:jc w:val="center"/>
              <w:rPr>
                <w:rFonts w:ascii="宋体" w:hAnsi="宋体" w:cs="宋体"/>
                <w:b/>
                <w:bCs/>
                <w:kern w:val="0"/>
                <w:sz w:val="18"/>
                <w:szCs w:val="18"/>
              </w:rPr>
            </w:pPr>
          </w:p>
        </w:tc>
      </w:tr>
      <w:tr>
        <w:tblPrEx>
          <w:tblCellMar>
            <w:top w:w="0" w:type="dxa"/>
            <w:left w:w="108" w:type="dxa"/>
            <w:bottom w:w="0" w:type="dxa"/>
            <w:right w:w="108" w:type="dxa"/>
          </w:tblCellMar>
        </w:tblPrEx>
        <w:trPr>
          <w:trHeight w:val="80" w:hRule="atLeast"/>
        </w:trPr>
        <w:tc>
          <w:tcPr>
            <w:tcW w:w="14162" w:type="dxa"/>
            <w:vMerge w:val="continue"/>
            <w:tcBorders>
              <w:top w:val="nil"/>
              <w:left w:val="nil"/>
              <w:bottom w:val="nil"/>
              <w:right w:val="nil"/>
            </w:tcBorders>
            <w:vAlign w:val="center"/>
          </w:tcPr>
          <w:p>
            <w:pPr>
              <w:widowControl/>
              <w:jc w:val="center"/>
              <w:rPr>
                <w:rFonts w:ascii="宋体" w:hAnsi="宋体" w:cs="宋体"/>
                <w:b/>
                <w:bCs/>
                <w:kern w:val="0"/>
                <w:sz w:val="18"/>
                <w:szCs w:val="18"/>
              </w:rPr>
            </w:pPr>
          </w:p>
        </w:tc>
        <w:tc>
          <w:tcPr>
            <w:tcW w:w="1650" w:type="dxa"/>
            <w:tcBorders>
              <w:top w:val="nil"/>
              <w:left w:val="nil"/>
              <w:bottom w:val="nil"/>
              <w:right w:val="nil"/>
            </w:tcBorders>
            <w:shd w:val="clear" w:color="auto" w:fill="auto"/>
            <w:noWrap/>
            <w:vAlign w:val="center"/>
          </w:tcPr>
          <w:p>
            <w:pPr>
              <w:widowControl/>
              <w:jc w:val="left"/>
              <w:rPr>
                <w:rFonts w:ascii="宋体" w:hAnsi="宋体" w:cs="宋体"/>
                <w:kern w:val="0"/>
                <w:sz w:val="18"/>
                <w:szCs w:val="18"/>
              </w:rPr>
            </w:pPr>
          </w:p>
        </w:tc>
        <w:tc>
          <w:tcPr>
            <w:tcW w:w="222" w:type="dxa"/>
            <w:tcBorders>
              <w:top w:val="nil"/>
              <w:left w:val="nil"/>
              <w:bottom w:val="nil"/>
              <w:right w:val="nil"/>
            </w:tcBorders>
            <w:shd w:val="clear" w:color="auto" w:fill="auto"/>
            <w:vAlign w:val="center"/>
          </w:tcPr>
          <w:p>
            <w:pPr>
              <w:widowControl/>
              <w:jc w:val="left"/>
              <w:rPr>
                <w:rFonts w:ascii="宋体" w:hAnsi="宋体" w:cs="宋体"/>
                <w:kern w:val="0"/>
                <w:sz w:val="18"/>
                <w:szCs w:val="18"/>
              </w:rPr>
            </w:pPr>
          </w:p>
        </w:tc>
        <w:tc>
          <w:tcPr>
            <w:tcW w:w="223" w:type="dxa"/>
            <w:gridSpan w:val="2"/>
            <w:tcBorders>
              <w:top w:val="nil"/>
              <w:left w:val="nil"/>
              <w:bottom w:val="nil"/>
              <w:right w:val="nil"/>
            </w:tcBorders>
            <w:shd w:val="clear" w:color="auto" w:fill="auto"/>
            <w:vAlign w:val="center"/>
          </w:tcPr>
          <w:p>
            <w:pPr>
              <w:widowControl/>
              <w:jc w:val="left"/>
              <w:rPr>
                <w:rFonts w:ascii="宋体" w:hAnsi="宋体" w:cs="宋体"/>
                <w:kern w:val="0"/>
                <w:sz w:val="18"/>
                <w:szCs w:val="18"/>
              </w:rPr>
            </w:pPr>
          </w:p>
        </w:tc>
        <w:tc>
          <w:tcPr>
            <w:tcW w:w="2260" w:type="dxa"/>
            <w:gridSpan w:val="2"/>
            <w:tcBorders>
              <w:top w:val="nil"/>
              <w:left w:val="nil"/>
              <w:bottom w:val="nil"/>
              <w:right w:val="nil"/>
            </w:tcBorders>
            <w:shd w:val="clear" w:color="auto" w:fill="auto"/>
            <w:noWrap/>
          </w:tcPr>
          <w:p>
            <w:pPr>
              <w:widowControl/>
              <w:jc w:val="left"/>
              <w:rPr>
                <w:rFonts w:ascii="宋体" w:hAnsi="宋体" w:cs="宋体"/>
                <w:kern w:val="0"/>
                <w:sz w:val="18"/>
                <w:szCs w:val="18"/>
              </w:rPr>
            </w:pPr>
          </w:p>
        </w:tc>
        <w:tc>
          <w:tcPr>
            <w:tcW w:w="1198" w:type="dxa"/>
            <w:tcBorders>
              <w:top w:val="nil"/>
              <w:left w:val="nil"/>
              <w:bottom w:val="nil"/>
              <w:right w:val="nil"/>
            </w:tcBorders>
            <w:shd w:val="clear" w:color="auto" w:fill="auto"/>
            <w:noWrap/>
            <w:vAlign w:val="center"/>
          </w:tcPr>
          <w:p>
            <w:pPr>
              <w:widowControl/>
              <w:jc w:val="left"/>
              <w:rPr>
                <w:rFonts w:ascii="宋体" w:hAnsi="宋体" w:cs="宋体"/>
                <w:kern w:val="0"/>
                <w:sz w:val="18"/>
                <w:szCs w:val="18"/>
              </w:rPr>
            </w:pPr>
          </w:p>
        </w:tc>
        <w:tc>
          <w:tcPr>
            <w:tcW w:w="1173" w:type="dxa"/>
            <w:tcBorders>
              <w:top w:val="nil"/>
              <w:left w:val="nil"/>
              <w:bottom w:val="nil"/>
              <w:right w:val="nil"/>
            </w:tcBorders>
            <w:shd w:val="clear" w:color="auto" w:fill="auto"/>
            <w:noWrap/>
            <w:vAlign w:val="center"/>
          </w:tcPr>
          <w:p>
            <w:pPr>
              <w:widowControl/>
              <w:jc w:val="right"/>
              <w:rPr>
                <w:rFonts w:ascii="宋体" w:hAnsi="宋体" w:cs="宋体"/>
                <w:kern w:val="0"/>
                <w:sz w:val="18"/>
                <w:szCs w:val="18"/>
              </w:rPr>
            </w:pPr>
          </w:p>
        </w:tc>
        <w:tc>
          <w:tcPr>
            <w:tcW w:w="396" w:type="dxa"/>
            <w:tcBorders>
              <w:top w:val="nil"/>
              <w:left w:val="nil"/>
              <w:bottom w:val="nil"/>
              <w:right w:val="nil"/>
            </w:tcBorders>
            <w:shd w:val="clear" w:color="auto" w:fill="auto"/>
            <w:vAlign w:val="center"/>
          </w:tcPr>
          <w:p>
            <w:pPr>
              <w:widowControl/>
              <w:jc w:val="left"/>
              <w:rPr>
                <w:rFonts w:ascii="宋体" w:hAnsi="宋体" w:cs="宋体"/>
                <w:kern w:val="0"/>
                <w:sz w:val="18"/>
                <w:szCs w:val="18"/>
              </w:rPr>
            </w:pPr>
          </w:p>
        </w:tc>
        <w:tc>
          <w:tcPr>
            <w:tcW w:w="222" w:type="dxa"/>
            <w:tcBorders>
              <w:top w:val="nil"/>
              <w:left w:val="nil"/>
              <w:bottom w:val="nil"/>
              <w:right w:val="nil"/>
            </w:tcBorders>
            <w:shd w:val="clear" w:color="auto" w:fill="auto"/>
            <w:vAlign w:val="center"/>
          </w:tcPr>
          <w:p>
            <w:pPr>
              <w:widowControl/>
              <w:jc w:val="left"/>
              <w:rPr>
                <w:rFonts w:ascii="宋体" w:hAnsi="宋体" w:cs="宋体"/>
                <w:kern w:val="0"/>
                <w:sz w:val="18"/>
                <w:szCs w:val="18"/>
              </w:rPr>
            </w:pPr>
          </w:p>
        </w:tc>
      </w:tr>
    </w:tbl>
    <w:p>
      <w:pPr>
        <w:autoSpaceDE w:val="0"/>
        <w:autoSpaceDN w:val="0"/>
        <w:adjustRightInd w:val="0"/>
        <w:ind w:firstLine="643" w:firstLineChars="200"/>
        <w:jc w:val="left"/>
        <w:rPr>
          <w:rFonts w:ascii="黑体" w:hAnsi="黑体" w:eastAsia="黑体" w:cs="仿宋"/>
          <w:b/>
          <w:color w:val="000000"/>
          <w:sz w:val="32"/>
          <w:szCs w:val="32"/>
        </w:rPr>
      </w:pPr>
      <w:r>
        <w:rPr>
          <w:rFonts w:hint="eastAsia" w:ascii="黑体" w:hAnsi="黑体" w:eastAsia="黑体" w:cs="仿宋"/>
          <w:b/>
          <w:color w:val="000000"/>
          <w:sz w:val="32"/>
          <w:szCs w:val="32"/>
        </w:rPr>
        <w:t>第二部分专项资金项目绩效目标</w:t>
      </w:r>
    </w:p>
    <w:p>
      <w:pPr>
        <w:autoSpaceDE w:val="0"/>
        <w:autoSpaceDN w:val="0"/>
        <w:adjustRightInd w:val="0"/>
        <w:ind w:firstLine="643" w:firstLineChars="200"/>
        <w:jc w:val="left"/>
        <w:rPr>
          <w:rFonts w:ascii="黑体" w:hAnsi="黑体" w:eastAsia="黑体" w:cs="仿宋"/>
          <w:b/>
          <w:color w:val="000000"/>
          <w:sz w:val="32"/>
          <w:szCs w:val="32"/>
        </w:rPr>
      </w:pPr>
      <w:r>
        <w:rPr>
          <w:rFonts w:hint="eastAsia" w:ascii="黑体" w:hAnsi="黑体" w:eastAsia="黑体" w:cs="仿宋"/>
          <w:b/>
          <w:color w:val="000000"/>
          <w:sz w:val="32"/>
          <w:szCs w:val="32"/>
        </w:rPr>
        <w:t>第三部分重点预算项目绩效目标</w:t>
      </w:r>
    </w:p>
    <w:p>
      <w:pPr>
        <w:pStyle w:val="18"/>
        <w:ind w:firstLine="562" w:firstLineChars="200"/>
      </w:pPr>
      <w:r>
        <w:rPr>
          <w:rFonts w:hint="eastAsia" w:ascii="方正仿宋_GBK" w:hAnsi="方正仿宋_GBK" w:cs="方正仿宋_GBK" w:eastAsiaTheme="minorEastAsia"/>
          <w:b/>
          <w:color w:val="000000"/>
          <w:sz w:val="28"/>
          <w:lang w:eastAsia="zh-CN"/>
        </w:rPr>
        <w:t>1、</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]15</w:t>
      </w:r>
      <w:r>
        <w:rPr>
          <w:rFonts w:hint="eastAsia" w:ascii="方正仿宋_GBK" w:hAnsi="方正仿宋_GBK" w:cs="方正仿宋_GBK" w:eastAsiaTheme="minorEastAsia"/>
          <w:b/>
          <w:color w:val="000000"/>
          <w:sz w:val="28"/>
          <w:lang w:eastAsia="zh-CN"/>
        </w:rPr>
        <w:t>2</w:t>
      </w:r>
      <w:r>
        <w:rPr>
          <w:rFonts w:ascii="方正仿宋_GBK" w:hAnsi="方正仿宋_GBK" w:eastAsia="方正仿宋_GBK" w:cs="方正仿宋_GBK"/>
          <w:b/>
          <w:color w:val="000000"/>
          <w:sz w:val="28"/>
        </w:rPr>
        <w:t>号/中央/60周岁农村籍</w:t>
      </w:r>
      <w:r>
        <w:rPr>
          <w:rFonts w:hint="eastAsia" w:ascii="方正仿宋_GBK" w:hAnsi="方正仿宋_GBK" w:cs="方正仿宋_GBK" w:eastAsiaTheme="minorEastAsia"/>
          <w:b/>
          <w:color w:val="000000"/>
          <w:sz w:val="28"/>
          <w:lang w:eastAsia="zh-CN"/>
        </w:rPr>
        <w:t>在乡复员、退役军人</w:t>
      </w:r>
      <w:r>
        <w:rPr>
          <w:rFonts w:ascii="方正仿宋_GBK" w:hAnsi="方正仿宋_GBK" w:eastAsia="方正仿宋_GBK" w:cs="方正仿宋_GBK"/>
          <w:b/>
          <w:color w:val="000000"/>
          <w:sz w:val="28"/>
        </w:rPr>
        <w:t>生活补助绩效目标表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rPr>
                <w:rFonts w:hint="eastAsia" w:eastAsiaTheme="minorEastAsia"/>
                <w:lang w:eastAsia="zh-CN"/>
              </w:rPr>
            </w:pPr>
            <w:r>
              <w:t>1.及时发放</w:t>
            </w:r>
            <w:r>
              <w:rPr>
                <w:rFonts w:hint="eastAsia" w:eastAsiaTheme="minorEastAsia"/>
                <w:lang w:eastAsia="zh-CN"/>
              </w:rPr>
              <w:t>优抚对象抚恤和生活补助</w:t>
            </w:r>
          </w:p>
          <w:p>
            <w:pPr>
              <w:pStyle w:val="20"/>
              <w:rPr>
                <w:rFonts w:hint="eastAsia" w:eastAsiaTheme="minorEastAsia"/>
                <w:lang w:eastAsia="zh-CN"/>
              </w:rPr>
            </w:pPr>
            <w:r>
              <w:t>2.</w:t>
            </w:r>
            <w:r>
              <w:rPr>
                <w:rFonts w:hint="eastAsia" w:eastAsiaTheme="minorEastAsia"/>
                <w:lang w:eastAsia="zh-CN"/>
              </w:rPr>
              <w:t>保证资金使用及时、有效、合理</w:t>
            </w:r>
          </w:p>
          <w:p>
            <w:pPr>
              <w:pStyle w:val="20"/>
              <w:rPr>
                <w:rFonts w:hint="eastAsia" w:eastAsiaTheme="minorEastAsia"/>
                <w:lang w:eastAsia="zh-CN"/>
              </w:rPr>
            </w:pPr>
            <w:r>
              <w:t>3.</w:t>
            </w:r>
            <w:r>
              <w:rPr>
                <w:rFonts w:hint="eastAsia" w:eastAsiaTheme="minorEastAsia"/>
                <w:lang w:eastAsia="zh-CN"/>
              </w:rPr>
              <w:t>确保优抚对象生活得到有效改善</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rPr>
                <w:rFonts w:hint="eastAsia" w:eastAsiaTheme="minorEastAsia"/>
                <w:lang w:eastAsia="zh-CN"/>
              </w:rPr>
            </w:pPr>
            <w:r>
              <w:t>优抚</w:t>
            </w:r>
            <w:r>
              <w:rPr>
                <w:rFonts w:hint="eastAsia" w:eastAsiaTheme="minorEastAsia"/>
                <w:lang w:eastAsia="zh-CN"/>
              </w:rPr>
              <w:t>对象补助资金发放数额</w:t>
            </w:r>
          </w:p>
        </w:tc>
        <w:tc>
          <w:tcPr>
            <w:tcW w:w="2835" w:type="dxa"/>
            <w:vAlign w:val="center"/>
          </w:tcPr>
          <w:p>
            <w:pPr>
              <w:pStyle w:val="20"/>
              <w:rPr>
                <w:rFonts w:hint="eastAsia" w:eastAsiaTheme="minorEastAsia"/>
                <w:lang w:eastAsia="zh-CN"/>
              </w:rPr>
            </w:pPr>
            <w:r>
              <w:t>优抚</w:t>
            </w:r>
            <w:r>
              <w:rPr>
                <w:rFonts w:hint="eastAsia" w:eastAsiaTheme="minorEastAsia"/>
                <w:lang w:eastAsia="zh-CN"/>
              </w:rPr>
              <w:t>对象</w:t>
            </w:r>
            <w:r>
              <w:t>补助资金</w:t>
            </w:r>
            <w:r>
              <w:rPr>
                <w:rFonts w:hint="eastAsia" w:eastAsiaTheme="minorEastAsia"/>
                <w:lang w:eastAsia="zh-CN"/>
              </w:rPr>
              <w:t>发放总金额</w:t>
            </w:r>
          </w:p>
        </w:tc>
        <w:tc>
          <w:tcPr>
            <w:tcW w:w="2551" w:type="dxa"/>
            <w:vAlign w:val="center"/>
          </w:tcPr>
          <w:p>
            <w:pPr>
              <w:pStyle w:val="20"/>
              <w:rPr>
                <w:rFonts w:hint="eastAsia" w:eastAsiaTheme="minorEastAsia"/>
                <w:lang w:eastAsia="zh-CN"/>
              </w:rPr>
            </w:pPr>
            <w:r>
              <w:rPr>
                <w:rFonts w:hint="eastAsia" w:eastAsiaTheme="minorEastAsia"/>
                <w:lang w:eastAsia="zh-CN"/>
              </w:rPr>
              <w:t>1200万元</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35" w:type="dxa"/>
            <w:vAlign w:val="center"/>
          </w:tcPr>
          <w:p>
            <w:pPr>
              <w:pStyle w:val="20"/>
              <w:rPr>
                <w:rFonts w:hint="eastAsia" w:eastAsiaTheme="minorEastAsia"/>
                <w:lang w:eastAsia="zh-CN"/>
              </w:rPr>
            </w:pPr>
            <w:r>
              <w:t>经费</w:t>
            </w:r>
            <w:r>
              <w:rPr>
                <w:rFonts w:hint="eastAsia" w:eastAsiaTheme="minorEastAsia"/>
                <w:lang w:eastAsia="zh-CN"/>
              </w:rPr>
              <w:t>是否</w:t>
            </w:r>
            <w:r>
              <w:t>足额拨付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rPr>
                <w:rFonts w:hint="eastAsia" w:eastAsiaTheme="minorEastAsia"/>
                <w:lang w:eastAsia="zh-CN"/>
              </w:rPr>
            </w:pPr>
            <w:r>
              <w:rPr>
                <w:rFonts w:hint="eastAsia" w:eastAsiaTheme="minorEastAsia"/>
                <w:lang w:eastAsia="zh-CN"/>
              </w:rPr>
              <w:t>各项补助资金拨付及时率</w:t>
            </w:r>
          </w:p>
        </w:tc>
        <w:tc>
          <w:tcPr>
            <w:tcW w:w="2835" w:type="dxa"/>
            <w:vAlign w:val="center"/>
          </w:tcPr>
          <w:p>
            <w:pPr>
              <w:pStyle w:val="20"/>
            </w:pPr>
            <w:r>
              <w:rPr>
                <w:rFonts w:hint="eastAsia" w:eastAsiaTheme="minorEastAsia"/>
                <w:lang w:eastAsia="zh-CN"/>
              </w:rPr>
              <w:t>各项补助资金拨付及时率</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rPr>
                <w:rFonts w:hint="eastAsia" w:eastAsiaTheme="minorEastAsia"/>
                <w:lang w:eastAsia="zh-CN"/>
              </w:rPr>
            </w:pPr>
            <w:r>
              <w:t>保证资金</w:t>
            </w:r>
            <w:r>
              <w:rPr>
                <w:rFonts w:hint="eastAsia" w:eastAsiaTheme="minorEastAsia"/>
                <w:lang w:eastAsia="zh-CN"/>
              </w:rPr>
              <w:t>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rPr>
                <w:rFonts w:hint="eastAsia" w:eastAsiaTheme="minorEastAsia"/>
                <w:lang w:eastAsia="zh-CN"/>
              </w:rPr>
            </w:pPr>
            <w:r>
              <w:rPr>
                <w:rFonts w:hint="eastAsia" w:eastAsiaTheme="minorEastAsia"/>
                <w:lang w:eastAsia="zh-CN"/>
              </w:rPr>
              <w:t>经济效益指标</w:t>
            </w:r>
          </w:p>
        </w:tc>
        <w:tc>
          <w:tcPr>
            <w:tcW w:w="2835" w:type="dxa"/>
            <w:vAlign w:val="center"/>
          </w:tcPr>
          <w:p>
            <w:pPr>
              <w:pStyle w:val="20"/>
              <w:rPr>
                <w:rFonts w:hint="eastAsia" w:eastAsiaTheme="minorEastAsia"/>
                <w:lang w:eastAsia="zh-CN"/>
              </w:rPr>
            </w:pPr>
            <w:r>
              <w:rPr>
                <w:rFonts w:hint="eastAsia" w:eastAsiaTheme="minorEastAsia"/>
                <w:lang w:eastAsia="zh-CN"/>
              </w:rPr>
              <w:t>优抚对象生活得到有效改善</w:t>
            </w:r>
          </w:p>
        </w:tc>
        <w:tc>
          <w:tcPr>
            <w:tcW w:w="2835" w:type="dxa"/>
            <w:vAlign w:val="center"/>
          </w:tcPr>
          <w:p>
            <w:pPr>
              <w:pStyle w:val="20"/>
              <w:rPr>
                <w:rFonts w:hint="eastAsia" w:eastAsiaTheme="minorEastAsia"/>
                <w:lang w:eastAsia="zh-CN"/>
              </w:rPr>
            </w:pPr>
            <w:r>
              <w:rPr>
                <w:rFonts w:hint="eastAsia" w:eastAsiaTheme="minorEastAsia"/>
                <w:lang w:eastAsia="zh-CN"/>
              </w:rPr>
              <w:t>优抚对象生活得到有效改善</w:t>
            </w:r>
          </w:p>
        </w:tc>
        <w:tc>
          <w:tcPr>
            <w:tcW w:w="2551" w:type="dxa"/>
            <w:vAlign w:val="center"/>
          </w:tcPr>
          <w:p>
            <w:pPr>
              <w:pStyle w:val="20"/>
              <w:rPr>
                <w:rFonts w:hint="eastAsia" w:eastAsiaTheme="minorEastAsia"/>
                <w:lang w:eastAsia="zh-CN"/>
              </w:rPr>
            </w:pPr>
            <w:r>
              <w:rPr>
                <w:rFonts w:hint="eastAsia" w:eastAsiaTheme="minorEastAsia"/>
                <w:lang w:eastAsia="zh-CN"/>
              </w:rP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p>
        </w:tc>
        <w:tc>
          <w:tcPr>
            <w:tcW w:w="2268" w:type="dxa"/>
            <w:vAlign w:val="center"/>
          </w:tcPr>
          <w:p>
            <w:pPr>
              <w:pStyle w:val="20"/>
            </w:pPr>
            <w:r>
              <w:t>社会效益指标</w:t>
            </w:r>
          </w:p>
        </w:tc>
        <w:tc>
          <w:tcPr>
            <w:tcW w:w="2835" w:type="dxa"/>
            <w:vAlign w:val="center"/>
          </w:tcPr>
          <w:p>
            <w:pPr>
              <w:pStyle w:val="20"/>
              <w:rPr>
                <w:rFonts w:hint="eastAsia" w:eastAsiaTheme="minorEastAsia"/>
                <w:lang w:eastAsia="zh-CN"/>
              </w:rPr>
            </w:pPr>
            <w:r>
              <w:rPr>
                <w:rFonts w:hint="eastAsia" w:eastAsiaTheme="minorEastAsia"/>
                <w:lang w:eastAsia="zh-CN"/>
              </w:rPr>
              <w:t>促进社会和谐</w:t>
            </w:r>
          </w:p>
        </w:tc>
        <w:tc>
          <w:tcPr>
            <w:tcW w:w="2835" w:type="dxa"/>
            <w:vAlign w:val="center"/>
          </w:tcPr>
          <w:p>
            <w:pPr>
              <w:pStyle w:val="20"/>
              <w:rPr>
                <w:rFonts w:hint="eastAsia" w:eastAsiaTheme="minorEastAsia"/>
                <w:lang w:eastAsia="zh-CN"/>
              </w:rPr>
            </w:pPr>
            <w:r>
              <w:rPr>
                <w:rFonts w:hint="eastAsia" w:eastAsiaTheme="minorEastAsia"/>
                <w:lang w:eastAsia="zh-CN"/>
              </w:rPr>
              <w:t>有效促进社会和谐</w:t>
            </w:r>
          </w:p>
        </w:tc>
        <w:tc>
          <w:tcPr>
            <w:tcW w:w="2551" w:type="dxa"/>
            <w:vAlign w:val="center"/>
          </w:tcPr>
          <w:p>
            <w:pPr>
              <w:pStyle w:val="20"/>
            </w:pPr>
            <w:r>
              <w:rPr>
                <w:rFonts w:hint="eastAsia" w:eastAsiaTheme="minorEastAsia"/>
                <w:lang w:eastAsia="zh-CN"/>
              </w:rP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优抚对象满意度</w:t>
            </w:r>
          </w:p>
        </w:tc>
        <w:tc>
          <w:tcPr>
            <w:tcW w:w="2835" w:type="dxa"/>
            <w:vAlign w:val="center"/>
          </w:tcPr>
          <w:p>
            <w:pPr>
              <w:pStyle w:val="20"/>
            </w:pPr>
            <w:r>
              <w:t>优抚对象满意度</w:t>
            </w:r>
          </w:p>
        </w:tc>
        <w:tc>
          <w:tcPr>
            <w:tcW w:w="2551" w:type="dxa"/>
            <w:vAlign w:val="center"/>
          </w:tcPr>
          <w:p>
            <w:pPr>
              <w:pStyle w:val="20"/>
              <w:rPr>
                <w:rFonts w:hint="eastAsia" w:eastAsiaTheme="minorEastAsia"/>
                <w:lang w:eastAsia="zh-CN"/>
              </w:rPr>
            </w:pPr>
            <w:r>
              <w:rPr>
                <w:rFonts w:hint="eastAsia" w:eastAsiaTheme="minorEastAsia"/>
                <w:lang w:eastAsia="zh-CN"/>
              </w:rPr>
              <w:t>满意</w:t>
            </w:r>
          </w:p>
        </w:tc>
        <w:tc>
          <w:tcPr>
            <w:tcW w:w="2268" w:type="dxa"/>
            <w:vAlign w:val="center"/>
          </w:tcPr>
          <w:p>
            <w:pPr>
              <w:pStyle w:val="20"/>
            </w:pPr>
            <w:r>
              <w:t>计划标准</w:t>
            </w:r>
          </w:p>
        </w:tc>
      </w:tr>
    </w:tbl>
    <w:p>
      <w:pPr>
        <w:pStyle w:val="18"/>
        <w:ind w:firstLine="703" w:firstLineChars="250"/>
      </w:pPr>
      <w:r>
        <w:rPr>
          <w:rFonts w:hint="eastAsia" w:ascii="方正仿宋_GBK" w:hAnsi="方正仿宋_GBK" w:cs="方正仿宋_GBK" w:eastAsiaTheme="minorEastAsia"/>
          <w:b/>
          <w:color w:val="000000"/>
          <w:sz w:val="28"/>
          <w:lang w:eastAsia="zh-CN"/>
        </w:rPr>
        <w:t>2、</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]15</w:t>
      </w:r>
      <w:r>
        <w:rPr>
          <w:rFonts w:hint="eastAsia" w:ascii="方正仿宋_GBK" w:hAnsi="方正仿宋_GBK" w:cs="方正仿宋_GBK" w:eastAsiaTheme="minorEastAsia"/>
          <w:b/>
          <w:color w:val="000000"/>
          <w:sz w:val="28"/>
          <w:lang w:eastAsia="zh-CN"/>
        </w:rPr>
        <w:t>2</w:t>
      </w:r>
      <w:r>
        <w:rPr>
          <w:rFonts w:ascii="方正仿宋_GBK" w:hAnsi="方正仿宋_GBK" w:eastAsia="方正仿宋_GBK" w:cs="方正仿宋_GBK"/>
          <w:b/>
          <w:color w:val="000000"/>
          <w:sz w:val="28"/>
        </w:rPr>
        <w:t>号/中央/优抚对象</w:t>
      </w:r>
      <w:r>
        <w:rPr>
          <w:rFonts w:hint="eastAsia" w:ascii="方正仿宋_GBK" w:hAnsi="方正仿宋_GBK" w:cs="方正仿宋_GBK" w:eastAsiaTheme="minorEastAsia"/>
          <w:b/>
          <w:color w:val="000000"/>
          <w:sz w:val="28"/>
          <w:lang w:eastAsia="zh-CN"/>
        </w:rPr>
        <w:t>生活</w:t>
      </w:r>
      <w:r>
        <w:rPr>
          <w:rFonts w:ascii="方正仿宋_GBK" w:hAnsi="方正仿宋_GBK" w:eastAsia="方正仿宋_GBK" w:cs="方正仿宋_GBK"/>
          <w:b/>
          <w:color w:val="000000"/>
          <w:sz w:val="28"/>
        </w:rPr>
        <w:t>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pPr>
            <w:r>
              <w:t>1.及时发放优抚对象抚恤补助</w:t>
            </w:r>
          </w:p>
          <w:p>
            <w:pPr>
              <w:pStyle w:val="20"/>
              <w:rPr>
                <w:rFonts w:hint="eastAsia" w:eastAsiaTheme="minorEastAsia"/>
                <w:lang w:eastAsia="zh-CN"/>
              </w:rPr>
            </w:pPr>
            <w:r>
              <w:t>2.</w:t>
            </w:r>
            <w:r>
              <w:rPr>
                <w:rFonts w:hint="eastAsia" w:eastAsiaTheme="minorEastAsia"/>
                <w:lang w:eastAsia="zh-CN"/>
              </w:rPr>
              <w:t>保证资金使用及时、有效、合理</w:t>
            </w:r>
          </w:p>
          <w:p>
            <w:pPr>
              <w:pStyle w:val="20"/>
              <w:rPr>
                <w:rFonts w:hint="eastAsia" w:eastAsiaTheme="minorEastAsia"/>
                <w:lang w:eastAsia="zh-CN"/>
              </w:rPr>
            </w:pPr>
            <w:r>
              <w:t>3.</w:t>
            </w:r>
            <w:r>
              <w:rPr>
                <w:rFonts w:hint="eastAsia" w:eastAsiaTheme="minorEastAsia"/>
                <w:lang w:eastAsia="zh-CN"/>
              </w:rPr>
              <w:t>确保优抚对象生活得到有效改善</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rPr>
                <w:rFonts w:hint="eastAsia" w:eastAsiaTheme="minorEastAsia"/>
                <w:lang w:eastAsia="zh-CN"/>
              </w:rPr>
            </w:pPr>
            <w:r>
              <w:rPr>
                <w:rFonts w:hint="eastAsia" w:eastAsiaTheme="minorEastAsia"/>
                <w:lang w:eastAsia="zh-CN"/>
              </w:rPr>
              <w:t>优抚对象补助资金发放人数</w:t>
            </w:r>
          </w:p>
        </w:tc>
        <w:tc>
          <w:tcPr>
            <w:tcW w:w="2835" w:type="dxa"/>
            <w:vAlign w:val="center"/>
          </w:tcPr>
          <w:p>
            <w:pPr>
              <w:pStyle w:val="20"/>
            </w:pPr>
            <w:r>
              <w:rPr>
                <w:rFonts w:hint="eastAsia" w:eastAsiaTheme="minorEastAsia"/>
                <w:lang w:eastAsia="zh-CN"/>
              </w:rPr>
              <w:t>优抚对象补助资金发放人数</w:t>
            </w:r>
          </w:p>
        </w:tc>
        <w:tc>
          <w:tcPr>
            <w:tcW w:w="2551" w:type="dxa"/>
            <w:vAlign w:val="center"/>
          </w:tcPr>
          <w:p>
            <w:pPr>
              <w:pStyle w:val="20"/>
            </w:pPr>
            <w:r>
              <w:t>≥1</w:t>
            </w:r>
            <w:r>
              <w:rPr>
                <w:rFonts w:hint="eastAsia" w:eastAsiaTheme="minorEastAsia"/>
                <w:lang w:eastAsia="zh-CN"/>
              </w:rPr>
              <w:t>3</w:t>
            </w:r>
            <w:r>
              <w:t>00人</w:t>
            </w:r>
          </w:p>
        </w:tc>
        <w:tc>
          <w:tcPr>
            <w:tcW w:w="2268" w:type="dxa"/>
            <w:vAlign w:val="center"/>
          </w:tcPr>
          <w:p>
            <w:pPr>
              <w:pStyle w:val="20"/>
            </w:pPr>
            <w:r>
              <w:rPr>
                <w:rFonts w:hint="eastAsia" w:eastAsiaTheme="minorEastAsia"/>
                <w:lang w:eastAsia="zh-CN"/>
              </w:rPr>
              <w:t>计划</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35" w:type="dxa"/>
            <w:vAlign w:val="center"/>
          </w:tcPr>
          <w:p>
            <w:pPr>
              <w:pStyle w:val="20"/>
              <w:rPr>
                <w:rFonts w:hint="eastAsia" w:eastAsiaTheme="minorEastAsia"/>
                <w:lang w:eastAsia="zh-CN"/>
              </w:rPr>
            </w:pPr>
            <w:r>
              <w:t>经费</w:t>
            </w:r>
            <w:r>
              <w:rPr>
                <w:rFonts w:hint="eastAsia" w:eastAsiaTheme="minorEastAsia"/>
                <w:lang w:eastAsia="zh-CN"/>
              </w:rPr>
              <w:t>是否</w:t>
            </w:r>
            <w:r>
              <w:t>足额拨付</w:t>
            </w:r>
          </w:p>
        </w:tc>
        <w:tc>
          <w:tcPr>
            <w:tcW w:w="2551" w:type="dxa"/>
            <w:vAlign w:val="center"/>
          </w:tcPr>
          <w:p>
            <w:pPr>
              <w:pStyle w:val="20"/>
            </w:pPr>
            <w:r>
              <w:t>100%</w:t>
            </w:r>
          </w:p>
        </w:tc>
        <w:tc>
          <w:tcPr>
            <w:tcW w:w="2268" w:type="dxa"/>
            <w:vAlign w:val="center"/>
          </w:tcPr>
          <w:p>
            <w:pPr>
              <w:pStyle w:val="20"/>
            </w:pPr>
            <w:r>
              <w:rPr>
                <w:rFonts w:hint="eastAsia" w:eastAsiaTheme="minorEastAsia"/>
                <w:lang w:eastAsia="zh-CN"/>
              </w:rPr>
              <w:t>计划</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pPr>
            <w:r>
              <w:rPr>
                <w:rFonts w:hint="eastAsia" w:eastAsiaTheme="minorEastAsia"/>
                <w:lang w:eastAsia="zh-CN"/>
              </w:rPr>
              <w:t>各项补助资金</w:t>
            </w:r>
            <w:r>
              <w:t>拨付及时率</w:t>
            </w:r>
          </w:p>
        </w:tc>
        <w:tc>
          <w:tcPr>
            <w:tcW w:w="2835" w:type="dxa"/>
            <w:vAlign w:val="center"/>
          </w:tcPr>
          <w:p>
            <w:pPr>
              <w:pStyle w:val="20"/>
            </w:pPr>
            <w:r>
              <w:rPr>
                <w:rFonts w:hint="eastAsia" w:eastAsiaTheme="minorEastAsia"/>
                <w:lang w:eastAsia="zh-CN"/>
              </w:rPr>
              <w:t>各项补助资金</w:t>
            </w:r>
            <w:r>
              <w:t>拨付及时率</w:t>
            </w:r>
          </w:p>
        </w:tc>
        <w:tc>
          <w:tcPr>
            <w:tcW w:w="2551" w:type="dxa"/>
            <w:vAlign w:val="center"/>
          </w:tcPr>
          <w:p>
            <w:pPr>
              <w:pStyle w:val="20"/>
            </w:pPr>
            <w:r>
              <w:t>100%</w:t>
            </w:r>
          </w:p>
        </w:tc>
        <w:tc>
          <w:tcPr>
            <w:tcW w:w="2268" w:type="dxa"/>
            <w:vAlign w:val="center"/>
          </w:tcPr>
          <w:p>
            <w:pPr>
              <w:pStyle w:val="20"/>
            </w:pPr>
            <w:r>
              <w:rPr>
                <w:rFonts w:hint="eastAsia" w:eastAsiaTheme="minorEastAsia"/>
                <w:lang w:eastAsia="zh-CN"/>
              </w:rPr>
              <w:t>计划</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rPr>
                <w:rFonts w:hint="eastAsia" w:eastAsiaTheme="minorEastAsia"/>
                <w:lang w:eastAsia="zh-CN"/>
              </w:rPr>
            </w:pPr>
            <w:r>
              <w:rPr>
                <w:rFonts w:hint="eastAsia" w:eastAsiaTheme="minorEastAsia"/>
                <w:lang w:eastAsia="zh-CN"/>
              </w:rPr>
              <w:t>保障资金拨付</w:t>
            </w:r>
          </w:p>
        </w:tc>
        <w:tc>
          <w:tcPr>
            <w:tcW w:w="2551" w:type="dxa"/>
            <w:vAlign w:val="center"/>
          </w:tcPr>
          <w:p>
            <w:pPr>
              <w:pStyle w:val="20"/>
            </w:pPr>
            <w:r>
              <w:t>100%</w:t>
            </w:r>
          </w:p>
        </w:tc>
        <w:tc>
          <w:tcPr>
            <w:tcW w:w="2268" w:type="dxa"/>
            <w:vAlign w:val="center"/>
          </w:tcPr>
          <w:p>
            <w:pPr>
              <w:pStyle w:val="20"/>
            </w:pPr>
            <w:r>
              <w:rPr>
                <w:rFonts w:hint="eastAsia" w:eastAsiaTheme="minorEastAsia"/>
                <w:lang w:eastAsia="zh-CN"/>
              </w:rPr>
              <w:t>计划</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p>
        </w:tc>
        <w:tc>
          <w:tcPr>
            <w:tcW w:w="2268" w:type="dxa"/>
            <w:vAlign w:val="center"/>
          </w:tcPr>
          <w:p>
            <w:pPr>
              <w:pStyle w:val="20"/>
              <w:rPr>
                <w:rFonts w:hint="eastAsia" w:eastAsiaTheme="minorEastAsia"/>
                <w:lang w:eastAsia="zh-CN"/>
              </w:rPr>
            </w:pPr>
            <w:r>
              <w:rPr>
                <w:rFonts w:hint="eastAsia" w:eastAsiaTheme="minorEastAsia"/>
                <w:lang w:eastAsia="zh-CN"/>
              </w:rPr>
              <w:t>经济效益指标</w:t>
            </w:r>
          </w:p>
        </w:tc>
        <w:tc>
          <w:tcPr>
            <w:tcW w:w="2835" w:type="dxa"/>
            <w:vAlign w:val="center"/>
          </w:tcPr>
          <w:p>
            <w:pPr>
              <w:pStyle w:val="20"/>
              <w:rPr>
                <w:rFonts w:hint="eastAsia" w:eastAsiaTheme="minorEastAsia"/>
                <w:lang w:eastAsia="zh-CN"/>
              </w:rPr>
            </w:pPr>
            <w:r>
              <w:rPr>
                <w:rFonts w:hint="eastAsia" w:eastAsiaTheme="minorEastAsia"/>
                <w:lang w:eastAsia="zh-CN"/>
              </w:rPr>
              <w:t>优抚对象生活得到有效改善</w:t>
            </w:r>
          </w:p>
        </w:tc>
        <w:tc>
          <w:tcPr>
            <w:tcW w:w="2835" w:type="dxa"/>
            <w:vAlign w:val="center"/>
          </w:tcPr>
          <w:p>
            <w:pPr>
              <w:pStyle w:val="20"/>
            </w:pPr>
            <w:r>
              <w:rPr>
                <w:rFonts w:hint="eastAsia" w:eastAsiaTheme="minorEastAsia"/>
                <w:lang w:eastAsia="zh-CN"/>
              </w:rPr>
              <w:t>优抚对象生活得到有效改善</w:t>
            </w:r>
          </w:p>
        </w:tc>
        <w:tc>
          <w:tcPr>
            <w:tcW w:w="2551" w:type="dxa"/>
            <w:vAlign w:val="center"/>
          </w:tcPr>
          <w:p>
            <w:pPr>
              <w:pStyle w:val="20"/>
              <w:rPr>
                <w:rFonts w:hint="eastAsia" w:eastAsiaTheme="minorEastAsia"/>
                <w:lang w:eastAsia="zh-CN"/>
              </w:rPr>
            </w:pPr>
            <w:r>
              <w:rPr>
                <w:rFonts w:hint="eastAsia" w:eastAsiaTheme="minorEastAsia"/>
                <w:lang w:eastAsia="zh-CN"/>
              </w:rPr>
              <w:t>效果显著</w:t>
            </w:r>
          </w:p>
        </w:tc>
        <w:tc>
          <w:tcPr>
            <w:tcW w:w="2268" w:type="dxa"/>
            <w:vAlign w:val="center"/>
          </w:tcPr>
          <w:p>
            <w:pPr>
              <w:pStyle w:val="20"/>
            </w:pPr>
            <w:r>
              <w:rPr>
                <w:rFonts w:hint="eastAsia" w:eastAsiaTheme="minorEastAsia"/>
                <w:lang w:eastAsia="zh-CN"/>
              </w:rPr>
              <w:t>计划</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rPr>
                <w:rFonts w:hint="eastAsia" w:eastAsiaTheme="minorEastAsia"/>
                <w:lang w:eastAsia="zh-CN"/>
              </w:rPr>
            </w:pPr>
            <w:r>
              <w:rPr>
                <w:rFonts w:hint="eastAsia" w:eastAsiaTheme="minorEastAsia"/>
                <w:lang w:eastAsia="zh-CN"/>
              </w:rPr>
              <w:t>促进社会和谐</w:t>
            </w:r>
          </w:p>
        </w:tc>
        <w:tc>
          <w:tcPr>
            <w:tcW w:w="2835" w:type="dxa"/>
            <w:vAlign w:val="center"/>
          </w:tcPr>
          <w:p>
            <w:pPr>
              <w:pStyle w:val="20"/>
              <w:rPr>
                <w:rFonts w:hint="eastAsia" w:eastAsiaTheme="minorEastAsia"/>
                <w:lang w:eastAsia="zh-CN"/>
              </w:rPr>
            </w:pPr>
            <w:r>
              <w:rPr>
                <w:rFonts w:hint="eastAsia" w:eastAsiaTheme="minorEastAsia"/>
                <w:lang w:eastAsia="zh-CN"/>
              </w:rPr>
              <w:t>有效促进社会和谐</w:t>
            </w:r>
          </w:p>
        </w:tc>
        <w:tc>
          <w:tcPr>
            <w:tcW w:w="2551" w:type="dxa"/>
            <w:vAlign w:val="center"/>
          </w:tcPr>
          <w:p>
            <w:pPr>
              <w:pStyle w:val="20"/>
            </w:pPr>
            <w:r>
              <w:rPr>
                <w:rFonts w:hint="eastAsia" w:eastAsiaTheme="minorEastAsia"/>
                <w:lang w:eastAsia="zh-CN"/>
              </w:rPr>
              <w:t>效果显著</w:t>
            </w:r>
          </w:p>
        </w:tc>
        <w:tc>
          <w:tcPr>
            <w:tcW w:w="2268" w:type="dxa"/>
            <w:vAlign w:val="center"/>
          </w:tcPr>
          <w:p>
            <w:pPr>
              <w:pStyle w:val="20"/>
            </w:pPr>
            <w:r>
              <w:rPr>
                <w:rFonts w:hint="eastAsia" w:eastAsiaTheme="minorEastAsia"/>
                <w:lang w:eastAsia="zh-CN"/>
              </w:rPr>
              <w:t>计划</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优抚对象满意度</w:t>
            </w:r>
          </w:p>
        </w:tc>
        <w:tc>
          <w:tcPr>
            <w:tcW w:w="2835" w:type="dxa"/>
            <w:vAlign w:val="center"/>
          </w:tcPr>
          <w:p>
            <w:pPr>
              <w:pStyle w:val="20"/>
            </w:pPr>
            <w:r>
              <w:t>优抚对象满意度</w:t>
            </w:r>
          </w:p>
        </w:tc>
        <w:tc>
          <w:tcPr>
            <w:tcW w:w="2551" w:type="dxa"/>
            <w:vAlign w:val="center"/>
          </w:tcPr>
          <w:p>
            <w:pPr>
              <w:pStyle w:val="20"/>
            </w:pPr>
            <w:r>
              <w:t>≥90%</w:t>
            </w:r>
          </w:p>
        </w:tc>
        <w:tc>
          <w:tcPr>
            <w:tcW w:w="2268" w:type="dxa"/>
            <w:vAlign w:val="center"/>
          </w:tcPr>
          <w:p>
            <w:pPr>
              <w:pStyle w:val="20"/>
            </w:pPr>
            <w:r>
              <w:rPr>
                <w:rFonts w:hint="eastAsia" w:eastAsiaTheme="minorEastAsia"/>
                <w:lang w:eastAsia="zh-CN"/>
              </w:rPr>
              <w:t>计划</w:t>
            </w:r>
            <w:r>
              <w:t>标准</w:t>
            </w:r>
          </w:p>
        </w:tc>
      </w:tr>
    </w:tbl>
    <w:p>
      <w:pPr>
        <w:pStyle w:val="18"/>
        <w:ind w:firstLine="703" w:firstLineChars="250"/>
      </w:pPr>
      <w:r>
        <w:rPr>
          <w:rFonts w:hint="eastAsia" w:ascii="方正仿宋_GBK" w:hAnsi="方正仿宋_GBK" w:cs="方正仿宋_GBK" w:eastAsiaTheme="minorEastAsia"/>
          <w:b/>
          <w:color w:val="000000"/>
          <w:sz w:val="28"/>
          <w:lang w:eastAsia="zh-CN"/>
        </w:rPr>
        <w:t>3、</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]1</w:t>
      </w:r>
      <w:r>
        <w:rPr>
          <w:rFonts w:hint="eastAsia" w:ascii="方正仿宋_GBK" w:hAnsi="方正仿宋_GBK" w:cs="方正仿宋_GBK" w:eastAsiaTheme="minorEastAsia"/>
          <w:b/>
          <w:color w:val="000000"/>
          <w:sz w:val="28"/>
          <w:lang w:eastAsia="zh-CN"/>
        </w:rPr>
        <w:t>61</w:t>
      </w:r>
      <w:r>
        <w:rPr>
          <w:rFonts w:ascii="方正仿宋_GBK" w:hAnsi="方正仿宋_GBK" w:eastAsia="方正仿宋_GBK" w:cs="方正仿宋_GBK"/>
          <w:b/>
          <w:color w:val="000000"/>
          <w:sz w:val="28"/>
        </w:rPr>
        <w:t>号/</w:t>
      </w:r>
      <w:r>
        <w:rPr>
          <w:rFonts w:hint="eastAsia" w:ascii="方正仿宋_GBK" w:hAnsi="方正仿宋_GBK" w:cs="方正仿宋_GBK" w:eastAsiaTheme="minorEastAsia"/>
          <w:b/>
          <w:color w:val="000000"/>
          <w:sz w:val="28"/>
          <w:lang w:eastAsia="zh-CN"/>
        </w:rPr>
        <w:t>中央</w:t>
      </w:r>
      <w:r>
        <w:rPr>
          <w:rFonts w:ascii="方正仿宋_GBK" w:hAnsi="方正仿宋_GBK" w:eastAsia="方正仿宋_GBK" w:cs="方正仿宋_GBK"/>
          <w:b/>
          <w:color w:val="000000"/>
          <w:sz w:val="28"/>
        </w:rPr>
        <w:t>/军队离退休</w:t>
      </w:r>
      <w:r>
        <w:rPr>
          <w:rFonts w:hint="eastAsia" w:ascii="方正仿宋_GBK" w:hAnsi="方正仿宋_GBK" w:cs="方正仿宋_GBK" w:eastAsiaTheme="minorEastAsia"/>
          <w:b/>
          <w:color w:val="000000"/>
          <w:sz w:val="28"/>
          <w:lang w:eastAsia="zh-CN"/>
        </w:rPr>
        <w:t>人员经费</w:t>
      </w:r>
      <w:r>
        <w:rPr>
          <w:rFonts w:ascii="方正仿宋_GBK" w:hAnsi="方正仿宋_GBK" w:eastAsia="方正仿宋_GBK" w:cs="方正仿宋_GBK"/>
          <w:b/>
          <w:color w:val="000000"/>
          <w:sz w:val="28"/>
        </w:rPr>
        <w:t>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rPr>
                <w:rFonts w:hint="eastAsia" w:eastAsiaTheme="minorEastAsia"/>
                <w:lang w:eastAsia="zh-CN"/>
              </w:rPr>
            </w:pPr>
            <w:r>
              <w:t>1.</w:t>
            </w:r>
            <w:r>
              <w:rPr>
                <w:rFonts w:hint="eastAsia" w:eastAsiaTheme="minorEastAsia"/>
                <w:lang w:eastAsia="zh-CN"/>
              </w:rPr>
              <w:t>足额按时发放军休人员经费及遗属生活补助</w:t>
            </w:r>
          </w:p>
          <w:p>
            <w:pPr>
              <w:pStyle w:val="20"/>
              <w:rPr>
                <w:rFonts w:hint="eastAsia" w:eastAsiaTheme="minorEastAsia"/>
                <w:lang w:eastAsia="zh-CN"/>
              </w:rPr>
            </w:pPr>
            <w:r>
              <w:t>2.</w:t>
            </w:r>
            <w:r>
              <w:rPr>
                <w:rFonts w:hint="eastAsia" w:eastAsiaTheme="minorEastAsia"/>
                <w:lang w:eastAsia="zh-CN"/>
              </w:rPr>
              <w:t>保障机构经费合理使用，有效开展活动，做好军队离退休干部服务管理工作</w:t>
            </w:r>
          </w:p>
          <w:p>
            <w:pPr>
              <w:pStyle w:val="20"/>
              <w:rPr>
                <w:rFonts w:hint="eastAsia" w:eastAsiaTheme="minorEastAsia"/>
                <w:lang w:eastAsia="zh-CN"/>
              </w:rPr>
            </w:pPr>
            <w:r>
              <w:t>3.</w:t>
            </w:r>
            <w:r>
              <w:rPr>
                <w:rFonts w:hint="eastAsia" w:eastAsiaTheme="minorEastAsia"/>
                <w:lang w:eastAsia="zh-CN"/>
              </w:rPr>
              <w:t>解决部分退役士兵社会保险问题，促进社会和谐</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rPr>
                <w:rFonts w:hint="eastAsia" w:eastAsiaTheme="minorEastAsia"/>
                <w:lang w:eastAsia="zh-CN"/>
              </w:rPr>
            </w:pPr>
            <w:r>
              <w:rPr>
                <w:rFonts w:hint="eastAsia" w:eastAsiaTheme="minorEastAsia"/>
                <w:lang w:eastAsia="zh-CN"/>
              </w:rPr>
              <w:t>军队离退休人员数量</w:t>
            </w:r>
          </w:p>
        </w:tc>
        <w:tc>
          <w:tcPr>
            <w:tcW w:w="2835" w:type="dxa"/>
            <w:vAlign w:val="center"/>
          </w:tcPr>
          <w:p>
            <w:pPr>
              <w:pStyle w:val="20"/>
            </w:pPr>
            <w:r>
              <w:rPr>
                <w:rFonts w:hint="eastAsia" w:eastAsiaTheme="minorEastAsia"/>
                <w:lang w:eastAsia="zh-CN"/>
              </w:rPr>
              <w:t>军队离退休人员数量</w:t>
            </w:r>
          </w:p>
        </w:tc>
        <w:tc>
          <w:tcPr>
            <w:tcW w:w="2551" w:type="dxa"/>
            <w:vAlign w:val="center"/>
          </w:tcPr>
          <w:p>
            <w:pPr>
              <w:pStyle w:val="20"/>
            </w:pPr>
            <w:r>
              <w:rPr>
                <w:rFonts w:hint="eastAsia" w:eastAsiaTheme="minorEastAsia"/>
                <w:lang w:eastAsia="zh-CN"/>
              </w:rPr>
              <w:t>7</w:t>
            </w:r>
            <w:r>
              <w:t>人</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35" w:type="dxa"/>
            <w:vAlign w:val="center"/>
          </w:tcPr>
          <w:p>
            <w:pPr>
              <w:pStyle w:val="20"/>
              <w:rPr>
                <w:rFonts w:hint="eastAsia" w:eastAsiaTheme="minorEastAsia"/>
                <w:lang w:eastAsia="zh-CN"/>
              </w:rPr>
            </w:pPr>
            <w:r>
              <w:t>经费</w:t>
            </w:r>
            <w:r>
              <w:rPr>
                <w:rFonts w:hint="eastAsia" w:eastAsiaTheme="minorEastAsia"/>
                <w:lang w:eastAsia="zh-CN"/>
              </w:rPr>
              <w:t>是否</w:t>
            </w:r>
            <w:r>
              <w:t>足额拨付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pPr>
            <w:r>
              <w:rPr>
                <w:rFonts w:hint="eastAsia" w:eastAsiaTheme="minorEastAsia"/>
                <w:lang w:eastAsia="zh-CN"/>
              </w:rPr>
              <w:t>各项补助资金</w:t>
            </w:r>
            <w:r>
              <w:t>拨付及时率</w:t>
            </w:r>
          </w:p>
        </w:tc>
        <w:tc>
          <w:tcPr>
            <w:tcW w:w="2835" w:type="dxa"/>
            <w:vAlign w:val="center"/>
          </w:tcPr>
          <w:p>
            <w:pPr>
              <w:pStyle w:val="20"/>
            </w:pPr>
            <w:r>
              <w:rPr>
                <w:rFonts w:hint="eastAsia" w:eastAsiaTheme="minorEastAsia"/>
                <w:lang w:eastAsia="zh-CN"/>
              </w:rPr>
              <w:t>各项补助资金</w:t>
            </w:r>
            <w:r>
              <w:t>拨付及时率</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rPr>
                <w:rFonts w:hint="eastAsia" w:eastAsiaTheme="minorEastAsia"/>
                <w:lang w:eastAsia="zh-CN"/>
              </w:rPr>
            </w:pPr>
            <w:r>
              <w:t>保证资金</w:t>
            </w:r>
            <w:r>
              <w:rPr>
                <w:rFonts w:hint="eastAsia" w:eastAsiaTheme="minorEastAsia"/>
                <w:lang w:eastAsia="zh-CN"/>
              </w:rPr>
              <w:t>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rPr>
                <w:rFonts w:hint="eastAsia" w:eastAsiaTheme="minorEastAsia"/>
                <w:lang w:eastAsia="zh-CN"/>
              </w:rPr>
            </w:pPr>
            <w:r>
              <w:rPr>
                <w:rFonts w:hint="eastAsia" w:eastAsiaTheme="minorEastAsia"/>
                <w:lang w:eastAsia="zh-CN"/>
              </w:rPr>
              <w:t>社会效益指标</w:t>
            </w:r>
          </w:p>
        </w:tc>
        <w:tc>
          <w:tcPr>
            <w:tcW w:w="2835" w:type="dxa"/>
            <w:vAlign w:val="center"/>
          </w:tcPr>
          <w:p>
            <w:pPr>
              <w:pStyle w:val="20"/>
              <w:rPr>
                <w:rFonts w:hint="eastAsia" w:eastAsiaTheme="minorEastAsia"/>
                <w:lang w:eastAsia="zh-CN"/>
              </w:rPr>
            </w:pPr>
            <w:r>
              <w:rPr>
                <w:rFonts w:hint="eastAsia" w:eastAsiaTheme="minorEastAsia"/>
                <w:lang w:eastAsia="zh-CN"/>
              </w:rPr>
              <w:t>做好退役士兵社会保险补缴</w:t>
            </w:r>
          </w:p>
        </w:tc>
        <w:tc>
          <w:tcPr>
            <w:tcW w:w="2835" w:type="dxa"/>
            <w:vAlign w:val="center"/>
          </w:tcPr>
          <w:p>
            <w:pPr>
              <w:pStyle w:val="20"/>
              <w:rPr>
                <w:rFonts w:hint="eastAsia" w:eastAsiaTheme="minorEastAsia"/>
                <w:lang w:eastAsia="zh-CN"/>
              </w:rPr>
            </w:pPr>
            <w:r>
              <w:rPr>
                <w:rFonts w:hint="eastAsia" w:eastAsiaTheme="minorEastAsia"/>
                <w:lang w:eastAsia="zh-CN"/>
              </w:rPr>
              <w:t>做好退役士兵社会保险补缴，保障退役士兵合法权益</w:t>
            </w:r>
          </w:p>
        </w:tc>
        <w:tc>
          <w:tcPr>
            <w:tcW w:w="2551" w:type="dxa"/>
            <w:vAlign w:val="center"/>
          </w:tcPr>
          <w:p>
            <w:pPr>
              <w:pStyle w:val="20"/>
            </w:pPr>
            <w: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1"/>
            </w:pPr>
          </w:p>
        </w:tc>
        <w:tc>
          <w:tcPr>
            <w:tcW w:w="2268" w:type="dxa"/>
            <w:vAlign w:val="center"/>
          </w:tcPr>
          <w:p>
            <w:pPr>
              <w:pStyle w:val="20"/>
            </w:pPr>
            <w:r>
              <w:t>社会效益指标</w:t>
            </w:r>
          </w:p>
        </w:tc>
        <w:tc>
          <w:tcPr>
            <w:tcW w:w="2835" w:type="dxa"/>
            <w:vAlign w:val="center"/>
          </w:tcPr>
          <w:p>
            <w:pPr>
              <w:pStyle w:val="20"/>
            </w:pPr>
            <w:r>
              <w:t>促进社会和谐</w:t>
            </w:r>
          </w:p>
        </w:tc>
        <w:tc>
          <w:tcPr>
            <w:tcW w:w="2835" w:type="dxa"/>
            <w:vAlign w:val="center"/>
          </w:tcPr>
          <w:p>
            <w:pPr>
              <w:pStyle w:val="20"/>
            </w:pPr>
            <w:r>
              <w:rPr>
                <w:rFonts w:hint="eastAsia" w:eastAsiaTheme="minorEastAsia"/>
                <w:lang w:eastAsia="zh-CN"/>
              </w:rPr>
              <w:t>有效</w:t>
            </w:r>
            <w:r>
              <w:t>促进社会和谐</w:t>
            </w:r>
          </w:p>
        </w:tc>
        <w:tc>
          <w:tcPr>
            <w:tcW w:w="2551" w:type="dxa"/>
            <w:vAlign w:val="center"/>
          </w:tcPr>
          <w:p>
            <w:pPr>
              <w:pStyle w:val="20"/>
            </w:pPr>
            <w: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退役士兵满意度</w:t>
            </w:r>
          </w:p>
        </w:tc>
        <w:tc>
          <w:tcPr>
            <w:tcW w:w="2835" w:type="dxa"/>
            <w:vAlign w:val="center"/>
          </w:tcPr>
          <w:p>
            <w:pPr>
              <w:pStyle w:val="20"/>
            </w:pPr>
            <w:r>
              <w:t>退役士兵满意度</w:t>
            </w:r>
          </w:p>
        </w:tc>
        <w:tc>
          <w:tcPr>
            <w:tcW w:w="2551" w:type="dxa"/>
            <w:vAlign w:val="center"/>
          </w:tcPr>
          <w:p>
            <w:pPr>
              <w:pStyle w:val="20"/>
            </w:pPr>
            <w:r>
              <w:t>≥90%</w:t>
            </w:r>
          </w:p>
        </w:tc>
        <w:tc>
          <w:tcPr>
            <w:tcW w:w="2268" w:type="dxa"/>
            <w:vAlign w:val="center"/>
          </w:tcPr>
          <w:p>
            <w:pPr>
              <w:pStyle w:val="20"/>
            </w:pPr>
            <w:r>
              <w:t>计划标准</w:t>
            </w:r>
          </w:p>
        </w:tc>
      </w:tr>
    </w:tbl>
    <w:p>
      <w:pPr>
        <w:pStyle w:val="18"/>
        <w:ind w:firstLine="560"/>
      </w:pPr>
      <w:r>
        <w:rPr>
          <w:rFonts w:hint="eastAsia" w:ascii="方正仿宋_GBK" w:hAnsi="方正仿宋_GBK" w:cs="方正仿宋_GBK" w:eastAsiaTheme="minorEastAsia"/>
          <w:b/>
          <w:color w:val="000000"/>
          <w:sz w:val="28"/>
          <w:lang w:eastAsia="zh-CN"/>
        </w:rPr>
        <w:t>4、</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]1</w:t>
      </w:r>
      <w:r>
        <w:rPr>
          <w:rFonts w:hint="eastAsia" w:ascii="方正仿宋_GBK" w:hAnsi="方正仿宋_GBK" w:cs="方正仿宋_GBK" w:eastAsiaTheme="minorEastAsia"/>
          <w:b/>
          <w:color w:val="000000"/>
          <w:sz w:val="28"/>
          <w:lang w:eastAsia="zh-CN"/>
        </w:rPr>
        <w:t>89</w:t>
      </w:r>
      <w:r>
        <w:rPr>
          <w:rFonts w:ascii="方正仿宋_GBK" w:hAnsi="方正仿宋_GBK" w:eastAsia="方正仿宋_GBK" w:cs="方正仿宋_GBK"/>
          <w:b/>
          <w:color w:val="000000"/>
          <w:sz w:val="28"/>
        </w:rPr>
        <w:t>号/省级/自主就业一次性补助绩效目标表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pPr>
            <w:r>
              <w:t>1.足额发放退役士兵一次性经济补助</w:t>
            </w:r>
          </w:p>
          <w:p>
            <w:pPr>
              <w:pStyle w:val="20"/>
              <w:rPr>
                <w:rFonts w:hint="eastAsia" w:eastAsiaTheme="minorEastAsia"/>
                <w:lang w:eastAsia="zh-CN"/>
              </w:rPr>
            </w:pPr>
            <w:r>
              <w:t>2.</w:t>
            </w:r>
            <w:r>
              <w:rPr>
                <w:rFonts w:hint="eastAsia" w:eastAsiaTheme="minorEastAsia"/>
                <w:lang w:eastAsia="zh-CN"/>
              </w:rPr>
              <w:t>资金使用及时、合理、有效</w:t>
            </w:r>
          </w:p>
          <w:p>
            <w:pPr>
              <w:pStyle w:val="20"/>
            </w:pPr>
            <w:r>
              <w:t>3.促进社会和谐</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自主就业退役士兵人数</w:t>
            </w:r>
          </w:p>
        </w:tc>
        <w:tc>
          <w:tcPr>
            <w:tcW w:w="2835" w:type="dxa"/>
            <w:vAlign w:val="center"/>
          </w:tcPr>
          <w:p>
            <w:pPr>
              <w:pStyle w:val="20"/>
            </w:pPr>
            <w:r>
              <w:t>自主就业退役士兵人数</w:t>
            </w:r>
          </w:p>
        </w:tc>
        <w:tc>
          <w:tcPr>
            <w:tcW w:w="2551" w:type="dxa"/>
            <w:vAlign w:val="center"/>
          </w:tcPr>
          <w:p>
            <w:pPr>
              <w:pStyle w:val="20"/>
            </w:pPr>
            <w:r>
              <w:rPr>
                <w:rFonts w:hint="eastAsia" w:eastAsiaTheme="minorEastAsia"/>
                <w:lang w:eastAsia="zh-CN"/>
              </w:rPr>
              <w:t>≥80</w:t>
            </w:r>
            <w:r>
              <w:t>人</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35" w:type="dxa"/>
            <w:vAlign w:val="center"/>
          </w:tcPr>
          <w:p>
            <w:pPr>
              <w:pStyle w:val="20"/>
              <w:rPr>
                <w:rFonts w:hint="eastAsia" w:eastAsiaTheme="minorEastAsia"/>
                <w:lang w:eastAsia="zh-CN"/>
              </w:rPr>
            </w:pPr>
            <w:r>
              <w:t>经费</w:t>
            </w:r>
            <w:r>
              <w:rPr>
                <w:rFonts w:hint="eastAsia" w:eastAsiaTheme="minorEastAsia"/>
                <w:lang w:eastAsia="zh-CN"/>
              </w:rPr>
              <w:t>是否</w:t>
            </w:r>
            <w:r>
              <w:t>足额拨付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pPr>
            <w:r>
              <w:rPr>
                <w:rFonts w:hint="eastAsia" w:eastAsiaTheme="minorEastAsia"/>
                <w:lang w:eastAsia="zh-CN"/>
              </w:rPr>
              <w:t>各项补助资金</w:t>
            </w:r>
            <w:r>
              <w:t>拨付及时率</w:t>
            </w:r>
          </w:p>
        </w:tc>
        <w:tc>
          <w:tcPr>
            <w:tcW w:w="2835" w:type="dxa"/>
            <w:vAlign w:val="center"/>
          </w:tcPr>
          <w:p>
            <w:pPr>
              <w:pStyle w:val="20"/>
            </w:pPr>
            <w:r>
              <w:rPr>
                <w:rFonts w:hint="eastAsia" w:eastAsiaTheme="minorEastAsia"/>
                <w:lang w:eastAsia="zh-CN"/>
              </w:rPr>
              <w:t>各项补助资金</w:t>
            </w:r>
            <w:r>
              <w:t>拨付及时率</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rPr>
                <w:rFonts w:hint="eastAsia" w:eastAsiaTheme="minorEastAsia"/>
                <w:lang w:eastAsia="zh-CN"/>
              </w:rPr>
            </w:pPr>
            <w:r>
              <w:t>保证资金</w:t>
            </w:r>
            <w:r>
              <w:rPr>
                <w:rFonts w:hint="eastAsia" w:eastAsiaTheme="minorEastAsia"/>
                <w:lang w:eastAsia="zh-CN"/>
              </w:rPr>
              <w:t>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rPr>
                <w:rFonts w:hint="eastAsia" w:eastAsiaTheme="minorEastAsia"/>
                <w:lang w:eastAsia="zh-CN"/>
              </w:rPr>
            </w:pPr>
            <w:r>
              <w:rPr>
                <w:rFonts w:hint="eastAsia" w:eastAsiaTheme="minorEastAsia"/>
                <w:lang w:eastAsia="zh-CN"/>
              </w:rPr>
              <w:t>退役士兵就业生活得到改善</w:t>
            </w:r>
          </w:p>
        </w:tc>
        <w:tc>
          <w:tcPr>
            <w:tcW w:w="2835" w:type="dxa"/>
            <w:vAlign w:val="center"/>
          </w:tcPr>
          <w:p>
            <w:pPr>
              <w:pStyle w:val="20"/>
            </w:pPr>
            <w:r>
              <w:rPr>
                <w:rFonts w:hint="eastAsia" w:eastAsiaTheme="minorEastAsia"/>
                <w:lang w:eastAsia="zh-CN"/>
              </w:rPr>
              <w:t>退役士兵就业生活得到改善</w:t>
            </w:r>
          </w:p>
        </w:tc>
        <w:tc>
          <w:tcPr>
            <w:tcW w:w="2551" w:type="dxa"/>
            <w:vAlign w:val="center"/>
          </w:tcPr>
          <w:p>
            <w:pPr>
              <w:pStyle w:val="20"/>
            </w:pPr>
            <w: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退役士兵满意度</w:t>
            </w:r>
          </w:p>
        </w:tc>
        <w:tc>
          <w:tcPr>
            <w:tcW w:w="2835" w:type="dxa"/>
            <w:vAlign w:val="center"/>
          </w:tcPr>
          <w:p>
            <w:pPr>
              <w:pStyle w:val="20"/>
            </w:pPr>
            <w:r>
              <w:t>退役士兵满意度</w:t>
            </w:r>
          </w:p>
        </w:tc>
        <w:tc>
          <w:tcPr>
            <w:tcW w:w="2551" w:type="dxa"/>
            <w:vAlign w:val="center"/>
          </w:tcPr>
          <w:p>
            <w:pPr>
              <w:pStyle w:val="20"/>
            </w:pPr>
            <w:r>
              <w:t>≥90%</w:t>
            </w:r>
          </w:p>
        </w:tc>
        <w:tc>
          <w:tcPr>
            <w:tcW w:w="2268" w:type="dxa"/>
            <w:vAlign w:val="center"/>
          </w:tcPr>
          <w:p>
            <w:pPr>
              <w:pStyle w:val="20"/>
            </w:pPr>
            <w:r>
              <w:t>计划标准</w:t>
            </w:r>
          </w:p>
        </w:tc>
      </w:tr>
    </w:tbl>
    <w:p>
      <w:pPr>
        <w:pStyle w:val="18"/>
        <w:ind w:firstLine="703" w:firstLineChars="25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w:t>
      </w:r>
      <w:r>
        <w:rPr>
          <w:rFonts w:hint="eastAsia" w:ascii="方正仿宋_GBK" w:hAnsi="方正仿宋_GBK" w:cs="方正仿宋_GBK" w:eastAsiaTheme="minorEastAsia"/>
          <w:b/>
          <w:color w:val="000000"/>
          <w:sz w:val="28"/>
          <w:lang w:eastAsia="zh-CN"/>
        </w:rPr>
        <w:t>206</w:t>
      </w:r>
      <w:r>
        <w:rPr>
          <w:rFonts w:ascii="方正仿宋_GBK" w:hAnsi="方正仿宋_GBK" w:eastAsia="方正仿宋_GBK" w:cs="方正仿宋_GBK"/>
          <w:b/>
          <w:color w:val="000000"/>
          <w:sz w:val="28"/>
        </w:rPr>
        <w:t>号/省级/义务兵优待金绩效目标表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rPr>
                <w:rFonts w:hint="eastAsia" w:eastAsiaTheme="minorEastAsia"/>
                <w:lang w:eastAsia="zh-CN"/>
              </w:rPr>
            </w:pPr>
            <w:r>
              <w:t>1.</w:t>
            </w:r>
            <w:r>
              <w:rPr>
                <w:rFonts w:hint="eastAsia" w:eastAsiaTheme="minorEastAsia"/>
                <w:lang w:eastAsia="zh-CN"/>
              </w:rPr>
              <w:t>资金使用及时合理、有效</w:t>
            </w:r>
          </w:p>
          <w:p>
            <w:pPr>
              <w:pStyle w:val="20"/>
            </w:pPr>
            <w:r>
              <w:t>2.保障优抚对象生活水平</w:t>
            </w:r>
          </w:p>
          <w:p>
            <w:pPr>
              <w:pStyle w:val="20"/>
              <w:rPr>
                <w:rFonts w:hint="eastAsia" w:eastAsiaTheme="minorEastAsia"/>
                <w:lang w:eastAsia="zh-CN"/>
              </w:rPr>
            </w:pPr>
            <w:r>
              <w:t>3.</w:t>
            </w:r>
            <w:r>
              <w:rPr>
                <w:rFonts w:hint="eastAsia" w:eastAsiaTheme="minorEastAsia"/>
                <w:lang w:eastAsia="zh-CN"/>
              </w:rPr>
              <w:t>落实好义务兵家庭优待问题</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rPr>
                <w:rFonts w:hint="eastAsia" w:eastAsiaTheme="minorEastAsia"/>
                <w:lang w:eastAsia="zh-CN"/>
              </w:rPr>
            </w:pPr>
            <w:r>
              <w:rPr>
                <w:rFonts w:hint="eastAsia" w:eastAsiaTheme="minorEastAsia"/>
                <w:lang w:eastAsia="zh-CN"/>
              </w:rPr>
              <w:t>享受补助人数</w:t>
            </w:r>
          </w:p>
        </w:tc>
        <w:tc>
          <w:tcPr>
            <w:tcW w:w="2835" w:type="dxa"/>
            <w:vAlign w:val="center"/>
          </w:tcPr>
          <w:p>
            <w:pPr>
              <w:pStyle w:val="20"/>
              <w:rPr>
                <w:rFonts w:hint="eastAsia" w:eastAsiaTheme="minorEastAsia"/>
                <w:lang w:eastAsia="zh-CN"/>
              </w:rPr>
            </w:pPr>
            <w:r>
              <w:rPr>
                <w:rFonts w:hint="eastAsia" w:eastAsiaTheme="minorEastAsia"/>
                <w:lang w:eastAsia="zh-CN"/>
              </w:rPr>
              <w:t>享受义务兵优待金补助人数</w:t>
            </w:r>
          </w:p>
        </w:tc>
        <w:tc>
          <w:tcPr>
            <w:tcW w:w="2551" w:type="dxa"/>
            <w:vAlign w:val="center"/>
          </w:tcPr>
          <w:p>
            <w:pPr>
              <w:pStyle w:val="20"/>
              <w:rPr>
                <w:rFonts w:hint="eastAsia" w:eastAsiaTheme="minorEastAsia"/>
                <w:lang w:eastAsia="zh-CN"/>
              </w:rPr>
            </w:pPr>
            <w:r>
              <w:rPr>
                <w:rFonts w:hint="eastAsia" w:eastAsiaTheme="minorEastAsia"/>
                <w:lang w:eastAsia="zh-CN"/>
              </w:rPr>
              <w:t>15人</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35" w:type="dxa"/>
            <w:vAlign w:val="center"/>
          </w:tcPr>
          <w:p>
            <w:pPr>
              <w:pStyle w:val="20"/>
            </w:pPr>
            <w:r>
              <w:t>经费足额拨付率</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pPr>
            <w:r>
              <w:rPr>
                <w:rFonts w:hint="eastAsia" w:eastAsiaTheme="minorEastAsia"/>
                <w:lang w:eastAsia="zh-CN"/>
              </w:rPr>
              <w:t>补助</w:t>
            </w:r>
            <w:r>
              <w:t>资金及时拨付率</w:t>
            </w:r>
          </w:p>
        </w:tc>
        <w:tc>
          <w:tcPr>
            <w:tcW w:w="2835" w:type="dxa"/>
            <w:vAlign w:val="center"/>
          </w:tcPr>
          <w:p>
            <w:pPr>
              <w:pStyle w:val="20"/>
            </w:pPr>
            <w:r>
              <w:rPr>
                <w:rFonts w:hint="eastAsia" w:eastAsiaTheme="minorEastAsia"/>
                <w:lang w:eastAsia="zh-CN"/>
              </w:rPr>
              <w:t>补助</w:t>
            </w:r>
            <w:r>
              <w:t>资金及时拨付率</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rPr>
                <w:rFonts w:hint="eastAsia" w:eastAsiaTheme="minorEastAsia"/>
                <w:lang w:eastAsia="zh-CN"/>
              </w:rPr>
            </w:pPr>
            <w:r>
              <w:t>保证资金</w:t>
            </w:r>
            <w:r>
              <w:rPr>
                <w:rFonts w:hint="eastAsia" w:eastAsiaTheme="minorEastAsia"/>
                <w:lang w:eastAsia="zh-CN"/>
              </w:rPr>
              <w:t>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优抚对象生活</w:t>
            </w:r>
            <w:r>
              <w:rPr>
                <w:rFonts w:hint="eastAsia" w:eastAsiaTheme="minorEastAsia"/>
                <w:lang w:eastAsia="zh-CN"/>
              </w:rPr>
              <w:t>医疗</w:t>
            </w:r>
            <w:r>
              <w:t>改善情况</w:t>
            </w:r>
          </w:p>
        </w:tc>
        <w:tc>
          <w:tcPr>
            <w:tcW w:w="2835" w:type="dxa"/>
            <w:vAlign w:val="center"/>
          </w:tcPr>
          <w:p>
            <w:pPr>
              <w:pStyle w:val="20"/>
            </w:pPr>
            <w:r>
              <w:t>优抚对象生活</w:t>
            </w:r>
            <w:r>
              <w:rPr>
                <w:rFonts w:hint="eastAsia" w:eastAsiaTheme="minorEastAsia"/>
                <w:lang w:eastAsia="zh-CN"/>
              </w:rPr>
              <w:t>医疗</w:t>
            </w:r>
            <w:r>
              <w:t>改善情况</w:t>
            </w:r>
          </w:p>
        </w:tc>
        <w:tc>
          <w:tcPr>
            <w:tcW w:w="2551" w:type="dxa"/>
            <w:vAlign w:val="center"/>
          </w:tcPr>
          <w:p>
            <w:pPr>
              <w:pStyle w:val="20"/>
            </w:pPr>
            <w:r>
              <w:t>有效改善</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优抚对象满意度</w:t>
            </w:r>
          </w:p>
        </w:tc>
        <w:tc>
          <w:tcPr>
            <w:tcW w:w="2835" w:type="dxa"/>
            <w:vAlign w:val="center"/>
          </w:tcPr>
          <w:p>
            <w:pPr>
              <w:pStyle w:val="20"/>
            </w:pPr>
            <w:r>
              <w:t>优抚对象满意度</w:t>
            </w:r>
          </w:p>
        </w:tc>
        <w:tc>
          <w:tcPr>
            <w:tcW w:w="2551" w:type="dxa"/>
            <w:vAlign w:val="center"/>
          </w:tcPr>
          <w:p>
            <w:pPr>
              <w:pStyle w:val="20"/>
            </w:pPr>
            <w:r>
              <w:t>≥90%</w:t>
            </w:r>
          </w:p>
        </w:tc>
        <w:tc>
          <w:tcPr>
            <w:tcW w:w="2268" w:type="dxa"/>
            <w:vAlign w:val="center"/>
          </w:tcPr>
          <w:p>
            <w:pPr>
              <w:pStyle w:val="20"/>
            </w:pPr>
            <w:r>
              <w:t>计划标准</w:t>
            </w:r>
          </w:p>
        </w:tc>
      </w:tr>
    </w:tbl>
    <w:p>
      <w:pPr>
        <w:pStyle w:val="18"/>
        <w:ind w:firstLine="703" w:firstLineChars="25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w:t>
      </w:r>
      <w:r>
        <w:rPr>
          <w:rFonts w:hint="eastAsia" w:ascii="方正仿宋_GBK" w:hAnsi="方正仿宋_GBK" w:cs="方正仿宋_GBK" w:eastAsiaTheme="minorEastAsia"/>
          <w:b/>
          <w:color w:val="000000"/>
          <w:sz w:val="28"/>
          <w:lang w:eastAsia="zh-CN"/>
        </w:rPr>
        <w:t>206</w:t>
      </w:r>
      <w:r>
        <w:rPr>
          <w:rFonts w:ascii="方正仿宋_GBK" w:hAnsi="方正仿宋_GBK" w:eastAsia="方正仿宋_GBK" w:cs="方正仿宋_GBK"/>
          <w:b/>
          <w:color w:val="000000"/>
          <w:sz w:val="28"/>
        </w:rPr>
        <w:t>号/省级/优抚</w:t>
      </w:r>
      <w:r>
        <w:rPr>
          <w:rFonts w:hint="eastAsia" w:ascii="方正仿宋_GBK" w:hAnsi="方正仿宋_GBK" w:cs="方正仿宋_GBK" w:eastAsiaTheme="minorEastAsia"/>
          <w:b/>
          <w:color w:val="000000"/>
          <w:sz w:val="28"/>
          <w:lang w:eastAsia="zh-CN"/>
        </w:rPr>
        <w:t>对象</w:t>
      </w:r>
      <w:r>
        <w:rPr>
          <w:rFonts w:ascii="方正仿宋_GBK" w:hAnsi="方正仿宋_GBK" w:eastAsia="方正仿宋_GBK" w:cs="方正仿宋_GBK"/>
          <w:b/>
          <w:color w:val="000000"/>
          <w:sz w:val="28"/>
        </w:rPr>
        <w:t>医疗</w:t>
      </w:r>
      <w:r>
        <w:rPr>
          <w:rFonts w:hint="eastAsia" w:ascii="方正仿宋_GBK" w:hAnsi="方正仿宋_GBK" w:cs="方正仿宋_GBK" w:eastAsiaTheme="minorEastAsia"/>
          <w:b/>
          <w:color w:val="000000"/>
          <w:sz w:val="28"/>
          <w:lang w:eastAsia="zh-CN"/>
        </w:rPr>
        <w:t>补助</w:t>
      </w:r>
      <w:r>
        <w:rPr>
          <w:rFonts w:ascii="方正仿宋_GBK" w:hAnsi="方正仿宋_GBK" w:eastAsia="方正仿宋_GBK" w:cs="方正仿宋_GBK"/>
          <w:b/>
          <w:color w:val="000000"/>
          <w:sz w:val="28"/>
        </w:rPr>
        <w:t>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rPr>
                <w:rFonts w:hint="eastAsia" w:eastAsiaTheme="minorEastAsia"/>
                <w:lang w:eastAsia="zh-CN"/>
              </w:rPr>
            </w:pPr>
            <w:r>
              <w:t>1.</w:t>
            </w:r>
            <w:r>
              <w:rPr>
                <w:rFonts w:hint="eastAsia" w:eastAsiaTheme="minorEastAsia"/>
                <w:lang w:eastAsia="zh-CN"/>
              </w:rPr>
              <w:t>资金使用及时、合理、有效</w:t>
            </w:r>
          </w:p>
          <w:p>
            <w:pPr>
              <w:pStyle w:val="20"/>
              <w:rPr>
                <w:rFonts w:hint="eastAsia" w:eastAsiaTheme="minorEastAsia"/>
                <w:lang w:eastAsia="zh-CN"/>
              </w:rPr>
            </w:pPr>
            <w:r>
              <w:t>2.</w:t>
            </w:r>
            <w:r>
              <w:rPr>
                <w:rFonts w:hint="eastAsia" w:eastAsiaTheme="minorEastAsia"/>
                <w:lang w:eastAsia="zh-CN"/>
              </w:rPr>
              <w:t>有效改善优抚对象医疗情况</w:t>
            </w:r>
          </w:p>
          <w:p>
            <w:pPr>
              <w:pStyle w:val="20"/>
            </w:pPr>
            <w:r>
              <w:t>3.有效解决优抚对象医疗难问题</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02"/>
        <w:gridCol w:w="2584"/>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02" w:type="dxa"/>
            <w:vAlign w:val="center"/>
          </w:tcPr>
          <w:p>
            <w:pPr>
              <w:pStyle w:val="19"/>
            </w:pPr>
            <w:r>
              <w:t>绩效指标描述</w:t>
            </w:r>
          </w:p>
        </w:tc>
        <w:tc>
          <w:tcPr>
            <w:tcW w:w="2584"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享受</w:t>
            </w:r>
            <w:r>
              <w:rPr>
                <w:rFonts w:hint="eastAsia" w:eastAsiaTheme="minorEastAsia"/>
                <w:lang w:eastAsia="zh-CN"/>
              </w:rPr>
              <w:t>参试人员健康体检</w:t>
            </w:r>
            <w:r>
              <w:t>人数</w:t>
            </w:r>
          </w:p>
        </w:tc>
        <w:tc>
          <w:tcPr>
            <w:tcW w:w="2802" w:type="dxa"/>
            <w:vAlign w:val="center"/>
          </w:tcPr>
          <w:p>
            <w:pPr>
              <w:pStyle w:val="20"/>
            </w:pPr>
            <w:r>
              <w:t>享受</w:t>
            </w:r>
            <w:r>
              <w:rPr>
                <w:rFonts w:hint="eastAsia" w:eastAsiaTheme="minorEastAsia"/>
                <w:lang w:eastAsia="zh-CN"/>
              </w:rPr>
              <w:t>参试人员健康体检</w:t>
            </w:r>
            <w:r>
              <w:t>人数</w:t>
            </w:r>
          </w:p>
        </w:tc>
        <w:tc>
          <w:tcPr>
            <w:tcW w:w="2584" w:type="dxa"/>
            <w:vAlign w:val="center"/>
          </w:tcPr>
          <w:p>
            <w:pPr>
              <w:pStyle w:val="20"/>
            </w:pPr>
            <w:r>
              <w:t>≥</w:t>
            </w:r>
            <w:r>
              <w:rPr>
                <w:rFonts w:hint="eastAsia" w:eastAsiaTheme="minorEastAsia"/>
                <w:lang w:eastAsia="zh-CN"/>
              </w:rPr>
              <w:t>290</w:t>
            </w:r>
            <w:r>
              <w:t>人</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02" w:type="dxa"/>
            <w:vAlign w:val="center"/>
          </w:tcPr>
          <w:p>
            <w:pPr>
              <w:pStyle w:val="20"/>
            </w:pPr>
            <w:r>
              <w:t>经费足额拨付率</w:t>
            </w:r>
          </w:p>
        </w:tc>
        <w:tc>
          <w:tcPr>
            <w:tcW w:w="2584"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rPr>
                <w:rFonts w:hint="eastAsia" w:eastAsiaTheme="minorEastAsia"/>
                <w:lang w:eastAsia="zh-CN"/>
              </w:rPr>
            </w:pPr>
            <w:r>
              <w:rPr>
                <w:rFonts w:hint="eastAsia" w:eastAsiaTheme="minorEastAsia"/>
                <w:lang w:eastAsia="zh-CN"/>
              </w:rPr>
              <w:t>补助资金及时拨付率</w:t>
            </w:r>
          </w:p>
        </w:tc>
        <w:tc>
          <w:tcPr>
            <w:tcW w:w="2802" w:type="dxa"/>
            <w:vAlign w:val="center"/>
          </w:tcPr>
          <w:p>
            <w:pPr>
              <w:pStyle w:val="20"/>
            </w:pPr>
            <w:r>
              <w:rPr>
                <w:rFonts w:hint="eastAsia" w:eastAsiaTheme="minorEastAsia"/>
                <w:lang w:eastAsia="zh-CN"/>
              </w:rPr>
              <w:t>补助资金及时拨付率</w:t>
            </w:r>
          </w:p>
        </w:tc>
        <w:tc>
          <w:tcPr>
            <w:tcW w:w="2584"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02" w:type="dxa"/>
            <w:vAlign w:val="center"/>
          </w:tcPr>
          <w:p>
            <w:pPr>
              <w:pStyle w:val="20"/>
              <w:rPr>
                <w:rFonts w:hint="eastAsia" w:eastAsiaTheme="minorEastAsia"/>
                <w:lang w:eastAsia="zh-CN"/>
              </w:rPr>
            </w:pPr>
            <w:r>
              <w:t>保证资金</w:t>
            </w:r>
            <w:r>
              <w:rPr>
                <w:rFonts w:hint="eastAsia" w:eastAsiaTheme="minorEastAsia"/>
                <w:lang w:eastAsia="zh-CN"/>
              </w:rPr>
              <w:t>拨付</w:t>
            </w:r>
          </w:p>
        </w:tc>
        <w:tc>
          <w:tcPr>
            <w:tcW w:w="2584"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优抚对象医疗改善情况</w:t>
            </w:r>
          </w:p>
        </w:tc>
        <w:tc>
          <w:tcPr>
            <w:tcW w:w="2802" w:type="dxa"/>
            <w:vAlign w:val="center"/>
          </w:tcPr>
          <w:p>
            <w:pPr>
              <w:pStyle w:val="20"/>
            </w:pPr>
            <w:r>
              <w:t>优抚对象医疗改善情况</w:t>
            </w:r>
          </w:p>
        </w:tc>
        <w:tc>
          <w:tcPr>
            <w:tcW w:w="2584" w:type="dxa"/>
            <w:vAlign w:val="center"/>
          </w:tcPr>
          <w:p>
            <w:pPr>
              <w:pStyle w:val="20"/>
            </w:pPr>
            <w:r>
              <w:t>有效改善</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优抚对象满意度</w:t>
            </w:r>
          </w:p>
        </w:tc>
        <w:tc>
          <w:tcPr>
            <w:tcW w:w="2802" w:type="dxa"/>
            <w:vAlign w:val="center"/>
          </w:tcPr>
          <w:p>
            <w:pPr>
              <w:pStyle w:val="20"/>
            </w:pPr>
            <w:r>
              <w:t>优抚对象满意度</w:t>
            </w:r>
          </w:p>
        </w:tc>
        <w:tc>
          <w:tcPr>
            <w:tcW w:w="2584" w:type="dxa"/>
            <w:vAlign w:val="center"/>
          </w:tcPr>
          <w:p>
            <w:pPr>
              <w:pStyle w:val="20"/>
            </w:pPr>
            <w:r>
              <w:t>≥90%</w:t>
            </w:r>
          </w:p>
        </w:tc>
        <w:tc>
          <w:tcPr>
            <w:tcW w:w="2268" w:type="dxa"/>
            <w:vAlign w:val="center"/>
          </w:tcPr>
          <w:p>
            <w:pPr>
              <w:pStyle w:val="20"/>
            </w:pPr>
            <w:r>
              <w:t>计划标准</w:t>
            </w:r>
          </w:p>
        </w:tc>
      </w:tr>
    </w:tbl>
    <w:p>
      <w:pPr>
        <w:pStyle w:val="18"/>
        <w:ind w:firstLine="560"/>
      </w:pPr>
      <w:r>
        <w:rPr>
          <w:rFonts w:hint="eastAsia" w:ascii="方正仿宋_GBK" w:hAnsi="方正仿宋_GBK" w:cs="方正仿宋_GBK" w:eastAsiaTheme="minorEastAsia"/>
          <w:b/>
          <w:color w:val="000000"/>
          <w:sz w:val="28"/>
          <w:lang w:eastAsia="zh-CN"/>
        </w:rPr>
        <w:t>7、</w:t>
      </w:r>
      <w:r>
        <w:rPr>
          <w:rFonts w:ascii="方正仿宋_GBK" w:hAnsi="方正仿宋_GBK" w:eastAsia="方正仿宋_GBK" w:cs="方正仿宋_GBK"/>
          <w:b/>
          <w:color w:val="000000"/>
          <w:sz w:val="28"/>
        </w:rPr>
        <w:t>冀财社[202</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w:t>
      </w:r>
      <w:r>
        <w:rPr>
          <w:rFonts w:hint="eastAsia" w:ascii="方正仿宋_GBK" w:hAnsi="方正仿宋_GBK" w:cs="方正仿宋_GBK" w:eastAsiaTheme="minorEastAsia"/>
          <w:b/>
          <w:color w:val="000000"/>
          <w:sz w:val="28"/>
          <w:lang w:eastAsia="zh-CN"/>
        </w:rPr>
        <w:t>191</w:t>
      </w:r>
      <w:r>
        <w:rPr>
          <w:rFonts w:ascii="方正仿宋_GBK" w:hAnsi="方正仿宋_GBK" w:eastAsia="方正仿宋_GBK" w:cs="方正仿宋_GBK"/>
          <w:b/>
          <w:color w:val="000000"/>
          <w:sz w:val="28"/>
        </w:rPr>
        <w:t>号/省级/企业军转干部解困补助资金绩效目标表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rPr>
                <w:rFonts w:hint="eastAsia" w:eastAsiaTheme="minorEastAsia"/>
                <w:lang w:eastAsia="zh-CN"/>
              </w:rPr>
            </w:pPr>
            <w:r>
              <w:t>1.</w:t>
            </w:r>
            <w:r>
              <w:rPr>
                <w:rFonts w:hint="eastAsia" w:eastAsiaTheme="minorEastAsia"/>
                <w:lang w:eastAsia="zh-CN"/>
              </w:rPr>
              <w:t>保障企业军转干部基本生活</w:t>
            </w:r>
          </w:p>
          <w:p>
            <w:pPr>
              <w:pStyle w:val="20"/>
              <w:rPr>
                <w:rFonts w:hint="eastAsia" w:eastAsiaTheme="minorEastAsia"/>
                <w:lang w:eastAsia="zh-CN"/>
              </w:rPr>
            </w:pPr>
            <w:r>
              <w:t>2.</w:t>
            </w:r>
            <w:r>
              <w:rPr>
                <w:rFonts w:hint="eastAsia" w:eastAsiaTheme="minorEastAsia"/>
                <w:lang w:eastAsia="zh-CN"/>
              </w:rPr>
              <w:t>保证资金使用及时、有效、合理</w:t>
            </w:r>
          </w:p>
          <w:p>
            <w:pPr>
              <w:pStyle w:val="20"/>
              <w:rPr>
                <w:rFonts w:hint="eastAsia" w:eastAsiaTheme="minorEastAsia"/>
                <w:lang w:eastAsia="zh-CN"/>
              </w:rPr>
            </w:pPr>
            <w:r>
              <w:t>3.</w:t>
            </w:r>
            <w:r>
              <w:rPr>
                <w:rFonts w:hint="eastAsia" w:eastAsiaTheme="minorEastAsia"/>
                <w:lang w:eastAsia="zh-CN"/>
              </w:rPr>
              <w:t>企业军转干部生活得到有效改善</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企业军转干部补助资金人数</w:t>
            </w:r>
          </w:p>
        </w:tc>
        <w:tc>
          <w:tcPr>
            <w:tcW w:w="2835" w:type="dxa"/>
            <w:vAlign w:val="center"/>
          </w:tcPr>
          <w:p>
            <w:pPr>
              <w:pStyle w:val="20"/>
            </w:pPr>
            <w:r>
              <w:t>企业军转干部补助资金人数</w:t>
            </w:r>
          </w:p>
        </w:tc>
        <w:tc>
          <w:tcPr>
            <w:tcW w:w="2551" w:type="dxa"/>
            <w:vAlign w:val="center"/>
          </w:tcPr>
          <w:p>
            <w:pPr>
              <w:pStyle w:val="20"/>
            </w:pPr>
            <w:r>
              <w:rPr>
                <w:rFonts w:hint="eastAsia" w:eastAsiaTheme="minorEastAsia"/>
                <w:lang w:eastAsia="zh-CN"/>
              </w:rPr>
              <w:t>42</w:t>
            </w:r>
            <w:r>
              <w:t>人</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rPr>
                <w:rFonts w:hint="eastAsia" w:eastAsiaTheme="minorEastAsia"/>
                <w:lang w:eastAsia="zh-CN"/>
              </w:rPr>
              <w:t>资金使用及时、有效、合理</w:t>
            </w:r>
          </w:p>
        </w:tc>
        <w:tc>
          <w:tcPr>
            <w:tcW w:w="2835" w:type="dxa"/>
            <w:vAlign w:val="center"/>
          </w:tcPr>
          <w:p>
            <w:pPr>
              <w:pStyle w:val="20"/>
            </w:pPr>
            <w:r>
              <w:rPr>
                <w:rFonts w:hint="eastAsia" w:eastAsiaTheme="minorEastAsia"/>
                <w:lang w:eastAsia="zh-CN"/>
              </w:rPr>
              <w:t>解困补助资金使用及时、有效、合理</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pPr>
            <w:r>
              <w:rPr>
                <w:rFonts w:hint="eastAsia" w:eastAsiaTheme="minorEastAsia"/>
                <w:lang w:eastAsia="zh-CN"/>
              </w:rPr>
              <w:t>补助资金及时拨付率</w:t>
            </w:r>
          </w:p>
        </w:tc>
        <w:tc>
          <w:tcPr>
            <w:tcW w:w="2835" w:type="dxa"/>
            <w:vAlign w:val="center"/>
          </w:tcPr>
          <w:p>
            <w:pPr>
              <w:pStyle w:val="20"/>
            </w:pPr>
            <w:r>
              <w:rPr>
                <w:rFonts w:hint="eastAsia" w:eastAsiaTheme="minorEastAsia"/>
                <w:lang w:eastAsia="zh-CN"/>
              </w:rPr>
              <w:t>补助资金及时拨付率</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rPr>
                <w:rFonts w:hint="eastAsia" w:eastAsiaTheme="minorEastAsia"/>
                <w:lang w:eastAsia="zh-CN"/>
              </w:rPr>
            </w:pPr>
            <w:r>
              <w:t>保证资金</w:t>
            </w:r>
            <w:r>
              <w:rPr>
                <w:rFonts w:hint="eastAsia" w:eastAsiaTheme="minorEastAsia"/>
                <w:lang w:eastAsia="zh-CN"/>
              </w:rPr>
              <w:t>拨付</w:t>
            </w:r>
          </w:p>
        </w:tc>
        <w:tc>
          <w:tcPr>
            <w:tcW w:w="2551" w:type="dxa"/>
            <w:vAlign w:val="center"/>
          </w:tcPr>
          <w:p>
            <w:pPr>
              <w:pStyle w:val="20"/>
            </w:pPr>
            <w:r>
              <w:t>100%</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p>
        </w:tc>
        <w:tc>
          <w:tcPr>
            <w:tcW w:w="2268" w:type="dxa"/>
            <w:vAlign w:val="center"/>
          </w:tcPr>
          <w:p>
            <w:pPr>
              <w:pStyle w:val="20"/>
              <w:rPr>
                <w:rFonts w:hint="eastAsia" w:eastAsiaTheme="minorEastAsia"/>
                <w:lang w:eastAsia="zh-CN"/>
              </w:rPr>
            </w:pPr>
            <w:r>
              <w:rPr>
                <w:rFonts w:hint="eastAsia" w:eastAsiaTheme="minorEastAsia"/>
                <w:lang w:eastAsia="zh-CN"/>
              </w:rPr>
              <w:t>生活效益指标</w:t>
            </w:r>
          </w:p>
        </w:tc>
        <w:tc>
          <w:tcPr>
            <w:tcW w:w="2835" w:type="dxa"/>
            <w:vAlign w:val="center"/>
          </w:tcPr>
          <w:p>
            <w:pPr>
              <w:pStyle w:val="20"/>
              <w:rPr>
                <w:rFonts w:hint="eastAsia" w:eastAsiaTheme="minorEastAsia"/>
                <w:lang w:eastAsia="zh-CN"/>
              </w:rPr>
            </w:pPr>
            <w:r>
              <w:rPr>
                <w:rFonts w:hint="eastAsia" w:eastAsiaTheme="minorEastAsia"/>
                <w:lang w:eastAsia="zh-CN"/>
              </w:rPr>
              <w:t>企业军转干部生活得到有效改善</w:t>
            </w:r>
          </w:p>
        </w:tc>
        <w:tc>
          <w:tcPr>
            <w:tcW w:w="2835" w:type="dxa"/>
            <w:vAlign w:val="center"/>
          </w:tcPr>
          <w:p>
            <w:pPr>
              <w:pStyle w:val="20"/>
            </w:pPr>
            <w:r>
              <w:rPr>
                <w:rFonts w:hint="eastAsia" w:eastAsiaTheme="minorEastAsia"/>
                <w:lang w:eastAsia="zh-CN"/>
              </w:rPr>
              <w:t>企业军转干部生活得到有效改善</w:t>
            </w:r>
          </w:p>
        </w:tc>
        <w:tc>
          <w:tcPr>
            <w:tcW w:w="2551" w:type="dxa"/>
            <w:vAlign w:val="center"/>
          </w:tcPr>
          <w:p>
            <w:pPr>
              <w:pStyle w:val="20"/>
            </w:pPr>
            <w: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rPr>
                <w:rFonts w:hint="eastAsia" w:eastAsiaTheme="minorEastAsia"/>
                <w:lang w:eastAsia="zh-CN"/>
              </w:rPr>
            </w:pPr>
            <w:r>
              <w:rPr>
                <w:rFonts w:hint="eastAsia" w:eastAsiaTheme="minorEastAsia"/>
                <w:lang w:eastAsia="zh-CN"/>
              </w:rPr>
              <w:t>促进社会和谐</w:t>
            </w:r>
          </w:p>
        </w:tc>
        <w:tc>
          <w:tcPr>
            <w:tcW w:w="2835" w:type="dxa"/>
            <w:vAlign w:val="center"/>
          </w:tcPr>
          <w:p>
            <w:pPr>
              <w:pStyle w:val="20"/>
              <w:rPr>
                <w:rFonts w:hint="eastAsia" w:eastAsiaTheme="minorEastAsia"/>
                <w:lang w:eastAsia="zh-CN"/>
              </w:rPr>
            </w:pPr>
            <w:r>
              <w:rPr>
                <w:rFonts w:hint="eastAsia" w:eastAsiaTheme="minorEastAsia"/>
                <w:lang w:eastAsia="zh-CN"/>
              </w:rPr>
              <w:t>有效促进社会和谐</w:t>
            </w:r>
          </w:p>
        </w:tc>
        <w:tc>
          <w:tcPr>
            <w:tcW w:w="2551" w:type="dxa"/>
            <w:vAlign w:val="center"/>
          </w:tcPr>
          <w:p>
            <w:pPr>
              <w:pStyle w:val="20"/>
            </w:pPr>
            <w: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企业军转干部</w:t>
            </w:r>
            <w:r>
              <w:rPr>
                <w:rFonts w:hint="eastAsia" w:eastAsiaTheme="minorEastAsia"/>
                <w:lang w:eastAsia="zh-CN"/>
              </w:rPr>
              <w:t>对象</w:t>
            </w:r>
            <w:r>
              <w:t>满意率</w:t>
            </w:r>
          </w:p>
        </w:tc>
        <w:tc>
          <w:tcPr>
            <w:tcW w:w="2835" w:type="dxa"/>
            <w:vAlign w:val="center"/>
          </w:tcPr>
          <w:p>
            <w:pPr>
              <w:pStyle w:val="20"/>
            </w:pPr>
            <w:r>
              <w:t>企业军转干部</w:t>
            </w:r>
            <w:r>
              <w:rPr>
                <w:rFonts w:hint="eastAsia" w:eastAsiaTheme="minorEastAsia"/>
                <w:lang w:eastAsia="zh-CN"/>
              </w:rPr>
              <w:t>对象</w:t>
            </w:r>
            <w:r>
              <w:t>满意率</w:t>
            </w:r>
          </w:p>
        </w:tc>
        <w:tc>
          <w:tcPr>
            <w:tcW w:w="2551" w:type="dxa"/>
            <w:vAlign w:val="center"/>
          </w:tcPr>
          <w:p>
            <w:pPr>
              <w:pStyle w:val="20"/>
            </w:pPr>
            <w:r>
              <w:t>≥9</w:t>
            </w:r>
            <w:r>
              <w:rPr>
                <w:rFonts w:hint="eastAsia" w:eastAsiaTheme="minorEastAsia"/>
                <w:lang w:eastAsia="zh-CN"/>
              </w:rPr>
              <w:t>0</w:t>
            </w:r>
            <w:r>
              <w:t>%</w:t>
            </w:r>
          </w:p>
        </w:tc>
        <w:tc>
          <w:tcPr>
            <w:tcW w:w="2268" w:type="dxa"/>
            <w:vAlign w:val="center"/>
          </w:tcPr>
          <w:p>
            <w:pPr>
              <w:pStyle w:val="20"/>
            </w:pPr>
            <w:r>
              <w:t>计划标准</w:t>
            </w:r>
          </w:p>
        </w:tc>
      </w:tr>
    </w:tbl>
    <w:p>
      <w:pPr>
        <w:pStyle w:val="18"/>
        <w:ind w:firstLine="703" w:firstLineChars="250"/>
        <w:rPr>
          <w:rFonts w:hint="eastAsia" w:ascii="方正仿宋_GBK" w:hAnsi="方正仿宋_GBK" w:cs="方正仿宋_GBK" w:eastAsiaTheme="minorEastAsia"/>
          <w:b/>
          <w:color w:val="000000"/>
          <w:sz w:val="28"/>
          <w:lang w:eastAsia="zh-CN"/>
        </w:rPr>
      </w:pPr>
      <w:r>
        <w:rPr>
          <w:rFonts w:hint="eastAsia" w:ascii="方正仿宋_GBK" w:hAnsi="方正仿宋_GBK" w:cs="方正仿宋_GBK" w:eastAsiaTheme="minorEastAsia"/>
          <w:b/>
          <w:color w:val="000000"/>
          <w:sz w:val="28"/>
          <w:lang w:eastAsia="zh-CN"/>
        </w:rPr>
        <w:t>8、</w:t>
      </w:r>
      <w:r>
        <w:rPr>
          <w:rFonts w:ascii="方正仿宋_GBK" w:hAnsi="方正仿宋_GBK" w:eastAsia="方正仿宋_GBK" w:cs="方正仿宋_GBK"/>
          <w:b/>
          <w:color w:val="000000"/>
          <w:sz w:val="28"/>
        </w:rPr>
        <w:t>门诊补助绩效目标表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00" w:hRule="atLeast"/>
          <w:jc w:val="center"/>
        </w:trPr>
        <w:tc>
          <w:tcPr>
            <w:tcW w:w="1417" w:type="dxa"/>
            <w:tcBorders>
              <w:bottom w:val="single" w:color="FFFFFF" w:sz="6" w:space="0"/>
            </w:tcBorders>
            <w:vAlign w:val="center"/>
          </w:tcPr>
          <w:p>
            <w:pPr>
              <w:pStyle w:val="19"/>
            </w:pPr>
            <w:r>
              <w:t>绩效目标</w:t>
            </w:r>
          </w:p>
        </w:tc>
        <w:tc>
          <w:tcPr>
            <w:tcW w:w="12756" w:type="dxa"/>
            <w:tcBorders>
              <w:bottom w:val="single" w:color="FFFFFF" w:sz="6" w:space="0"/>
            </w:tcBorders>
            <w:vAlign w:val="center"/>
          </w:tcPr>
          <w:p>
            <w:pPr>
              <w:pStyle w:val="20"/>
              <w:rPr>
                <w:rFonts w:hint="eastAsia" w:eastAsiaTheme="minorEastAsia"/>
                <w:lang w:eastAsia="zh-CN"/>
              </w:rPr>
            </w:pPr>
            <w:r>
              <w:t>1.</w:t>
            </w:r>
            <w:r>
              <w:rPr>
                <w:rFonts w:hint="eastAsia" w:eastAsiaTheme="minorEastAsia"/>
                <w:lang w:eastAsia="zh-CN"/>
              </w:rPr>
              <w:t>保证资金使用及时、有效、合理</w:t>
            </w:r>
          </w:p>
          <w:p>
            <w:pPr>
              <w:pStyle w:val="20"/>
              <w:rPr>
                <w:rFonts w:hint="eastAsia" w:eastAsiaTheme="minorEastAsia"/>
                <w:lang w:eastAsia="zh-CN"/>
              </w:rPr>
            </w:pPr>
            <w:r>
              <w:t>2.</w:t>
            </w:r>
            <w:r>
              <w:rPr>
                <w:rFonts w:hint="eastAsia" w:eastAsiaTheme="minorEastAsia"/>
                <w:lang w:eastAsia="zh-CN"/>
              </w:rPr>
              <w:t>确保优抚对象生活得到有效改善</w:t>
            </w:r>
          </w:p>
          <w:p>
            <w:pPr>
              <w:pStyle w:val="20"/>
            </w:pPr>
            <w:r>
              <w:t>3.</w:t>
            </w:r>
            <w:r>
              <w:rPr>
                <w:rFonts w:hint="eastAsia" w:eastAsiaTheme="minorEastAsia"/>
                <w:lang w:eastAsia="zh-CN"/>
              </w:rPr>
              <w:t>保证资金及时拨付</w:t>
            </w:r>
          </w:p>
        </w:tc>
      </w:tr>
    </w:tbl>
    <w:p>
      <w:pPr>
        <w:pStyle w:val="18"/>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t>一级指标</w:t>
            </w:r>
          </w:p>
        </w:tc>
        <w:tc>
          <w:tcPr>
            <w:tcW w:w="2268" w:type="dxa"/>
            <w:vAlign w:val="center"/>
          </w:tcPr>
          <w:p>
            <w:pPr>
              <w:pStyle w:val="19"/>
            </w:pPr>
            <w:r>
              <w:t>二级指标</w:t>
            </w:r>
          </w:p>
        </w:tc>
        <w:tc>
          <w:tcPr>
            <w:tcW w:w="2835" w:type="dxa"/>
            <w:vAlign w:val="center"/>
          </w:tcPr>
          <w:p>
            <w:pPr>
              <w:pStyle w:val="19"/>
            </w:pPr>
            <w:r>
              <w:t>三级指标</w:t>
            </w:r>
          </w:p>
        </w:tc>
        <w:tc>
          <w:tcPr>
            <w:tcW w:w="2835" w:type="dxa"/>
            <w:vAlign w:val="center"/>
          </w:tcPr>
          <w:p>
            <w:pPr>
              <w:pStyle w:val="19"/>
            </w:pPr>
            <w:r>
              <w:t>绩效指标描述</w:t>
            </w:r>
          </w:p>
        </w:tc>
        <w:tc>
          <w:tcPr>
            <w:tcW w:w="2551" w:type="dxa"/>
            <w:vAlign w:val="center"/>
          </w:tcPr>
          <w:p>
            <w:pPr>
              <w:pStyle w:val="19"/>
            </w:pPr>
            <w:r>
              <w:t>指标值</w:t>
            </w:r>
          </w:p>
        </w:tc>
        <w:tc>
          <w:tcPr>
            <w:tcW w:w="2268"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rPr>
                <w:rFonts w:hint="eastAsia" w:eastAsiaTheme="minorEastAsia"/>
                <w:lang w:eastAsia="zh-CN"/>
              </w:rPr>
            </w:pPr>
            <w:r>
              <w:rPr>
                <w:rFonts w:hint="eastAsia" w:eastAsiaTheme="minorEastAsia"/>
                <w:lang w:eastAsia="zh-CN"/>
              </w:rPr>
              <w:t>生活补助足额兑现率（%）</w:t>
            </w:r>
          </w:p>
        </w:tc>
        <w:tc>
          <w:tcPr>
            <w:tcW w:w="2835" w:type="dxa"/>
            <w:vAlign w:val="center"/>
          </w:tcPr>
          <w:p>
            <w:pPr>
              <w:pStyle w:val="20"/>
            </w:pPr>
            <w:r>
              <w:rPr>
                <w:rFonts w:hint="eastAsia" w:eastAsiaTheme="minorEastAsia"/>
                <w:lang w:eastAsia="zh-CN"/>
              </w:rPr>
              <w:t>生活补助足额兑现率（%）</w:t>
            </w:r>
          </w:p>
        </w:tc>
        <w:tc>
          <w:tcPr>
            <w:tcW w:w="2551" w:type="dxa"/>
            <w:vAlign w:val="center"/>
          </w:tcPr>
          <w:p>
            <w:pPr>
              <w:pStyle w:val="20"/>
              <w:rPr>
                <w:rFonts w:hint="eastAsia" w:eastAsiaTheme="minorEastAsia"/>
                <w:lang w:eastAsia="zh-CN"/>
              </w:rPr>
            </w:pPr>
            <w:r>
              <w:t>≥</w:t>
            </w:r>
            <w:r>
              <w:rPr>
                <w:rFonts w:hint="eastAsia" w:eastAsiaTheme="minorEastAsia"/>
                <w:lang w:eastAsia="zh-CN"/>
              </w:rPr>
              <w:t>98%</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质量指标</w:t>
            </w:r>
          </w:p>
        </w:tc>
        <w:tc>
          <w:tcPr>
            <w:tcW w:w="2835" w:type="dxa"/>
            <w:vAlign w:val="center"/>
          </w:tcPr>
          <w:p>
            <w:pPr>
              <w:pStyle w:val="20"/>
            </w:pPr>
            <w:r>
              <w:t>经费足额拨付率</w:t>
            </w:r>
          </w:p>
        </w:tc>
        <w:tc>
          <w:tcPr>
            <w:tcW w:w="2835" w:type="dxa"/>
            <w:vAlign w:val="center"/>
          </w:tcPr>
          <w:p>
            <w:pPr>
              <w:pStyle w:val="20"/>
            </w:pPr>
            <w:r>
              <w:t>经费是否足额拨付</w:t>
            </w:r>
          </w:p>
        </w:tc>
        <w:tc>
          <w:tcPr>
            <w:tcW w:w="2551" w:type="dxa"/>
            <w:vAlign w:val="center"/>
          </w:tcPr>
          <w:p>
            <w:pPr>
              <w:pStyle w:val="20"/>
            </w:pPr>
            <w:r>
              <w:t>100百分之</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时效指标</w:t>
            </w:r>
          </w:p>
        </w:tc>
        <w:tc>
          <w:tcPr>
            <w:tcW w:w="2835" w:type="dxa"/>
            <w:vAlign w:val="center"/>
          </w:tcPr>
          <w:p>
            <w:pPr>
              <w:pStyle w:val="20"/>
            </w:pPr>
            <w:r>
              <w:rPr>
                <w:rFonts w:hint="eastAsia" w:eastAsiaTheme="minorEastAsia"/>
                <w:lang w:eastAsia="zh-CN"/>
              </w:rPr>
              <w:t>各项</w:t>
            </w:r>
            <w:r>
              <w:t>补助资金</w:t>
            </w:r>
            <w:r>
              <w:rPr>
                <w:rFonts w:hint="eastAsia" w:eastAsiaTheme="minorEastAsia"/>
                <w:lang w:eastAsia="zh-CN"/>
              </w:rPr>
              <w:t>拨付</w:t>
            </w:r>
            <w:r>
              <w:t>及时率</w:t>
            </w:r>
          </w:p>
        </w:tc>
        <w:tc>
          <w:tcPr>
            <w:tcW w:w="2835" w:type="dxa"/>
            <w:vAlign w:val="center"/>
          </w:tcPr>
          <w:p>
            <w:pPr>
              <w:pStyle w:val="20"/>
            </w:pPr>
            <w:r>
              <w:t>各项补助资金拨付</w:t>
            </w:r>
            <w:r>
              <w:rPr>
                <w:rFonts w:hint="eastAsia" w:eastAsiaTheme="minorEastAsia"/>
                <w:lang w:eastAsia="zh-CN"/>
              </w:rPr>
              <w:t>及时</w:t>
            </w:r>
            <w:r>
              <w:t>率</w:t>
            </w:r>
          </w:p>
        </w:tc>
        <w:tc>
          <w:tcPr>
            <w:tcW w:w="2551" w:type="dxa"/>
            <w:vAlign w:val="center"/>
          </w:tcPr>
          <w:p>
            <w:pPr>
              <w:pStyle w:val="20"/>
            </w:pPr>
            <w:r>
              <w:rPr>
                <w:rFonts w:hint="eastAsia" w:eastAsiaTheme="minorEastAsia"/>
                <w:lang w:eastAsia="zh-CN"/>
              </w:rPr>
              <w:t>98</w:t>
            </w:r>
            <w:r>
              <w:t>百分之</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8"/>
            </w:pPr>
          </w:p>
        </w:tc>
        <w:tc>
          <w:tcPr>
            <w:tcW w:w="2268" w:type="dxa"/>
            <w:vAlign w:val="center"/>
          </w:tcPr>
          <w:p>
            <w:pPr>
              <w:pStyle w:val="20"/>
            </w:pPr>
            <w:r>
              <w:t>成本指标</w:t>
            </w:r>
          </w:p>
        </w:tc>
        <w:tc>
          <w:tcPr>
            <w:tcW w:w="2835" w:type="dxa"/>
            <w:vAlign w:val="center"/>
          </w:tcPr>
          <w:p>
            <w:pPr>
              <w:pStyle w:val="20"/>
              <w:rPr>
                <w:rFonts w:hint="eastAsia" w:eastAsiaTheme="minorEastAsia"/>
                <w:lang w:eastAsia="zh-CN"/>
              </w:rPr>
            </w:pPr>
            <w:r>
              <w:rPr>
                <w:rFonts w:hint="eastAsia" w:eastAsiaTheme="minorEastAsia"/>
                <w:lang w:eastAsia="zh-CN"/>
              </w:rPr>
              <w:t>资金成本</w:t>
            </w:r>
          </w:p>
        </w:tc>
        <w:tc>
          <w:tcPr>
            <w:tcW w:w="2835" w:type="dxa"/>
            <w:vAlign w:val="center"/>
          </w:tcPr>
          <w:p>
            <w:pPr>
              <w:pStyle w:val="20"/>
              <w:rPr>
                <w:rFonts w:hint="eastAsia" w:eastAsiaTheme="minorEastAsia"/>
                <w:lang w:eastAsia="zh-CN"/>
              </w:rPr>
            </w:pPr>
            <w:r>
              <w:rPr>
                <w:rFonts w:hint="eastAsia" w:eastAsiaTheme="minorEastAsia"/>
                <w:lang w:eastAsia="zh-CN"/>
              </w:rPr>
              <w:t>保证资金拨付</w:t>
            </w:r>
          </w:p>
        </w:tc>
        <w:tc>
          <w:tcPr>
            <w:tcW w:w="2551" w:type="dxa"/>
            <w:vAlign w:val="center"/>
          </w:tcPr>
          <w:p>
            <w:pPr>
              <w:pStyle w:val="20"/>
            </w:pPr>
            <w:r>
              <w:t>100百分之</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优抚对象生活得到有效改善</w:t>
            </w:r>
          </w:p>
        </w:tc>
        <w:tc>
          <w:tcPr>
            <w:tcW w:w="2835" w:type="dxa"/>
            <w:vAlign w:val="center"/>
          </w:tcPr>
          <w:p>
            <w:pPr>
              <w:pStyle w:val="20"/>
            </w:pPr>
            <w:r>
              <w:t>优抚对象生活得到有效改善</w:t>
            </w:r>
          </w:p>
        </w:tc>
        <w:tc>
          <w:tcPr>
            <w:tcW w:w="2551" w:type="dxa"/>
            <w:vAlign w:val="center"/>
          </w:tcPr>
          <w:p>
            <w:pPr>
              <w:pStyle w:val="20"/>
            </w:pPr>
            <w:r>
              <w:t>效果显著</w:t>
            </w:r>
          </w:p>
        </w:tc>
        <w:tc>
          <w:tcPr>
            <w:tcW w:w="2268" w:type="dxa"/>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优抚对象满意度</w:t>
            </w:r>
          </w:p>
        </w:tc>
        <w:tc>
          <w:tcPr>
            <w:tcW w:w="2835" w:type="dxa"/>
            <w:vAlign w:val="center"/>
          </w:tcPr>
          <w:p>
            <w:pPr>
              <w:pStyle w:val="20"/>
            </w:pPr>
            <w:r>
              <w:t>优抚对象满意度</w:t>
            </w:r>
          </w:p>
        </w:tc>
        <w:tc>
          <w:tcPr>
            <w:tcW w:w="2551" w:type="dxa"/>
            <w:vAlign w:val="center"/>
          </w:tcPr>
          <w:p>
            <w:pPr>
              <w:pStyle w:val="20"/>
            </w:pPr>
            <w:r>
              <w:t>≥90百分之</w:t>
            </w:r>
          </w:p>
        </w:tc>
        <w:tc>
          <w:tcPr>
            <w:tcW w:w="2268" w:type="dxa"/>
            <w:vAlign w:val="center"/>
          </w:tcPr>
          <w:p>
            <w:pPr>
              <w:pStyle w:val="20"/>
            </w:pPr>
            <w:r>
              <w:t>计划标准</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spacing w:line="300" w:lineRule="exact"/>
        <w:ind w:firstLine="645"/>
        <w:jc w:val="left"/>
        <w:outlineLvl w:val="0"/>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rPr>
        <w:t>21年，我局安排政府采购预算31万元。具体内容见下表。</w:t>
      </w:r>
    </w:p>
    <w:tbl>
      <w:tblPr>
        <w:tblStyle w:val="7"/>
        <w:tblW w:w="13841" w:type="dxa"/>
        <w:tblInd w:w="-106" w:type="dxa"/>
        <w:tblLayout w:type="fixed"/>
        <w:tblCellMar>
          <w:top w:w="0" w:type="dxa"/>
          <w:left w:w="108" w:type="dxa"/>
          <w:bottom w:w="0" w:type="dxa"/>
          <w:right w:w="108" w:type="dxa"/>
        </w:tblCellMar>
      </w:tblPr>
      <w:tblGrid>
        <w:gridCol w:w="1249"/>
        <w:gridCol w:w="6431"/>
        <w:gridCol w:w="1436"/>
        <w:gridCol w:w="1470"/>
        <w:gridCol w:w="1365"/>
        <w:gridCol w:w="1890"/>
      </w:tblGrid>
      <w:tr>
        <w:tblPrEx>
          <w:tblCellMar>
            <w:top w:w="0" w:type="dxa"/>
            <w:left w:w="108" w:type="dxa"/>
            <w:bottom w:w="0" w:type="dxa"/>
            <w:right w:w="108" w:type="dxa"/>
          </w:tblCellMar>
        </w:tblPrEx>
        <w:trPr>
          <w:trHeight w:val="405" w:hRule="atLeast"/>
        </w:trPr>
        <w:tc>
          <w:tcPr>
            <w:tcW w:w="13841" w:type="dxa"/>
            <w:gridSpan w:val="6"/>
            <w:tcBorders>
              <w:top w:val="nil"/>
              <w:left w:val="nil"/>
              <w:bottom w:val="nil"/>
              <w:right w:val="nil"/>
            </w:tcBorders>
            <w:vAlign w:val="center"/>
          </w:tcPr>
          <w:p>
            <w:pPr>
              <w:widowControl/>
              <w:jc w:val="center"/>
              <w:rPr>
                <w:rFonts w:ascii="仿宋" w:hAnsi="仿宋" w:eastAsia="仿宋" w:cs="Times New Roman"/>
                <w:kern w:val="0"/>
                <w:sz w:val="32"/>
                <w:szCs w:val="32"/>
              </w:rPr>
            </w:pPr>
            <w:r>
              <w:rPr>
                <w:rFonts w:hint="eastAsia" w:ascii="仿宋" w:hAnsi="仿宋" w:eastAsia="仿宋" w:cs="仿宋"/>
                <w:kern w:val="0"/>
                <w:sz w:val="32"/>
                <w:szCs w:val="32"/>
              </w:rPr>
              <w:t>部门政府采购预算</w:t>
            </w:r>
          </w:p>
        </w:tc>
      </w:tr>
      <w:tr>
        <w:tblPrEx>
          <w:tblCellMar>
            <w:top w:w="0" w:type="dxa"/>
            <w:left w:w="108" w:type="dxa"/>
            <w:bottom w:w="0" w:type="dxa"/>
            <w:right w:w="108" w:type="dxa"/>
          </w:tblCellMar>
        </w:tblPrEx>
        <w:trPr>
          <w:trHeight w:val="405" w:hRule="atLeast"/>
        </w:trPr>
        <w:tc>
          <w:tcPr>
            <w:tcW w:w="1249" w:type="dxa"/>
            <w:tcBorders>
              <w:top w:val="nil"/>
              <w:left w:val="nil"/>
              <w:bottom w:val="nil"/>
              <w:right w:val="nil"/>
            </w:tcBorders>
            <w:vAlign w:val="center"/>
          </w:tcPr>
          <w:p>
            <w:pPr>
              <w:widowControl/>
              <w:jc w:val="left"/>
              <w:rPr>
                <w:rFonts w:ascii="仿宋" w:hAnsi="仿宋" w:eastAsia="仿宋" w:cs="Times New Roman"/>
                <w:color w:val="FF0000"/>
                <w:kern w:val="0"/>
                <w:sz w:val="22"/>
                <w:szCs w:val="22"/>
              </w:rPr>
            </w:pPr>
          </w:p>
        </w:tc>
        <w:tc>
          <w:tcPr>
            <w:tcW w:w="6431" w:type="dxa"/>
            <w:tcBorders>
              <w:top w:val="nil"/>
              <w:left w:val="nil"/>
              <w:bottom w:val="nil"/>
              <w:right w:val="nil"/>
            </w:tcBorders>
            <w:vAlign w:val="center"/>
          </w:tcPr>
          <w:p>
            <w:pPr>
              <w:widowControl/>
              <w:jc w:val="left"/>
              <w:rPr>
                <w:rFonts w:ascii="仿宋" w:hAnsi="仿宋" w:eastAsia="仿宋" w:cs="Times New Roman"/>
                <w:kern w:val="0"/>
                <w:sz w:val="20"/>
                <w:szCs w:val="20"/>
              </w:rPr>
            </w:pPr>
          </w:p>
        </w:tc>
        <w:tc>
          <w:tcPr>
            <w:tcW w:w="1436" w:type="dxa"/>
            <w:tcBorders>
              <w:top w:val="nil"/>
              <w:left w:val="nil"/>
              <w:bottom w:val="nil"/>
              <w:right w:val="nil"/>
            </w:tcBorders>
            <w:vAlign w:val="center"/>
          </w:tcPr>
          <w:p>
            <w:pPr>
              <w:widowControl/>
              <w:jc w:val="left"/>
              <w:rPr>
                <w:rFonts w:ascii="仿宋" w:hAnsi="仿宋" w:eastAsia="仿宋" w:cs="Times New Roman"/>
                <w:kern w:val="0"/>
                <w:sz w:val="32"/>
                <w:szCs w:val="32"/>
              </w:rPr>
            </w:pPr>
          </w:p>
        </w:tc>
        <w:tc>
          <w:tcPr>
            <w:tcW w:w="1470" w:type="dxa"/>
            <w:tcBorders>
              <w:top w:val="nil"/>
              <w:left w:val="nil"/>
              <w:bottom w:val="nil"/>
              <w:right w:val="nil"/>
            </w:tcBorders>
            <w:vAlign w:val="center"/>
          </w:tcPr>
          <w:p>
            <w:pPr>
              <w:widowControl/>
              <w:jc w:val="left"/>
              <w:rPr>
                <w:rFonts w:ascii="仿宋" w:hAnsi="仿宋" w:eastAsia="仿宋" w:cs="Times New Roman"/>
                <w:kern w:val="0"/>
                <w:sz w:val="32"/>
                <w:szCs w:val="32"/>
              </w:rPr>
            </w:pPr>
          </w:p>
        </w:tc>
        <w:tc>
          <w:tcPr>
            <w:tcW w:w="1365" w:type="dxa"/>
            <w:tcBorders>
              <w:top w:val="nil"/>
              <w:left w:val="nil"/>
              <w:bottom w:val="nil"/>
              <w:right w:val="nil"/>
            </w:tcBorders>
            <w:vAlign w:val="center"/>
          </w:tcPr>
          <w:p>
            <w:pPr>
              <w:widowControl/>
              <w:jc w:val="left"/>
              <w:rPr>
                <w:rFonts w:ascii="仿宋" w:hAnsi="仿宋" w:eastAsia="仿宋" w:cs="Times New Roman"/>
                <w:kern w:val="0"/>
                <w:sz w:val="32"/>
                <w:szCs w:val="32"/>
              </w:rPr>
            </w:pPr>
          </w:p>
        </w:tc>
        <w:tc>
          <w:tcPr>
            <w:tcW w:w="1890" w:type="dxa"/>
            <w:tcBorders>
              <w:top w:val="nil"/>
              <w:left w:val="nil"/>
              <w:bottom w:val="nil"/>
              <w:right w:val="nil"/>
            </w:tcBorders>
            <w:vAlign w:val="center"/>
          </w:tcPr>
          <w:p>
            <w:pPr>
              <w:widowControl/>
              <w:jc w:val="left"/>
              <w:rPr>
                <w:rFonts w:ascii="仿宋" w:hAnsi="仿宋" w:eastAsia="仿宋" w:cs="Times New Roman"/>
                <w:kern w:val="0"/>
                <w:sz w:val="32"/>
                <w:szCs w:val="32"/>
              </w:rPr>
            </w:pPr>
          </w:p>
        </w:tc>
      </w:tr>
      <w:tr>
        <w:tblPrEx>
          <w:tblCellMar>
            <w:top w:w="0" w:type="dxa"/>
            <w:left w:w="108" w:type="dxa"/>
            <w:bottom w:w="0" w:type="dxa"/>
            <w:right w:w="108" w:type="dxa"/>
          </w:tblCellMar>
        </w:tblPrEx>
        <w:trPr>
          <w:trHeight w:val="300" w:hRule="atLeast"/>
        </w:trPr>
        <w:tc>
          <w:tcPr>
            <w:tcW w:w="7680" w:type="dxa"/>
            <w:gridSpan w:val="2"/>
            <w:tcBorders>
              <w:top w:val="nil"/>
              <w:left w:val="nil"/>
              <w:bottom w:val="nil"/>
              <w:right w:val="nil"/>
            </w:tcBorders>
            <w:vAlign w:val="bottom"/>
          </w:tcPr>
          <w:p>
            <w:pPr>
              <w:widowControl/>
              <w:jc w:val="left"/>
              <w:rPr>
                <w:rFonts w:ascii="仿宋" w:hAnsi="仿宋" w:eastAsia="仿宋" w:cs="Times New Roman"/>
                <w:kern w:val="0"/>
                <w:sz w:val="24"/>
                <w:szCs w:val="24"/>
              </w:rPr>
            </w:pPr>
            <w:r>
              <w:rPr>
                <w:rFonts w:hint="eastAsia" w:ascii="仿宋" w:hAnsi="仿宋" w:eastAsia="仿宋" w:cs="仿宋"/>
                <w:kern w:val="0"/>
                <w:sz w:val="24"/>
                <w:szCs w:val="24"/>
              </w:rPr>
              <w:t>部门编码及名称：</w:t>
            </w:r>
            <w:r>
              <w:rPr>
                <w:rFonts w:ascii="仿宋" w:hAnsi="仿宋" w:eastAsia="仿宋" w:cs="仿宋"/>
                <w:kern w:val="0"/>
                <w:sz w:val="24"/>
                <w:szCs w:val="24"/>
              </w:rPr>
              <w:t>31</w:t>
            </w:r>
            <w:r>
              <w:rPr>
                <w:rFonts w:hint="eastAsia" w:ascii="仿宋" w:hAnsi="仿宋" w:eastAsia="仿宋" w:cs="仿宋"/>
                <w:kern w:val="0"/>
                <w:sz w:val="24"/>
                <w:szCs w:val="24"/>
              </w:rPr>
              <w:t>7隆尧县退役军人事务局</w:t>
            </w:r>
          </w:p>
        </w:tc>
        <w:tc>
          <w:tcPr>
            <w:tcW w:w="1436" w:type="dxa"/>
            <w:tcBorders>
              <w:top w:val="nil"/>
              <w:left w:val="nil"/>
              <w:bottom w:val="nil"/>
              <w:right w:val="nil"/>
            </w:tcBorders>
            <w:vAlign w:val="bottom"/>
          </w:tcPr>
          <w:p>
            <w:pPr>
              <w:widowControl/>
              <w:jc w:val="left"/>
              <w:rPr>
                <w:rFonts w:ascii="仿宋" w:hAnsi="仿宋" w:eastAsia="仿宋" w:cs="Times New Roman"/>
                <w:kern w:val="0"/>
                <w:sz w:val="24"/>
                <w:szCs w:val="24"/>
              </w:rPr>
            </w:pPr>
          </w:p>
        </w:tc>
        <w:tc>
          <w:tcPr>
            <w:tcW w:w="1470" w:type="dxa"/>
            <w:tcBorders>
              <w:top w:val="nil"/>
              <w:left w:val="nil"/>
              <w:bottom w:val="nil"/>
              <w:right w:val="nil"/>
            </w:tcBorders>
            <w:vAlign w:val="bottom"/>
          </w:tcPr>
          <w:p>
            <w:pPr>
              <w:widowControl/>
              <w:jc w:val="left"/>
              <w:rPr>
                <w:rFonts w:ascii="仿宋" w:hAnsi="仿宋" w:eastAsia="仿宋" w:cs="Times New Roman"/>
                <w:kern w:val="0"/>
                <w:sz w:val="24"/>
                <w:szCs w:val="24"/>
              </w:rPr>
            </w:pPr>
          </w:p>
        </w:tc>
        <w:tc>
          <w:tcPr>
            <w:tcW w:w="3255" w:type="dxa"/>
            <w:gridSpan w:val="2"/>
            <w:tcBorders>
              <w:top w:val="nil"/>
              <w:left w:val="nil"/>
              <w:bottom w:val="nil"/>
              <w:right w:val="nil"/>
            </w:tcBorders>
            <w:vAlign w:val="bottom"/>
          </w:tcPr>
          <w:p>
            <w:pPr>
              <w:widowControl/>
              <w:jc w:val="right"/>
              <w:rPr>
                <w:rFonts w:ascii="仿宋" w:hAnsi="仿宋" w:eastAsia="仿宋" w:cs="Times New Roman"/>
                <w:kern w:val="0"/>
                <w:sz w:val="24"/>
                <w:szCs w:val="24"/>
              </w:rPr>
            </w:pPr>
            <w:r>
              <w:rPr>
                <w:rFonts w:hint="eastAsia" w:ascii="仿宋" w:hAnsi="仿宋" w:eastAsia="仿宋" w:cs="仿宋"/>
                <w:kern w:val="0"/>
                <w:sz w:val="24"/>
                <w:szCs w:val="24"/>
              </w:rPr>
              <w:t>单位：万元</w:t>
            </w:r>
          </w:p>
        </w:tc>
      </w:tr>
      <w:tr>
        <w:tblPrEx>
          <w:tblCellMar>
            <w:top w:w="0" w:type="dxa"/>
            <w:left w:w="108" w:type="dxa"/>
            <w:bottom w:w="0" w:type="dxa"/>
            <w:right w:w="108" w:type="dxa"/>
          </w:tblCellMar>
        </w:tblPrEx>
        <w:trPr>
          <w:trHeight w:val="285" w:hRule="atLeast"/>
        </w:trPr>
        <w:tc>
          <w:tcPr>
            <w:tcW w:w="124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采购项目</w:t>
            </w:r>
          </w:p>
        </w:tc>
        <w:tc>
          <w:tcPr>
            <w:tcW w:w="6431"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项目名称</w:t>
            </w:r>
          </w:p>
        </w:tc>
        <w:tc>
          <w:tcPr>
            <w:tcW w:w="143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小</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4725" w:type="dxa"/>
            <w:gridSpan w:val="3"/>
            <w:tcBorders>
              <w:top w:val="single" w:color="auto" w:sz="4" w:space="0"/>
              <w:left w:val="nil"/>
              <w:bottom w:val="single" w:color="auto" w:sz="4" w:space="0"/>
              <w:right w:val="single" w:color="000000"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经费来源</w:t>
            </w:r>
          </w:p>
        </w:tc>
      </w:tr>
      <w:tr>
        <w:tblPrEx>
          <w:tblCellMar>
            <w:top w:w="0" w:type="dxa"/>
            <w:left w:w="108" w:type="dxa"/>
            <w:bottom w:w="0" w:type="dxa"/>
            <w:right w:w="108" w:type="dxa"/>
          </w:tblCellMar>
        </w:tblPrEx>
        <w:trPr>
          <w:trHeight w:val="285" w:hRule="atLeast"/>
        </w:trPr>
        <w:tc>
          <w:tcPr>
            <w:tcW w:w="124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643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143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1470"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日常公用</w:t>
            </w:r>
          </w:p>
        </w:tc>
        <w:tc>
          <w:tcPr>
            <w:tcW w:w="1365"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专项公用</w:t>
            </w:r>
          </w:p>
        </w:tc>
        <w:tc>
          <w:tcPr>
            <w:tcW w:w="1890"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专项项目</w:t>
            </w:r>
          </w:p>
        </w:tc>
      </w:tr>
      <w:tr>
        <w:tblPrEx>
          <w:tblCellMar>
            <w:top w:w="0" w:type="dxa"/>
            <w:left w:w="108" w:type="dxa"/>
            <w:bottom w:w="0" w:type="dxa"/>
            <w:right w:w="108" w:type="dxa"/>
          </w:tblCellMar>
        </w:tblPrEx>
        <w:trPr>
          <w:trHeight w:val="420" w:hRule="atLeast"/>
        </w:trPr>
        <w:tc>
          <w:tcPr>
            <w:tcW w:w="1249" w:type="dxa"/>
            <w:tcBorders>
              <w:top w:val="nil"/>
              <w:left w:val="single" w:color="auto" w:sz="4" w:space="0"/>
              <w:right w:val="single" w:color="auto" w:sz="4" w:space="0"/>
            </w:tcBorders>
            <w:vAlign w:val="bottom"/>
          </w:tcPr>
          <w:p>
            <w:pPr>
              <w:jc w:val="center"/>
              <w:rPr>
                <w:rFonts w:ascii="仿宋" w:hAnsi="仿宋" w:eastAsia="仿宋" w:cs="Times New Roman"/>
                <w:kern w:val="0"/>
                <w:sz w:val="24"/>
                <w:szCs w:val="24"/>
              </w:rPr>
            </w:pPr>
            <w:r>
              <w:rPr>
                <w:rFonts w:hint="eastAsia" w:ascii="仿宋" w:hAnsi="仿宋" w:eastAsia="仿宋" w:cs="仿宋"/>
                <w:kern w:val="0"/>
                <w:sz w:val="24"/>
                <w:szCs w:val="24"/>
              </w:rPr>
              <w:t>货</w:t>
            </w:r>
            <w:r>
              <w:rPr>
                <w:rFonts w:ascii="仿宋" w:hAnsi="仿宋" w:eastAsia="仿宋" w:cs="仿宋"/>
                <w:kern w:val="0"/>
                <w:sz w:val="24"/>
                <w:szCs w:val="24"/>
              </w:rPr>
              <w:t xml:space="preserve"> </w:t>
            </w:r>
            <w:r>
              <w:rPr>
                <w:rFonts w:hint="eastAsia" w:ascii="仿宋" w:hAnsi="仿宋" w:eastAsia="仿宋" w:cs="仿宋"/>
                <w:kern w:val="0"/>
                <w:sz w:val="24"/>
                <w:szCs w:val="24"/>
              </w:rPr>
              <w:t>物</w:t>
            </w:r>
          </w:p>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vAlign w:val="bottom"/>
          </w:tcPr>
          <w:p>
            <w:pPr>
              <w:widowControl/>
              <w:jc w:val="center"/>
              <w:rPr>
                <w:rFonts w:ascii="仿宋" w:hAnsi="仿宋" w:eastAsia="仿宋" w:cs="仿宋"/>
                <w:kern w:val="0"/>
                <w:sz w:val="18"/>
                <w:szCs w:val="18"/>
              </w:rPr>
            </w:pPr>
            <w:r>
              <w:rPr>
                <w:rFonts w:hint="eastAsia" w:ascii="仿宋" w:hAnsi="仿宋" w:eastAsia="仿宋" w:cs="仿宋"/>
                <w:kern w:val="0"/>
                <w:sz w:val="18"/>
                <w:szCs w:val="18"/>
              </w:rPr>
              <w:t>冀财社[2020]161号/中央/军队离退休干部机构经费</w:t>
            </w:r>
          </w:p>
        </w:tc>
        <w:tc>
          <w:tcPr>
            <w:tcW w:w="1436"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hint="eastAsia" w:ascii="仿宋" w:hAnsi="仿宋" w:eastAsia="仿宋" w:cs="仿宋"/>
                <w:b/>
                <w:bCs/>
                <w:kern w:val="0"/>
                <w:sz w:val="22"/>
                <w:szCs w:val="22"/>
              </w:rPr>
              <w:t>0.7</w:t>
            </w:r>
          </w:p>
        </w:tc>
        <w:tc>
          <w:tcPr>
            <w:tcW w:w="1470"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hint="eastAsia" w:ascii="仿宋" w:hAnsi="仿宋" w:eastAsia="仿宋" w:cs="仿宋"/>
                <w:b/>
                <w:bCs/>
                <w:kern w:val="0"/>
                <w:sz w:val="22"/>
                <w:szCs w:val="22"/>
              </w:rPr>
              <w:t>0.7</w:t>
            </w:r>
          </w:p>
        </w:tc>
      </w:tr>
      <w:tr>
        <w:tblPrEx>
          <w:tblCellMar>
            <w:top w:w="0" w:type="dxa"/>
            <w:left w:w="108" w:type="dxa"/>
            <w:bottom w:w="0" w:type="dxa"/>
            <w:right w:w="108" w:type="dxa"/>
          </w:tblCellMar>
        </w:tblPrEx>
        <w:trPr>
          <w:trHeight w:val="557" w:hRule="atLeast"/>
        </w:trPr>
        <w:tc>
          <w:tcPr>
            <w:tcW w:w="1249" w:type="dxa"/>
            <w:tcBorders>
              <w:top w:val="single" w:color="auto" w:sz="4" w:space="0"/>
              <w:left w:val="single" w:color="auto" w:sz="4" w:space="0"/>
              <w:bottom w:val="single" w:color="auto" w:sz="4" w:space="0"/>
              <w:right w:val="single" w:color="auto" w:sz="4" w:space="0"/>
            </w:tcBorders>
            <w:vAlign w:val="bottom"/>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服务</w:t>
            </w:r>
          </w:p>
        </w:tc>
        <w:tc>
          <w:tcPr>
            <w:tcW w:w="6431"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kern w:val="0"/>
                <w:sz w:val="20"/>
                <w:szCs w:val="20"/>
              </w:rPr>
            </w:pPr>
            <w:r>
              <w:rPr>
                <w:rFonts w:hint="eastAsia" w:ascii="仿宋" w:hAnsi="仿宋" w:eastAsia="仿宋" w:cs="Times New Roman"/>
                <w:kern w:val="0"/>
                <w:sz w:val="20"/>
                <w:szCs w:val="20"/>
              </w:rPr>
              <w:t>冀财社[189]号/省级/退役士兵教育技能培训</w:t>
            </w:r>
          </w:p>
        </w:tc>
        <w:tc>
          <w:tcPr>
            <w:tcW w:w="1436"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hint="eastAsia" w:ascii="仿宋" w:hAnsi="仿宋" w:eastAsia="仿宋" w:cs="Times New Roman"/>
                <w:b/>
                <w:bCs/>
                <w:kern w:val="0"/>
                <w:sz w:val="22"/>
                <w:szCs w:val="22"/>
              </w:rPr>
              <w:t>30.3</w:t>
            </w:r>
          </w:p>
        </w:tc>
        <w:tc>
          <w:tcPr>
            <w:tcW w:w="1470"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p>
        </w:tc>
        <w:tc>
          <w:tcPr>
            <w:tcW w:w="1365"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hint="eastAsia" w:ascii="仿宋" w:hAnsi="仿宋" w:eastAsia="仿宋" w:cs="Times New Roman"/>
                <w:b/>
                <w:bCs/>
                <w:kern w:val="0"/>
                <w:sz w:val="22"/>
                <w:szCs w:val="22"/>
              </w:rPr>
              <w:t>30.3</w:t>
            </w:r>
          </w:p>
        </w:tc>
      </w:tr>
      <w:tr>
        <w:tblPrEx>
          <w:tblCellMar>
            <w:top w:w="0" w:type="dxa"/>
            <w:left w:w="108" w:type="dxa"/>
            <w:bottom w:w="0" w:type="dxa"/>
            <w:right w:w="108" w:type="dxa"/>
          </w:tblCellMar>
        </w:tblPrEx>
        <w:trPr>
          <w:trHeight w:val="550" w:hRule="atLeast"/>
        </w:trPr>
        <w:tc>
          <w:tcPr>
            <w:tcW w:w="1249" w:type="dxa"/>
            <w:tcBorders>
              <w:top w:val="single" w:color="auto" w:sz="4" w:space="0"/>
              <w:left w:val="single" w:color="auto" w:sz="4" w:space="0"/>
              <w:bottom w:val="single" w:color="auto" w:sz="4" w:space="0"/>
              <w:right w:val="single" w:color="auto" w:sz="4" w:space="0"/>
            </w:tcBorders>
            <w:vAlign w:val="bottom"/>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总</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kern w:val="0"/>
                <w:sz w:val="20"/>
                <w:szCs w:val="20"/>
              </w:rPr>
            </w:pPr>
            <w:r>
              <w:rPr>
                <w:rFonts w:hint="eastAsia" w:ascii="仿宋" w:hAnsi="仿宋" w:eastAsia="仿宋" w:cs="Times New Roman"/>
                <w:kern w:val="0"/>
                <w:sz w:val="20"/>
                <w:szCs w:val="20"/>
              </w:rPr>
              <w:t>31</w:t>
            </w:r>
          </w:p>
        </w:tc>
        <w:tc>
          <w:tcPr>
            <w:tcW w:w="1436"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hint="eastAsia" w:ascii="仿宋" w:hAnsi="仿宋" w:eastAsia="仿宋" w:cs="Times New Roman"/>
                <w:b/>
                <w:bCs/>
                <w:kern w:val="0"/>
                <w:sz w:val="22"/>
                <w:szCs w:val="22"/>
              </w:rPr>
              <w:t>31</w:t>
            </w:r>
          </w:p>
        </w:tc>
        <w:tc>
          <w:tcPr>
            <w:tcW w:w="1470"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p>
        </w:tc>
        <w:tc>
          <w:tcPr>
            <w:tcW w:w="1365"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vAlign w:val="bottom"/>
          </w:tcPr>
          <w:p>
            <w:pPr>
              <w:widowControl/>
              <w:jc w:val="center"/>
              <w:rPr>
                <w:rFonts w:ascii="仿宋" w:hAnsi="仿宋" w:eastAsia="仿宋" w:cs="Times New Roman"/>
                <w:b/>
                <w:bCs/>
                <w:kern w:val="0"/>
                <w:sz w:val="22"/>
                <w:szCs w:val="22"/>
              </w:rPr>
            </w:pPr>
            <w:r>
              <w:rPr>
                <w:rFonts w:hint="eastAsia" w:ascii="仿宋" w:hAnsi="仿宋" w:eastAsia="仿宋" w:cs="Times New Roman"/>
                <w:b/>
                <w:bCs/>
                <w:kern w:val="0"/>
                <w:sz w:val="22"/>
                <w:szCs w:val="22"/>
              </w:rPr>
              <w:t>31</w:t>
            </w:r>
          </w:p>
        </w:tc>
      </w:tr>
    </w:tbl>
    <w:p>
      <w:pPr>
        <w:autoSpaceDE w:val="0"/>
        <w:autoSpaceDN w:val="0"/>
        <w:adjustRightInd w:val="0"/>
        <w:ind w:firstLine="800" w:firstLineChars="250"/>
        <w:jc w:val="left"/>
        <w:rPr>
          <w:rFonts w:ascii="黑体" w:hAnsi="黑体" w:eastAsia="黑体" w:cs="Times New Roman"/>
          <w:sz w:val="32"/>
          <w:szCs w:val="32"/>
        </w:rPr>
      </w:pPr>
      <w:r>
        <w:rPr>
          <w:rFonts w:hint="eastAsia" w:ascii="黑体" w:hAnsi="黑体" w:eastAsia="黑体" w:cs="黑体"/>
          <w:sz w:val="32"/>
          <w:szCs w:val="32"/>
        </w:rPr>
        <w:t>七、国有资产信息</w:t>
      </w:r>
    </w:p>
    <w:p>
      <w:pPr>
        <w:rPr>
          <w:rFonts w:ascii="仿宋_GB2312" w:hAnsi="仿宋_GB2312" w:eastAsia="仿宋_GB2312" w:cs="Times New Roman"/>
          <w:color w:val="000000"/>
          <w:sz w:val="32"/>
          <w:szCs w:val="32"/>
        </w:rPr>
      </w:pPr>
      <w:r>
        <w:rPr>
          <w:rFonts w:hint="eastAsia" w:ascii="仿宋" w:hAnsi="仿宋" w:eastAsia="仿宋" w:cs="仿宋"/>
          <w:color w:val="000000"/>
          <w:sz w:val="32"/>
          <w:szCs w:val="32"/>
        </w:rPr>
        <w:t>隆尧县退役军人事务局上年末固定资产金额为</w:t>
      </w:r>
      <w:r>
        <w:rPr>
          <w:rFonts w:hint="eastAsia" w:ascii="仿宋" w:hAnsi="仿宋" w:eastAsia="仿宋" w:cs="仿宋"/>
          <w:kern w:val="0"/>
          <w:sz w:val="32"/>
          <w:szCs w:val="32"/>
        </w:rPr>
        <w:t>5万</w:t>
      </w:r>
      <w:r>
        <w:rPr>
          <w:rFonts w:hint="eastAsia" w:ascii="仿宋" w:hAnsi="仿宋" w:eastAsia="仿宋" w:cs="仿宋"/>
          <w:color w:val="000000"/>
          <w:sz w:val="32"/>
          <w:szCs w:val="32"/>
        </w:rPr>
        <w:t>元</w:t>
      </w:r>
      <w:r>
        <w:rPr>
          <w:rFonts w:hint="eastAsia" w:ascii="仿宋_GB2312" w:hAnsi="仿宋_GB2312" w:eastAsia="仿宋_GB2312" w:cs="仿宋_GB2312"/>
          <w:color w:val="000000"/>
          <w:sz w:val="32"/>
          <w:szCs w:val="32"/>
        </w:rPr>
        <w:t>。</w:t>
      </w:r>
    </w:p>
    <w:tbl>
      <w:tblPr>
        <w:tblStyle w:val="7"/>
        <w:tblW w:w="0" w:type="auto"/>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3"/>
        <w:gridCol w:w="2256"/>
        <w:gridCol w:w="2257"/>
        <w:gridCol w:w="4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trPr>
        <w:tc>
          <w:tcPr>
            <w:tcW w:w="13540" w:type="dxa"/>
            <w:gridSpan w:val="4"/>
          </w:tcPr>
          <w:p>
            <w:pPr>
              <w:autoSpaceDE w:val="0"/>
              <w:autoSpaceDN w:val="0"/>
              <w:jc w:val="center"/>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隆尧县退役军人事务局固定资产占用情况表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6769" w:type="dxa"/>
            <w:gridSpan w:val="2"/>
          </w:tcPr>
          <w:p>
            <w:pPr>
              <w:autoSpaceDE w:val="0"/>
              <w:autoSpaceDN w:val="0"/>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编制部门：隆尧县退役军人事务局</w:t>
            </w:r>
          </w:p>
        </w:tc>
        <w:tc>
          <w:tcPr>
            <w:tcW w:w="6771" w:type="dxa"/>
            <w:gridSpan w:val="2"/>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截止时间：</w:t>
            </w:r>
            <w:r>
              <w:rPr>
                <w:rFonts w:ascii="仿宋_GB2312" w:hAnsi="仿宋_GB2312" w:eastAsia="仿宋_GB2312" w:cs="仿宋_GB2312"/>
                <w:color w:val="000000"/>
                <w:sz w:val="24"/>
                <w:szCs w:val="24"/>
              </w:rPr>
              <w:t>20</w:t>
            </w:r>
            <w:r>
              <w:rPr>
                <w:rFonts w:hint="eastAsia" w:ascii="仿宋_GB2312" w:hAnsi="仿宋_GB2312" w:eastAsia="仿宋_GB2312" w:cs="仿宋_GB2312"/>
                <w:color w:val="000000"/>
                <w:sz w:val="24"/>
                <w:szCs w:val="24"/>
              </w:rPr>
              <w:t>20年</w:t>
            </w:r>
            <w:r>
              <w:rPr>
                <w:rFonts w:ascii="仿宋_GB2312" w:hAnsi="仿宋_GB2312" w:eastAsia="仿宋_GB2312" w:cs="仿宋_GB2312"/>
                <w:color w:val="000000"/>
                <w:sz w:val="24"/>
                <w:szCs w:val="24"/>
              </w:rPr>
              <w:t>12</w:t>
            </w:r>
            <w:r>
              <w:rPr>
                <w:rFonts w:hint="eastAsia" w:ascii="仿宋_GB2312" w:hAnsi="仿宋_GB2312" w:eastAsia="仿宋_GB2312" w:cs="仿宋_GB2312"/>
                <w:color w:val="000000"/>
                <w:sz w:val="24"/>
                <w:szCs w:val="24"/>
              </w:rPr>
              <w:t>月</w:t>
            </w:r>
            <w:r>
              <w:rPr>
                <w:rFonts w:ascii="仿宋_GB2312" w:hAnsi="仿宋_GB2312" w:eastAsia="仿宋_GB2312" w:cs="仿宋_GB2312"/>
                <w:color w:val="000000"/>
                <w:sz w:val="24"/>
                <w:szCs w:val="24"/>
              </w:rPr>
              <w:t>31</w:t>
            </w:r>
            <w:r>
              <w:rPr>
                <w:rFonts w:hint="eastAsia" w:ascii="仿宋_GB2312" w:hAnsi="仿宋_GB2312" w:eastAsia="仿宋_GB2312" w:cs="仿宋_GB2312"/>
                <w:color w:val="000000"/>
                <w:sz w:val="24"/>
                <w:szCs w:val="24"/>
              </w:rPr>
              <w:t>日</w:t>
            </w:r>
            <w:r>
              <w:rPr>
                <w:rFonts w:ascii="仿宋_GB2312" w:hAnsi="仿宋_GB2312" w:eastAsia="仿宋_GB2312" w:cs="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项</w:t>
            </w:r>
            <w:r>
              <w:rPr>
                <w:rFonts w:ascii="仿宋_GB2312" w:hAnsi="仿宋_GB2312" w:eastAsia="仿宋_GB2312" w:cs="仿宋_GB2312"/>
                <w:color w:val="000000"/>
                <w:sz w:val="24"/>
                <w:szCs w:val="24"/>
              </w:rPr>
              <w:t xml:space="preserve"> </w:t>
            </w:r>
            <w:r>
              <w:rPr>
                <w:rFonts w:hint="eastAsia" w:ascii="仿宋_GB2312" w:hAnsi="仿宋_GB2312" w:eastAsia="仿宋_GB2312" w:cs="仿宋_GB2312"/>
                <w:color w:val="000000"/>
                <w:sz w:val="24"/>
                <w:szCs w:val="24"/>
              </w:rPr>
              <w:t>目</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数量</w:t>
            </w: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价值（金额单位：万元）</w:t>
            </w:r>
            <w:r>
              <w:rPr>
                <w:rFonts w:ascii="仿宋_GB2312" w:hAnsi="仿宋_GB2312" w:eastAsia="仿宋_GB2312" w:cs="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资产总额</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宋体" w:cs="Times New Roman"/>
                <w:kern w:val="0"/>
                <w:sz w:val="24"/>
                <w:szCs w:val="24"/>
              </w:rPr>
            </w:pPr>
            <w:r>
              <w:rPr>
                <w:rFonts w:hint="eastAsia" w:ascii="宋体" w:cs="Times New Roman"/>
                <w:kern w:val="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1</w:t>
            </w:r>
            <w:r>
              <w:rPr>
                <w:rFonts w:hint="eastAsia" w:ascii="仿宋_GB2312" w:hAnsi="仿宋_GB2312" w:eastAsia="仿宋_GB2312" w:cs="仿宋_GB2312"/>
                <w:color w:val="000000"/>
                <w:sz w:val="24"/>
                <w:szCs w:val="24"/>
              </w:rPr>
              <w:t>、房屋（平方米）</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Times New Roman"/>
                <w:color w:val="000000"/>
                <w:sz w:val="24"/>
                <w:szCs w:val="24"/>
              </w:rPr>
            </w:pPr>
          </w:p>
        </w:tc>
        <w:tc>
          <w:tcPr>
            <w:tcW w:w="4514" w:type="dxa"/>
          </w:tcPr>
          <w:p>
            <w:pPr>
              <w:autoSpaceDE w:val="0"/>
              <w:autoSpaceDN w:val="0"/>
              <w:rPr>
                <w:rFonts w:ascii="仿宋_GB2312" w:hAnsi="仿宋_GB2312" w:eastAsia="仿宋_GB2312"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其中：办公用房（平方米）</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p>
        </w:tc>
        <w:tc>
          <w:tcPr>
            <w:tcW w:w="4514" w:type="dxa"/>
          </w:tcPr>
          <w:p>
            <w:pPr>
              <w:autoSpaceDE w:val="0"/>
              <w:autoSpaceDN w:val="0"/>
              <w:rPr>
                <w:rFonts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rPr>
              <w:t>、车辆（台、辆）</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1</w:t>
            </w:r>
          </w:p>
        </w:tc>
        <w:tc>
          <w:tcPr>
            <w:tcW w:w="4514" w:type="dxa"/>
          </w:tcPr>
          <w:p>
            <w:pPr>
              <w:autoSpaceDE w:val="0"/>
              <w:autoSpaceDN w:val="0"/>
              <w:rPr>
                <w:rFonts w:ascii="仿宋_GB2312" w:hAnsi="仿宋_GB2312" w:eastAsia="仿宋_GB2312" w:cs="Times New Roman"/>
                <w:color w:val="000000"/>
                <w:sz w:val="24"/>
                <w:szCs w:val="24"/>
              </w:rPr>
            </w:pPr>
            <w:r>
              <w:rPr>
                <w:rFonts w:hint="eastAsia" w:ascii="仿宋_GB2312" w:hAnsi="仿宋_GB2312" w:eastAsia="仿宋_GB2312" w:cs="Times New Roman"/>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3</w:t>
            </w:r>
            <w:r>
              <w:rPr>
                <w:rFonts w:hint="eastAsia" w:ascii="仿宋_GB2312" w:hAnsi="仿宋_GB2312" w:eastAsia="仿宋_GB2312" w:cs="仿宋_GB2312"/>
                <w:color w:val="000000"/>
                <w:sz w:val="24"/>
                <w:szCs w:val="24"/>
              </w:rPr>
              <w:t>、其他设备</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4</w:t>
            </w:r>
            <w:r>
              <w:rPr>
                <w:rFonts w:hint="eastAsia" w:ascii="仿宋_GB2312" w:hAnsi="仿宋_GB2312" w:eastAsia="仿宋_GB2312" w:cs="仿宋_GB2312"/>
                <w:color w:val="000000"/>
                <w:sz w:val="24"/>
                <w:szCs w:val="24"/>
              </w:rPr>
              <w:t>、其他固定资产</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宋体" w:cs="Times New Roman"/>
                <w:kern w:val="0"/>
                <w:sz w:val="24"/>
                <w:szCs w:val="24"/>
              </w:rPr>
            </w:pPr>
          </w:p>
        </w:tc>
      </w:tr>
    </w:tbl>
    <w:p>
      <w:pPr>
        <w:autoSpaceDE w:val="0"/>
        <w:autoSpaceDN w:val="0"/>
        <w:adjustRightInd w:val="0"/>
        <w:ind w:firstLine="640" w:firstLineChars="200"/>
        <w:jc w:val="left"/>
        <w:rPr>
          <w:rFonts w:ascii="黑体" w:hAnsi="黑体" w:eastAsia="黑体" w:cs="黑体"/>
          <w:sz w:val="32"/>
          <w:szCs w:val="32"/>
        </w:rPr>
      </w:pPr>
    </w:p>
    <w:p>
      <w:pPr>
        <w:autoSpaceDE w:val="0"/>
        <w:autoSpaceDN w:val="0"/>
        <w:adjustRightInd w:val="0"/>
        <w:ind w:firstLine="640" w:firstLineChars="200"/>
        <w:jc w:val="left"/>
        <w:rPr>
          <w:rFonts w:ascii="黑体" w:hAnsi="黑体" w:eastAsia="黑体" w:cs="黑体"/>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黑体" w:hAnsi="黑体" w:eastAsia="黑体" w:cs="Times New Roman"/>
          <w:b/>
          <w:bCs/>
          <w:sz w:val="32"/>
          <w:szCs w:val="32"/>
        </w:rPr>
      </w:pPr>
      <w:r>
        <w:rPr>
          <w:rFonts w:hint="eastAsia" w:ascii="黑体" w:hAnsi="黑体" w:eastAsia="黑体"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宋体-方正超大字符集">
    <w:altName w:val="手写字体"/>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embedSystemFonts/>
  <w:bordersDoNotSurroundHeader w:val="1"/>
  <w:bordersDoNotSurroundFooter w:val="1"/>
  <w:documentProtection w:enforcement="0"/>
  <w:defaultTabStop w:val="420"/>
  <w:doNotHyphenateCaps/>
  <w:drawingGridHorizontalSpacing w:val="105"/>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2"/>
  </w:compat>
  <w:docVars>
    <w:docVar w:name="commondata" w:val="eyJoZGlkIjoiMDAyYmRlYmIwNmZlYTBiYjcwODc1MmNjMTk4M2YzNjgifQ=="/>
  </w:docVars>
  <w:rsids>
    <w:rsidRoot w:val="00C67CC4"/>
    <w:rsid w:val="0000235E"/>
    <w:rsid w:val="00012F71"/>
    <w:rsid w:val="00033A39"/>
    <w:rsid w:val="000877C0"/>
    <w:rsid w:val="000A0445"/>
    <w:rsid w:val="000B27F4"/>
    <w:rsid w:val="000C0747"/>
    <w:rsid w:val="0012388B"/>
    <w:rsid w:val="00181AD6"/>
    <w:rsid w:val="001A3E6B"/>
    <w:rsid w:val="001E5A8E"/>
    <w:rsid w:val="001F7487"/>
    <w:rsid w:val="00205ED9"/>
    <w:rsid w:val="002070B7"/>
    <w:rsid w:val="00237AF3"/>
    <w:rsid w:val="00261AE7"/>
    <w:rsid w:val="002C2B18"/>
    <w:rsid w:val="003A4FB0"/>
    <w:rsid w:val="003A65C5"/>
    <w:rsid w:val="003B67E6"/>
    <w:rsid w:val="003D255C"/>
    <w:rsid w:val="003E27E9"/>
    <w:rsid w:val="003F12B9"/>
    <w:rsid w:val="003F4292"/>
    <w:rsid w:val="00416F35"/>
    <w:rsid w:val="004237CB"/>
    <w:rsid w:val="00424771"/>
    <w:rsid w:val="00446755"/>
    <w:rsid w:val="00453AF2"/>
    <w:rsid w:val="004627F9"/>
    <w:rsid w:val="0046545D"/>
    <w:rsid w:val="004B5A08"/>
    <w:rsid w:val="004C07BF"/>
    <w:rsid w:val="004D10A0"/>
    <w:rsid w:val="004E5C4D"/>
    <w:rsid w:val="00510A95"/>
    <w:rsid w:val="00522FE9"/>
    <w:rsid w:val="005437FB"/>
    <w:rsid w:val="0054478B"/>
    <w:rsid w:val="00551B61"/>
    <w:rsid w:val="00557DF8"/>
    <w:rsid w:val="00567A51"/>
    <w:rsid w:val="005712FF"/>
    <w:rsid w:val="00596567"/>
    <w:rsid w:val="005A3B52"/>
    <w:rsid w:val="005B5185"/>
    <w:rsid w:val="005D6882"/>
    <w:rsid w:val="006242EE"/>
    <w:rsid w:val="006948B0"/>
    <w:rsid w:val="006B2585"/>
    <w:rsid w:val="006C576B"/>
    <w:rsid w:val="0074741D"/>
    <w:rsid w:val="0074770E"/>
    <w:rsid w:val="00757B12"/>
    <w:rsid w:val="0077627E"/>
    <w:rsid w:val="00783837"/>
    <w:rsid w:val="007848A5"/>
    <w:rsid w:val="007941F0"/>
    <w:rsid w:val="007A7C7F"/>
    <w:rsid w:val="007C6D59"/>
    <w:rsid w:val="007D597F"/>
    <w:rsid w:val="007D681D"/>
    <w:rsid w:val="007E6C03"/>
    <w:rsid w:val="007F1CCB"/>
    <w:rsid w:val="007F41D7"/>
    <w:rsid w:val="007F7872"/>
    <w:rsid w:val="00836BD6"/>
    <w:rsid w:val="008545CB"/>
    <w:rsid w:val="00864048"/>
    <w:rsid w:val="00877B1D"/>
    <w:rsid w:val="008C44C1"/>
    <w:rsid w:val="008F4A00"/>
    <w:rsid w:val="009023DB"/>
    <w:rsid w:val="00905F2B"/>
    <w:rsid w:val="00937D88"/>
    <w:rsid w:val="00980D23"/>
    <w:rsid w:val="00982027"/>
    <w:rsid w:val="00987417"/>
    <w:rsid w:val="009919D2"/>
    <w:rsid w:val="009C4EDC"/>
    <w:rsid w:val="009C62FD"/>
    <w:rsid w:val="009C6785"/>
    <w:rsid w:val="00A00620"/>
    <w:rsid w:val="00A03F72"/>
    <w:rsid w:val="00A323A3"/>
    <w:rsid w:val="00A5050A"/>
    <w:rsid w:val="00A5144A"/>
    <w:rsid w:val="00A53FA5"/>
    <w:rsid w:val="00A771EF"/>
    <w:rsid w:val="00A871D4"/>
    <w:rsid w:val="00AE60E7"/>
    <w:rsid w:val="00B02FE3"/>
    <w:rsid w:val="00B07D33"/>
    <w:rsid w:val="00B47E04"/>
    <w:rsid w:val="00B50760"/>
    <w:rsid w:val="00B60A90"/>
    <w:rsid w:val="00B65A01"/>
    <w:rsid w:val="00B8783D"/>
    <w:rsid w:val="00BE308C"/>
    <w:rsid w:val="00BF613B"/>
    <w:rsid w:val="00C206B9"/>
    <w:rsid w:val="00C2507C"/>
    <w:rsid w:val="00C40AA4"/>
    <w:rsid w:val="00C425C4"/>
    <w:rsid w:val="00C45C57"/>
    <w:rsid w:val="00C566ED"/>
    <w:rsid w:val="00C57D39"/>
    <w:rsid w:val="00C65BB3"/>
    <w:rsid w:val="00C67CC4"/>
    <w:rsid w:val="00CA2EEA"/>
    <w:rsid w:val="00CA73AE"/>
    <w:rsid w:val="00CD0D42"/>
    <w:rsid w:val="00CD1E73"/>
    <w:rsid w:val="00CD2429"/>
    <w:rsid w:val="00CD416B"/>
    <w:rsid w:val="00CD4E05"/>
    <w:rsid w:val="00CE2006"/>
    <w:rsid w:val="00CE637D"/>
    <w:rsid w:val="00CF0259"/>
    <w:rsid w:val="00CF30C6"/>
    <w:rsid w:val="00D0068F"/>
    <w:rsid w:val="00D323D2"/>
    <w:rsid w:val="00D36904"/>
    <w:rsid w:val="00D57A0F"/>
    <w:rsid w:val="00D620EF"/>
    <w:rsid w:val="00D66EC8"/>
    <w:rsid w:val="00DA3B03"/>
    <w:rsid w:val="00DF2F7A"/>
    <w:rsid w:val="00E30CCA"/>
    <w:rsid w:val="00E32FFF"/>
    <w:rsid w:val="00E40D9D"/>
    <w:rsid w:val="00E47DB5"/>
    <w:rsid w:val="00E73D17"/>
    <w:rsid w:val="00E9559B"/>
    <w:rsid w:val="00EC3709"/>
    <w:rsid w:val="00EE0AD9"/>
    <w:rsid w:val="00EE55D4"/>
    <w:rsid w:val="00F15ACC"/>
    <w:rsid w:val="00F711E8"/>
    <w:rsid w:val="00F73D27"/>
    <w:rsid w:val="00F76555"/>
    <w:rsid w:val="00F918F6"/>
    <w:rsid w:val="00F94A27"/>
    <w:rsid w:val="00FC760D"/>
    <w:rsid w:val="00FE1963"/>
    <w:rsid w:val="02D17B65"/>
    <w:rsid w:val="05704978"/>
    <w:rsid w:val="05D469FB"/>
    <w:rsid w:val="07302A71"/>
    <w:rsid w:val="0A596219"/>
    <w:rsid w:val="183029A8"/>
    <w:rsid w:val="1CBD7B2E"/>
    <w:rsid w:val="1D036806"/>
    <w:rsid w:val="3FBB0422"/>
    <w:rsid w:val="41872004"/>
    <w:rsid w:val="433075B5"/>
    <w:rsid w:val="505D2821"/>
    <w:rsid w:val="52214A5D"/>
    <w:rsid w:val="529D7A2C"/>
    <w:rsid w:val="5FD255E8"/>
    <w:rsid w:val="63343386"/>
    <w:rsid w:val="640139AF"/>
    <w:rsid w:val="69D16911"/>
    <w:rsid w:val="6A457A37"/>
    <w:rsid w:val="6BFF7765"/>
    <w:rsid w:val="6F723A3E"/>
    <w:rsid w:val="6FEB6D2B"/>
    <w:rsid w:val="72ED47BB"/>
    <w:rsid w:val="77C628EF"/>
    <w:rsid w:val="7DFD265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2"/>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basedOn w:val="8"/>
    <w:semiHidden/>
    <w:uiPriority w:val="99"/>
    <w:rPr>
      <w:vertAlign w:val="superscript"/>
    </w:rPr>
  </w:style>
  <w:style w:type="character" w:customStyle="1" w:styleId="10">
    <w:name w:val="页脚 Char"/>
    <w:basedOn w:val="8"/>
    <w:link w:val="2"/>
    <w:semiHidden/>
    <w:locked/>
    <w:uiPriority w:val="99"/>
    <w:rPr>
      <w:rFonts w:ascii="Times New Roman" w:hAnsi="Times New Roman" w:eastAsia="宋体" w:cs="Times New Roman"/>
      <w:sz w:val="18"/>
      <w:szCs w:val="18"/>
    </w:rPr>
  </w:style>
  <w:style w:type="character" w:customStyle="1" w:styleId="11">
    <w:name w:val="页眉 Char"/>
    <w:basedOn w:val="8"/>
    <w:link w:val="3"/>
    <w:semiHidden/>
    <w:qFormat/>
    <w:locked/>
    <w:uiPriority w:val="99"/>
    <w:rPr>
      <w:rFonts w:ascii="Times New Roman" w:hAnsi="Times New Roman" w:eastAsia="宋体" w:cs="Times New Roman"/>
      <w:sz w:val="18"/>
      <w:szCs w:val="18"/>
    </w:rPr>
  </w:style>
  <w:style w:type="character" w:customStyle="1" w:styleId="12">
    <w:name w:val="脚注文本 Char"/>
    <w:basedOn w:val="8"/>
    <w:link w:val="5"/>
    <w:semiHidden/>
    <w:qFormat/>
    <w:locked/>
    <w:uiPriority w:val="99"/>
    <w:rPr>
      <w:rFonts w:ascii="Calibri" w:hAnsi="Calibri" w:cs="Calibri"/>
      <w:sz w:val="18"/>
      <w:szCs w:val="18"/>
    </w:rPr>
  </w:style>
  <w:style w:type="paragraph" w:customStyle="1" w:styleId="13">
    <w:name w:val="Char"/>
    <w:basedOn w:val="1"/>
    <w:uiPriority w:val="99"/>
    <w:rPr>
      <w:rFonts w:ascii="Times New Roman" w:hAnsi="Times New Roman" w:cs="Times New Roman"/>
    </w:rPr>
  </w:style>
  <w:style w:type="paragraph" w:customStyle="1" w:styleId="14">
    <w:name w:val="[Normal]"/>
    <w:qFormat/>
    <w:uiPriority w:val="99"/>
    <w:rPr>
      <w:rFonts w:ascii="宋体" w:hAnsi="宋体" w:eastAsia="宋体" w:cs="Times New Roman"/>
      <w:sz w:val="24"/>
      <w:lang w:val="en-US" w:eastAsia="en-US" w:bidi="ar-SA"/>
    </w:rPr>
  </w:style>
  <w:style w:type="paragraph" w:customStyle="1" w:styleId="15">
    <w:name w:val="普通(网站)1"/>
    <w:basedOn w:val="1"/>
    <w:qFormat/>
    <w:uiPriority w:val="0"/>
    <w:pPr>
      <w:widowControl/>
      <w:spacing w:before="100" w:after="100"/>
      <w:jc w:val="left"/>
    </w:pPr>
    <w:rPr>
      <w:rFonts w:ascii="宋体" w:hAnsi="宋体" w:cs="Times New Roman"/>
      <w:kern w:val="0"/>
      <w:sz w:val="24"/>
      <w:szCs w:val="20"/>
      <w:lang w:eastAsia="en-US"/>
    </w:rPr>
  </w:style>
  <w:style w:type="character" w:customStyle="1" w:styleId="16">
    <w:name w:val="要点1"/>
    <w:basedOn w:val="8"/>
    <w:qFormat/>
    <w:uiPriority w:val="0"/>
    <w:rPr>
      <w:b/>
    </w:rPr>
  </w:style>
  <w:style w:type="paragraph" w:customStyle="1" w:styleId="17">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8">
    <w:name w:val="Normal_4ea2675e-33b9-4950-a202-2731ee929ac5"/>
    <w:qFormat/>
    <w:uiPriority w:val="0"/>
    <w:rPr>
      <w:rFonts w:ascii="Times New Roman" w:hAnsi="Times New Roman" w:eastAsia="Times New Roman" w:cs="Times New Roman"/>
      <w:sz w:val="24"/>
      <w:szCs w:val="24"/>
      <w:lang w:val="en-US" w:eastAsia="uk-UA" w:bidi="ar-SA"/>
    </w:rPr>
  </w:style>
  <w:style w:type="paragraph" w:customStyle="1" w:styleId="19">
    <w:name w:val="单元格样式1_f302da1a-e413-4e9a-a92b-eb80fa8f1b44"/>
    <w:basedOn w:val="1"/>
    <w:qFormat/>
    <w:uiPriority w:val="0"/>
    <w:pPr>
      <w:widowControl/>
      <w:jc w:val="center"/>
    </w:pPr>
    <w:rPr>
      <w:rFonts w:ascii="方正书宋_GBK" w:hAnsi="方正书宋_GBK" w:eastAsia="方正书宋_GBK" w:cs="方正书宋_GBK"/>
      <w:b/>
      <w:kern w:val="0"/>
      <w:szCs w:val="24"/>
      <w:lang w:eastAsia="uk-UA"/>
    </w:rPr>
  </w:style>
  <w:style w:type="paragraph" w:customStyle="1" w:styleId="20">
    <w:name w:val="单元格样式2_5fcc49b2-ff37-42bf-ba27-35c51755ebd3"/>
    <w:basedOn w:val="1"/>
    <w:qFormat/>
    <w:uiPriority w:val="0"/>
    <w:pPr>
      <w:widowControl/>
      <w:jc w:val="left"/>
    </w:pPr>
    <w:rPr>
      <w:rFonts w:ascii="方正书宋_GBK" w:hAnsi="方正书宋_GBK" w:eastAsia="方正书宋_GBK" w:cs="方正书宋_GBK"/>
      <w:kern w:val="0"/>
      <w:szCs w:val="24"/>
      <w:lang w:eastAsia="uk-UA"/>
    </w:rPr>
  </w:style>
  <w:style w:type="paragraph" w:customStyle="1" w:styleId="21">
    <w:name w:val="单元格样式3_2595b2c5-45ca-4726-8c2e-230993752536"/>
    <w:basedOn w:val="1"/>
    <w:qFormat/>
    <w:uiPriority w:val="0"/>
    <w:pPr>
      <w:widowControl/>
      <w:jc w:val="center"/>
    </w:pPr>
    <w:rPr>
      <w:rFonts w:ascii="方正书宋_GBK" w:hAnsi="方正书宋_GBK" w:eastAsia="方正书宋_GBK" w:cs="方正书宋_GBK"/>
      <w:kern w:val="0"/>
      <w:szCs w:val="24"/>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19</Pages>
  <Words>7637</Words>
  <Characters>7999</Characters>
  <Lines>62</Lines>
  <Paragraphs>17</Paragraphs>
  <TotalTime>260</TotalTime>
  <ScaleCrop>false</ScaleCrop>
  <LinksUpToDate>false</LinksUpToDate>
  <CharactersWithSpaces>8038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2019-02-27T08:09:00Z</dcterms:created>
  <dc:creator>guest</dc:creator>
  <cp:lastModifiedBy>李子</cp:lastModifiedBy>
  <cp:lastPrinted>2017-02-10T09:57:00Z</cp:lastPrinted>
  <dcterms:modified xsi:type="dcterms:W3CDTF">2023-06-07T06:49:08Z</dcterms:modified>
  <cp:revision>96</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9B1538E8330848E4A2159A9B23ECAD15</vt:lpwstr>
  </property>
</Properties>
</file>