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宋体" w:hAnsi="宋体" w:cs="宋体"/>
          <w:sz w:val="44"/>
          <w:szCs w:val="44"/>
        </w:rPr>
        <w:t>隆尧县委老干部局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Times New Roman"/>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按照《预算法》、《地方预决算公开操作规程》规定，现将隆尧县委老干部局</w:t>
      </w:r>
      <w:r>
        <w:rPr>
          <w:rFonts w:ascii="仿宋" w:hAnsi="仿宋" w:eastAsia="仿宋" w:cs="Times New Roman"/>
          <w:sz w:val="32"/>
          <w:szCs w:val="32"/>
        </w:rPr>
        <w:t>20</w:t>
      </w:r>
      <w:r>
        <w:rPr>
          <w:rFonts w:hint="eastAsia" w:ascii="仿宋" w:hAnsi="仿宋" w:eastAsia="仿宋" w:cs="Times New Roman"/>
          <w:sz w:val="32"/>
          <w:szCs w:val="32"/>
          <w:lang w:val="en-US" w:eastAsia="zh-CN"/>
        </w:rPr>
        <w:t>21</w:t>
      </w:r>
      <w:r>
        <w:rPr>
          <w:rFonts w:hint="eastAsia" w:ascii="仿宋" w:hAnsi="仿宋" w:eastAsia="仿宋" w:cs="Times New Roman"/>
          <w:sz w:val="32"/>
          <w:szCs w:val="32"/>
        </w:rPr>
        <w:t>年部门预算公开如下：</w:t>
      </w:r>
    </w:p>
    <w:p>
      <w:pPr>
        <w:ind w:firstLine="640"/>
        <w:rPr>
          <w:rFonts w:ascii="宋体" w:cs="Times New Roman"/>
          <w:b/>
          <w:sz w:val="32"/>
          <w:szCs w:val="32"/>
        </w:rPr>
      </w:pPr>
      <w:r>
        <w:rPr>
          <w:rFonts w:hint="eastAsia" w:ascii="宋体" w:hAnsi="宋体" w:cs="Times New Roman"/>
          <w:b/>
          <w:sz w:val="32"/>
          <w:szCs w:val="32"/>
        </w:rPr>
        <w:t>一、部门职责及机构设置情况</w:t>
      </w:r>
    </w:p>
    <w:p>
      <w:pPr>
        <w:rPr>
          <w:rFonts w:ascii="宋体"/>
          <w:sz w:val="32"/>
          <w:szCs w:val="32"/>
        </w:rPr>
      </w:pPr>
      <w:r>
        <w:rPr>
          <w:rFonts w:hint="eastAsia" w:ascii="宋体" w:hAnsi="宋体"/>
          <w:sz w:val="32"/>
          <w:szCs w:val="32"/>
        </w:rPr>
        <w:t>部门职责：我局的主要职责是：（</w:t>
      </w:r>
      <w:r>
        <w:rPr>
          <w:rFonts w:ascii="宋体" w:hAnsi="宋体"/>
          <w:sz w:val="32"/>
          <w:szCs w:val="32"/>
        </w:rPr>
        <w:t>1</w:t>
      </w:r>
      <w:r>
        <w:rPr>
          <w:rFonts w:hint="eastAsia" w:ascii="宋体" w:hAnsi="宋体"/>
          <w:sz w:val="32"/>
          <w:szCs w:val="32"/>
        </w:rPr>
        <w:t>）做好全县离退休干部的日常管理服务工作。（</w:t>
      </w:r>
      <w:r>
        <w:rPr>
          <w:rFonts w:ascii="宋体" w:hAnsi="宋体"/>
          <w:sz w:val="32"/>
          <w:szCs w:val="32"/>
        </w:rPr>
        <w:t>2</w:t>
      </w:r>
      <w:r>
        <w:rPr>
          <w:rFonts w:hint="eastAsia" w:ascii="宋体" w:hAnsi="宋体"/>
          <w:sz w:val="32"/>
          <w:szCs w:val="32"/>
        </w:rPr>
        <w:t>）和有关部门一道积极落实党对老干部的有关方针政策。（</w:t>
      </w:r>
      <w:r>
        <w:rPr>
          <w:rFonts w:ascii="宋体" w:hAnsi="宋体"/>
          <w:sz w:val="32"/>
          <w:szCs w:val="32"/>
        </w:rPr>
        <w:t>3</w:t>
      </w:r>
      <w:r>
        <w:rPr>
          <w:rFonts w:hint="eastAsia" w:ascii="宋体" w:hAnsi="宋体"/>
          <w:sz w:val="32"/>
          <w:szCs w:val="32"/>
        </w:rPr>
        <w:t>）按季度做好离休干部医疗费的审核报销工作。（</w:t>
      </w:r>
      <w:r>
        <w:rPr>
          <w:rFonts w:ascii="宋体" w:hAnsi="宋体"/>
          <w:sz w:val="32"/>
          <w:szCs w:val="32"/>
        </w:rPr>
        <w:t>4</w:t>
      </w:r>
      <w:r>
        <w:rPr>
          <w:rFonts w:hint="eastAsia" w:ascii="宋体" w:hAnsi="宋体"/>
          <w:sz w:val="32"/>
          <w:szCs w:val="32"/>
        </w:rPr>
        <w:t>）组织老干部参观我县及外地的工农业生产项目，使他们开阔眼界，为我县的经济建设建言献策。（</w:t>
      </w:r>
      <w:r>
        <w:rPr>
          <w:rFonts w:ascii="宋体" w:hAnsi="宋体"/>
          <w:sz w:val="32"/>
          <w:szCs w:val="32"/>
        </w:rPr>
        <w:t>5</w:t>
      </w:r>
      <w:r>
        <w:rPr>
          <w:rFonts w:hint="eastAsia" w:ascii="宋体" w:hAnsi="宋体"/>
          <w:sz w:val="32"/>
          <w:szCs w:val="32"/>
        </w:rPr>
        <w:t>）积极发挥老干部在社会稳定、关心下一代等方面的作用，为他们发挥余热提供较多的平台。（</w:t>
      </w:r>
      <w:r>
        <w:rPr>
          <w:rFonts w:ascii="宋体" w:hAnsi="宋体"/>
          <w:sz w:val="32"/>
          <w:szCs w:val="32"/>
        </w:rPr>
        <w:t>6</w:t>
      </w:r>
      <w:r>
        <w:rPr>
          <w:rFonts w:hint="eastAsia" w:ascii="宋体" w:hAnsi="宋体"/>
          <w:sz w:val="32"/>
          <w:szCs w:val="32"/>
        </w:rPr>
        <w:t>）组织老干部参加一些有益于身心健康的文体活动，使他们老有所乐，健康长寿。</w:t>
      </w:r>
    </w:p>
    <w:p>
      <w:pPr>
        <w:ind w:firstLine="640" w:firstLineChars="200"/>
        <w:rPr>
          <w:rFonts w:ascii="宋体" w:cs="Times New Roman"/>
          <w:sz w:val="32"/>
          <w:szCs w:val="32"/>
        </w:rPr>
      </w:pPr>
    </w:p>
    <w:p>
      <w:pPr>
        <w:ind w:firstLine="643" w:firstLineChars="200"/>
        <w:rPr>
          <w:rFonts w:ascii="宋体" w:cs="Times New Roman"/>
          <w:b/>
          <w:sz w:val="32"/>
          <w:szCs w:val="32"/>
        </w:rPr>
      </w:pPr>
      <w:r>
        <w:rPr>
          <w:rFonts w:hint="eastAsia" w:ascii="宋体" w:hAnsi="宋体"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宋体" w:hAnsi="宋体" w:cs="宋体"/>
              </w:rPr>
              <w:t>隆尧县委老干部局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宋体" w:hAnsi="宋体" w:cs="宋体"/>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部门预算的编制实行综合预算管理，即全部收入和支出都反映的预算中。隆尧县委老干部局的收支包含在部门预算中。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267.81万元</w:t>
      </w:r>
      <w:r>
        <w:rPr>
          <w:rFonts w:hint="eastAsia" w:ascii="Times New Roman" w:hAnsi="Times New Roman" w:eastAsia="仿宋" w:cs="Times New Roman"/>
          <w:sz w:val="32"/>
          <w:szCs w:val="32"/>
        </w:rPr>
        <w:t>，其中：一般公共预算收入</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sz w:val="32"/>
          <w:szCs w:val="32"/>
        </w:rPr>
        <w:t>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lang w:eastAsia="zh-CN"/>
        </w:rPr>
        <w:t>万</w:t>
      </w:r>
      <w:r>
        <w:rPr>
          <w:rFonts w:hint="eastAsia" w:ascii="Times New Roman" w:hAnsi="Times New Roman" w:eastAsia="仿宋" w:cs="Times New Roman"/>
          <w:sz w:val="32"/>
          <w:szCs w:val="32"/>
        </w:rPr>
        <w:t>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隆尧县委老干部局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90.17万</w:t>
      </w:r>
      <w:r>
        <w:rPr>
          <w:rFonts w:hint="eastAsia" w:ascii="Times New Roman" w:hAnsi="Times New Roman" w:eastAsia="仿宋" w:cs="Times New Roman"/>
          <w:sz w:val="32"/>
          <w:szCs w:val="32"/>
        </w:rPr>
        <w:t>元，包括人员经费</w:t>
      </w:r>
      <w:r>
        <w:rPr>
          <w:rFonts w:hint="eastAsia" w:ascii="Times New Roman" w:hAnsi="Times New Roman" w:eastAsia="仿宋" w:cs="Times New Roman"/>
          <w:sz w:val="32"/>
          <w:szCs w:val="32"/>
          <w:lang w:val="en-US" w:eastAsia="zh-CN"/>
        </w:rPr>
        <w:t>81.08万</w:t>
      </w:r>
      <w:r>
        <w:rPr>
          <w:rFonts w:hint="eastAsia" w:ascii="Times New Roman" w:hAnsi="Times New Roman" w:eastAsia="仿宋" w:cs="Times New Roman"/>
          <w:sz w:val="32"/>
          <w:szCs w:val="32"/>
        </w:rPr>
        <w:t>元和日常公用经费</w:t>
      </w:r>
      <w:r>
        <w:rPr>
          <w:rFonts w:hint="eastAsia" w:ascii="Times New Roman" w:hAnsi="Times New Roman" w:eastAsia="仿宋" w:cs="Times New Roman"/>
          <w:sz w:val="32"/>
          <w:szCs w:val="32"/>
          <w:lang w:val="en-US" w:eastAsia="zh-CN"/>
        </w:rPr>
        <w:t>9.09万</w:t>
      </w:r>
      <w:r>
        <w:rPr>
          <w:rFonts w:hint="eastAsia" w:ascii="Times New Roman" w:hAnsi="Times New Roman" w:eastAsia="仿宋" w:cs="Times New Roman"/>
          <w:sz w:val="32"/>
          <w:szCs w:val="32"/>
        </w:rPr>
        <w:t>元；项目支出</w:t>
      </w:r>
      <w:r>
        <w:rPr>
          <w:rFonts w:hint="eastAsia" w:ascii="Times New Roman" w:hAnsi="Times New Roman" w:eastAsia="仿宋" w:cs="Times New Roman"/>
          <w:sz w:val="32"/>
          <w:szCs w:val="32"/>
          <w:lang w:val="en-US" w:eastAsia="zh-CN"/>
        </w:rPr>
        <w:t>177.64万</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eastAsia="zh-CN"/>
        </w:rPr>
        <w:t>离休干部交通费</w:t>
      </w:r>
      <w:r>
        <w:rPr>
          <w:rFonts w:hint="eastAsia" w:ascii="Times New Roman" w:hAnsi="Times New Roman" w:eastAsia="仿宋" w:cs="Times New Roman"/>
          <w:sz w:val="32"/>
          <w:szCs w:val="32"/>
          <w:lang w:val="en-US" w:eastAsia="zh-CN"/>
        </w:rPr>
        <w:t>1.82万元，县级离退休干部考察费5.00万元，老年书画研究会经费3.00万元，关工委经费10.00万元，老年大学经费2.00万元，离休干部护理费43.32万元，特困离退休干部帮扶5.00万元，离退休慰问费4.50万元，离退休特需费23.00万元，企业离休干部药费30.00万元，行政事业离休干部药费50.00万元</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hint="eastAsia" w:ascii="Times New Roman" w:hAnsi="Times New Roman" w:eastAsia="仿宋" w:cs="Times New Roman"/>
          <w:sz w:val="32"/>
          <w:szCs w:val="32"/>
          <w:lang w:val="en-US" w:eastAsia="zh-CN"/>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267.81万</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预算</w:t>
      </w:r>
      <w:r>
        <w:rPr>
          <w:rFonts w:hint="eastAsia" w:ascii="Times New Roman" w:hAnsi="Times New Roman" w:eastAsia="仿宋" w:cs="Times New Roman"/>
          <w:sz w:val="32"/>
          <w:szCs w:val="32"/>
          <w:lang w:val="en-US" w:eastAsia="zh-CN"/>
        </w:rPr>
        <w:t>减少64.23万</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减少15.25万</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eastAsia="zh-CN"/>
        </w:rPr>
        <w:t>，主要为人员减少所致</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减少48.98万</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eastAsia="zh-CN"/>
        </w:rPr>
        <w:t>落实过紧日子要求，压减项目支出。</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9.09万</w:t>
      </w:r>
      <w:r>
        <w:rPr>
          <w:rFonts w:hint="eastAsia" w:ascii="Times New Roman" w:hAnsi="Times New Roman" w:eastAsia="仿宋" w:cs="Times New Roman"/>
          <w:sz w:val="32"/>
          <w:szCs w:val="32"/>
        </w:rPr>
        <w:t>元，主要用于保证机关正常运转的办公及印刷费、邮电费、差旅费、会议费、福利费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车改补贴</w:t>
      </w:r>
      <w:r>
        <w:rPr>
          <w:rFonts w:hint="eastAsia" w:ascii="Times New Roman" w:hAnsi="Times New Roman" w:eastAsia="仿宋" w:cs="Times New Roman"/>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0.00万元</w:t>
      </w:r>
      <w:r>
        <w:rPr>
          <w:rFonts w:hint="eastAsia" w:ascii="Times New Roman" w:hAnsi="Times New Roman" w:eastAsia="仿宋" w:cs="Times New Roman"/>
          <w:sz w:val="32"/>
          <w:szCs w:val="32"/>
        </w:rPr>
        <w:t>（其中：公务用车购置费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0.00万</w:t>
      </w:r>
      <w:r>
        <w:rPr>
          <w:rFonts w:hint="eastAsia" w:ascii="Times New Roman" w:hAnsi="Times New Roman" w:eastAsia="仿宋" w:cs="Times New Roman"/>
          <w:sz w:val="32"/>
          <w:szCs w:val="32"/>
        </w:rPr>
        <w:t>元。“三公”经费</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4万元，减少的原因是我单位公务用车划拨至机关事务管理局及未安排公务接待费所致</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bookmarkStart w:id="0" w:name="_Toc471398463"/>
      <w:r>
        <w:rPr>
          <w:rFonts w:hint="eastAsia" w:ascii="Times New Roman" w:hAnsi="Times New Roman" w:eastAsia="仿宋" w:cs="Times New Roman"/>
          <w:b/>
          <w:sz w:val="32"/>
          <w:szCs w:val="32"/>
          <w:highlight w:val="none"/>
        </w:rPr>
        <w:t>总体绩效目标：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20</w:t>
      </w:r>
      <w:r>
        <w:rPr>
          <w:rFonts w:hint="eastAsia" w:ascii="仿宋" w:hAnsi="仿宋" w:eastAsia="仿宋" w:cs="仿宋"/>
          <w:sz w:val="32"/>
          <w:szCs w:val="32"/>
          <w:lang w:val="en-US" w:eastAsia="zh-CN"/>
        </w:rPr>
        <w:t>21</w:t>
      </w:r>
      <w:r>
        <w:rPr>
          <w:rFonts w:hint="eastAsia" w:ascii="仿宋" w:hAnsi="仿宋" w:eastAsia="仿宋" w:cs="仿宋"/>
          <w:sz w:val="32"/>
          <w:szCs w:val="32"/>
        </w:rPr>
        <w:t>年我们的工作思路是：认真贯彻落实党的十九大精神、不断深化对新形势下老干部工作重要性和规律性的认识，创造性、满腔热情地做好老干部工作，不断开创全县老干部工作的新篇章。</w:t>
      </w:r>
    </w:p>
    <w:p>
      <w:pPr>
        <w:keepNext w:val="0"/>
        <w:keepLines w:val="0"/>
        <w:pageBreakBefore w:val="0"/>
        <w:numPr>
          <w:ilvl w:val="0"/>
          <w:numId w:val="0"/>
        </w:numPr>
        <w:kinsoku/>
        <w:wordWrap/>
        <w:overflowPunct/>
        <w:topLinePunct w:val="0"/>
        <w:autoSpaceDN/>
        <w:bidi w:val="0"/>
        <w:adjustRightInd/>
        <w:snapToGrid/>
        <w:spacing w:before="0" w:after="0" w:line="640" w:lineRule="exact"/>
        <w:ind w:leftChars="0" w:firstLine="616" w:firstLineChars="200"/>
        <w:jc w:val="both"/>
        <w:textAlignment w:val="auto"/>
        <w:rPr>
          <w:rFonts w:hint="eastAsia" w:ascii="仿宋_GB2312" w:hAnsi="Courier New" w:eastAsia="仿宋_GB2312" w:cs="Courier New"/>
          <w:sz w:val="32"/>
          <w:szCs w:val="32"/>
        </w:rPr>
      </w:pPr>
      <w:r>
        <w:rPr>
          <w:rFonts w:hint="eastAsia" w:ascii="楷体_GB2312" w:hAnsi="楷体_GB2312" w:eastAsia="楷体_GB2312" w:cs="楷体_GB2312"/>
          <w:b w:val="0"/>
          <w:bCs/>
          <w:spacing w:val="-6"/>
          <w:sz w:val="32"/>
          <w:szCs w:val="32"/>
          <w:lang w:val="en-US" w:eastAsia="zh-CN"/>
        </w:rPr>
        <w:t>1、</w:t>
      </w:r>
      <w:r>
        <w:rPr>
          <w:rFonts w:hint="eastAsia" w:ascii="楷体_GB2312" w:hAnsi="楷体_GB2312" w:eastAsia="楷体_GB2312" w:cs="楷体_GB2312"/>
          <w:b w:val="0"/>
          <w:bCs/>
          <w:spacing w:val="-6"/>
          <w:sz w:val="32"/>
          <w:szCs w:val="32"/>
        </w:rPr>
        <w:t>做好离退休干部的服务管理工作</w:t>
      </w:r>
      <w:r>
        <w:rPr>
          <w:rFonts w:hint="eastAsia" w:ascii="楷体_GB2312" w:hAnsi="楷体_GB2312" w:eastAsia="楷体_GB2312" w:cs="楷体_GB2312"/>
          <w:b w:val="0"/>
          <w:bCs/>
          <w:spacing w:val="-6"/>
          <w:sz w:val="32"/>
          <w:szCs w:val="32"/>
          <w:lang w:eastAsia="zh-CN"/>
        </w:rPr>
        <w:t>。</w:t>
      </w:r>
      <w:r>
        <w:rPr>
          <w:rFonts w:hint="eastAsia" w:ascii="仿宋_GB2312" w:hAnsi="仿宋" w:eastAsia="仿宋_GB2312" w:cs="宋体"/>
          <w:spacing w:val="-6"/>
          <w:kern w:val="0"/>
          <w:sz w:val="32"/>
          <w:szCs w:val="32"/>
        </w:rPr>
        <w:t>针对离休干部普遍进入高龄、高发病期的实际情况，不断完善服务管理的办法，及时研究解决工作中的具体问题。要满怀感情、主动服务，全心全意为离休干部做好事、办实事、解难事，对年龄偏大、行动不便、身患重病、身边无人照料的离休干部，要定期派人走访，在精神上和生活上给予必要的慰藉和照顾，要定期送学上门，让他们及时了解国内外大事；与时俱进，始终保持政治上的清醒和坚定；要及时送医上门，帮助他们解决医疗上的困难。</w:t>
      </w:r>
      <w:r>
        <w:rPr>
          <w:rFonts w:hint="eastAsia" w:ascii="仿宋_GB2312" w:hAnsi="Courier New" w:eastAsia="仿宋_GB2312" w:cs="Courier New"/>
          <w:sz w:val="32"/>
          <w:szCs w:val="32"/>
        </w:rPr>
        <w:t>坚持“六必访”，即老干部生病住院必访、重要寿辰必访、新春佳节必访、矛盾纠纷必访、生活困难必访，丧葬大事必访。</w:t>
      </w:r>
    </w:p>
    <w:p>
      <w:pPr>
        <w:keepNext w:val="0"/>
        <w:keepLines w:val="0"/>
        <w:pageBreakBefore w:val="0"/>
        <w:widowControl/>
        <w:numPr>
          <w:ilvl w:val="0"/>
          <w:numId w:val="0"/>
        </w:numPr>
        <w:kinsoku/>
        <w:wordWrap/>
        <w:overflowPunct/>
        <w:topLinePunct w:val="0"/>
        <w:bidi w:val="0"/>
        <w:adjustRightInd/>
        <w:snapToGrid/>
        <w:spacing w:line="640" w:lineRule="exact"/>
        <w:ind w:leftChars="0" w:firstLine="616" w:firstLineChars="200"/>
        <w:textAlignment w:val="auto"/>
        <w:rPr>
          <w:rFonts w:hint="eastAsia" w:ascii="仿宋_GB2312" w:hAnsi="仿宋" w:eastAsia="仿宋_GB2312" w:cs="宋体"/>
          <w:spacing w:val="-6"/>
          <w:kern w:val="0"/>
          <w:sz w:val="32"/>
          <w:szCs w:val="32"/>
        </w:rPr>
      </w:pPr>
      <w:r>
        <w:rPr>
          <w:rFonts w:hint="eastAsia" w:ascii="楷体_GB2312" w:hAnsi="楷体_GB2312" w:eastAsia="楷体_GB2312" w:cs="楷体_GB2312"/>
          <w:spacing w:val="-6"/>
          <w:kern w:val="0"/>
          <w:sz w:val="32"/>
          <w:szCs w:val="32"/>
          <w:lang w:val="en-US" w:eastAsia="zh-CN"/>
        </w:rPr>
        <w:t>2、继续</w:t>
      </w:r>
      <w:r>
        <w:rPr>
          <w:rFonts w:hint="eastAsia" w:ascii="楷体_GB2312" w:hAnsi="楷体_GB2312" w:eastAsia="楷体_GB2312" w:cs="楷体_GB2312"/>
          <w:spacing w:val="-6"/>
          <w:kern w:val="0"/>
          <w:sz w:val="32"/>
          <w:szCs w:val="32"/>
        </w:rPr>
        <w:t>认真落实离</w:t>
      </w:r>
      <w:r>
        <w:rPr>
          <w:rFonts w:hint="eastAsia" w:ascii="楷体_GB2312" w:hAnsi="楷体_GB2312" w:eastAsia="楷体_GB2312" w:cs="楷体_GB2312"/>
          <w:spacing w:val="-6"/>
          <w:kern w:val="0"/>
          <w:sz w:val="32"/>
          <w:szCs w:val="32"/>
          <w:lang w:eastAsia="zh-CN"/>
        </w:rPr>
        <w:t>退</w:t>
      </w:r>
      <w:r>
        <w:rPr>
          <w:rFonts w:hint="eastAsia" w:ascii="楷体_GB2312" w:hAnsi="楷体_GB2312" w:eastAsia="楷体_GB2312" w:cs="楷体_GB2312"/>
          <w:spacing w:val="-6"/>
          <w:kern w:val="0"/>
          <w:sz w:val="32"/>
          <w:szCs w:val="32"/>
        </w:rPr>
        <w:t>休干部</w:t>
      </w:r>
      <w:r>
        <w:rPr>
          <w:rFonts w:hint="eastAsia" w:ascii="楷体_GB2312" w:hAnsi="楷体_GB2312" w:eastAsia="楷体_GB2312" w:cs="楷体_GB2312"/>
          <w:spacing w:val="-6"/>
          <w:kern w:val="0"/>
          <w:sz w:val="32"/>
          <w:szCs w:val="32"/>
          <w:lang w:eastAsia="zh-CN"/>
        </w:rPr>
        <w:t>两项待遇</w:t>
      </w:r>
      <w:r>
        <w:rPr>
          <w:rFonts w:hint="eastAsia" w:ascii="楷体_GB2312" w:hAnsi="楷体_GB2312" w:eastAsia="楷体_GB2312" w:cs="楷体_GB2312"/>
          <w:spacing w:val="-6"/>
          <w:kern w:val="0"/>
          <w:sz w:val="32"/>
          <w:szCs w:val="32"/>
        </w:rPr>
        <w:t>。</w:t>
      </w:r>
      <w:r>
        <w:rPr>
          <w:rFonts w:hint="eastAsia" w:ascii="仿宋_GB2312" w:hAnsi="仿宋_GB2312" w:eastAsia="仿宋_GB2312" w:cs="仿宋_GB2312"/>
          <w:spacing w:val="-6"/>
          <w:kern w:val="0"/>
          <w:sz w:val="32"/>
          <w:szCs w:val="32"/>
        </w:rPr>
        <w:t>落实好离退休干部政治待遇的各项制度。包括阅文制度、订阅报刊制度、组织生活制度、通报情况制度、参加重要会议和重大活动制度、走访慰问制度等。</w:t>
      </w:r>
      <w:r>
        <w:rPr>
          <w:rFonts w:hint="eastAsia" w:ascii="仿宋_GB2312" w:hAnsi="仿宋" w:eastAsia="仿宋_GB2312" w:cs="宋体"/>
          <w:spacing w:val="-6"/>
          <w:kern w:val="0"/>
          <w:sz w:val="32"/>
          <w:szCs w:val="32"/>
        </w:rPr>
        <w:t>巩固和完善离休干部“三个机制”。坚持中央确定的“单位尽责、社会统筹、财政支持、加强管理”的原则，确保离休费保障机制、医药费保障机制、财政支持机制的健全完善和有效运转。建立健全离退休干部共享经济社会发展成果的机制。根据经济社会发展水平，逐步提高离退休干部的生活待遇，在进行涉及离退休干部切身利益的改革时，要认真听取老干部工作部门和离退休干部的意见，研究制定相应的保障办法和措施，维护好、实现好、发展好离退休干部的根本利益。</w:t>
      </w:r>
    </w:p>
    <w:p>
      <w:pPr>
        <w:keepNext w:val="0"/>
        <w:keepLines w:val="0"/>
        <w:pageBreakBefore w:val="0"/>
        <w:kinsoku/>
        <w:wordWrap/>
        <w:overflowPunct/>
        <w:topLinePunct w:val="0"/>
        <w:autoSpaceDE w:val="0"/>
        <w:autoSpaceDN/>
        <w:bidi w:val="0"/>
        <w:adjustRightInd/>
        <w:snapToGrid/>
        <w:spacing w:before="0" w:beforeAutospacing="0" w:after="0" w:afterAutospacing="0" w:line="640" w:lineRule="exact"/>
        <w:ind w:leftChars="0" w:firstLine="616" w:firstLineChars="200"/>
        <w:jc w:val="both"/>
        <w:textAlignment w:val="auto"/>
        <w:rPr>
          <w:rFonts w:hint="eastAsia" w:ascii="仿宋_GB2312" w:hAnsi="仿宋_GB2312" w:eastAsia="仿宋_GB2312" w:cs="仿宋_GB2312"/>
          <w:color w:val="auto"/>
          <w:spacing w:val="8"/>
          <w:sz w:val="32"/>
          <w:szCs w:val="32"/>
          <w:shd w:val="clear" w:color="auto" w:fill="FFFFFF"/>
          <w:lang w:val="en-US" w:eastAsia="zh-CN"/>
        </w:rPr>
      </w:pPr>
      <w:r>
        <w:rPr>
          <w:rFonts w:hint="eastAsia" w:ascii="楷体_GB2312" w:hAnsi="楷体_GB2312" w:eastAsia="楷体_GB2312" w:cs="楷体_GB2312"/>
          <w:spacing w:val="-6"/>
          <w:kern w:val="0"/>
          <w:sz w:val="32"/>
          <w:szCs w:val="32"/>
          <w:lang w:val="en-US" w:eastAsia="zh-CN"/>
        </w:rPr>
        <w:t>3、</w:t>
      </w:r>
      <w:r>
        <w:rPr>
          <w:rFonts w:hint="eastAsia" w:ascii="楷体_GB2312" w:hAnsi="楷体_GB2312" w:eastAsia="楷体_GB2312" w:cs="楷体_GB2312"/>
          <w:spacing w:val="-6"/>
          <w:kern w:val="0"/>
          <w:sz w:val="32"/>
          <w:szCs w:val="32"/>
        </w:rPr>
        <w:t>不断开创关工委工作新局面。</w:t>
      </w:r>
      <w:r>
        <w:rPr>
          <w:rFonts w:hint="eastAsia" w:ascii="仿宋_GB2312" w:hAnsi="仿宋" w:eastAsia="仿宋_GB2312" w:cs="宋体"/>
          <w:spacing w:val="-6"/>
          <w:kern w:val="0"/>
          <w:sz w:val="32"/>
          <w:szCs w:val="32"/>
        </w:rPr>
        <w:t>做好组织引导工作，根据离退休干部的个体情况，鼓励他们参与活动。尤其要</w:t>
      </w:r>
      <w:r>
        <w:rPr>
          <w:rFonts w:hint="eastAsia" w:ascii="仿宋_GB2312" w:hAnsi="仿宋" w:eastAsia="仿宋_GB2312"/>
          <w:sz w:val="32"/>
          <w:szCs w:val="32"/>
        </w:rPr>
        <w:t>发挥好“五老”（老干部、老战士、老专家、老教师、老模范等）作用，</w:t>
      </w:r>
      <w:r>
        <w:rPr>
          <w:rFonts w:hint="eastAsia" w:ascii="仿宋_GB2312" w:hAnsi="仿宋" w:eastAsia="仿宋_GB2312" w:cs="仿宋"/>
          <w:sz w:val="32"/>
          <w:szCs w:val="32"/>
        </w:rPr>
        <w:t>突出</w:t>
      </w:r>
      <w:r>
        <w:rPr>
          <w:rFonts w:hint="eastAsia" w:ascii="仿宋_GB2312" w:hAnsi="仿宋" w:eastAsia="仿宋_GB2312"/>
          <w:sz w:val="32"/>
          <w:szCs w:val="32"/>
        </w:rPr>
        <w:t>抓好思想道德建设关爱工程、扶贫济困公益关爱工程、净化社会环境关爱工程等</w:t>
      </w:r>
      <w:r>
        <w:rPr>
          <w:rStyle w:val="10"/>
          <w:rFonts w:hint="eastAsia" w:ascii="仿宋_GB2312" w:hAnsi="仿宋" w:eastAsia="仿宋_GB2312"/>
          <w:b w:val="0"/>
          <w:sz w:val="32"/>
          <w:szCs w:val="32"/>
        </w:rPr>
        <w:t>青少年健康成长</w:t>
      </w:r>
      <w:r>
        <w:rPr>
          <w:rFonts w:hint="eastAsia" w:ascii="仿宋_GB2312" w:hAnsi="仿宋" w:eastAsia="仿宋_GB2312"/>
          <w:sz w:val="32"/>
          <w:szCs w:val="32"/>
        </w:rPr>
        <w:t>“</w:t>
      </w:r>
      <w:r>
        <w:rPr>
          <w:rStyle w:val="10"/>
          <w:rFonts w:hint="eastAsia" w:ascii="仿宋_GB2312" w:hAnsi="仿宋" w:eastAsia="仿宋_GB2312"/>
          <w:b w:val="0"/>
          <w:sz w:val="32"/>
          <w:szCs w:val="32"/>
        </w:rPr>
        <w:t>三项关爱工程”</w:t>
      </w:r>
      <w:r>
        <w:rPr>
          <w:rStyle w:val="10"/>
          <w:rFonts w:hint="eastAsia" w:ascii="仿宋_GB2312" w:hAnsi="仿宋" w:eastAsia="仿宋_GB2312"/>
          <w:b w:val="0"/>
          <w:sz w:val="32"/>
          <w:szCs w:val="32"/>
          <w:lang w:eastAsia="zh-CN"/>
        </w:rPr>
        <w:t>，</w:t>
      </w:r>
      <w:r>
        <w:rPr>
          <w:rFonts w:hint="eastAsia" w:ascii="仿宋_GB2312" w:hAnsi="仿宋" w:eastAsia="仿宋_GB2312"/>
          <w:sz w:val="32"/>
          <w:szCs w:val="32"/>
        </w:rPr>
        <w:t>不断开创关工委工作新局面。</w:t>
      </w:r>
      <w:r>
        <w:rPr>
          <w:rFonts w:hint="eastAsia" w:ascii="仿宋_GB2312" w:hAnsi="仿宋_GB2312" w:eastAsia="仿宋_GB2312" w:cs="仿宋_GB2312"/>
          <w:color w:val="auto"/>
          <w:spacing w:val="8"/>
          <w:sz w:val="32"/>
          <w:szCs w:val="32"/>
          <w:shd w:val="clear" w:color="auto" w:fill="FFFFFF"/>
          <w:lang w:val="en-US" w:eastAsia="zh-CN"/>
        </w:rPr>
        <w:t>县关工委将积极落实文件精神，下一步将开展“冬季送温暖，爱心助学活动”，慰问县部分建档立卡的贫困学生和留守儿童。</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640" w:lineRule="exact"/>
        <w:ind w:leftChars="0" w:right="0" w:rightChars="0" w:firstLine="640" w:firstLineChars="200"/>
        <w:jc w:val="both"/>
        <w:textAlignment w:val="auto"/>
        <w:rPr>
          <w:rFonts w:hint="eastAsia" w:ascii="楷体_GB2312" w:hAnsi="楷体_GB2312" w:eastAsia="楷体_GB2312" w:cs="楷体_GB2312"/>
          <w:color w:val="auto"/>
          <w:spacing w:val="8"/>
          <w:sz w:val="32"/>
          <w:szCs w:val="32"/>
          <w:shd w:val="clear" w:color="auto" w:fill="FFFFFF"/>
          <w:lang w:val="en-US" w:eastAsia="zh-CN"/>
        </w:rPr>
      </w:pPr>
      <w:r>
        <w:rPr>
          <w:rFonts w:hint="eastAsia" w:ascii="楷体_GB2312" w:hAnsi="楷体_GB2312" w:eastAsia="楷体_GB2312" w:cs="楷体_GB2312"/>
          <w:b w:val="0"/>
          <w:i w:val="0"/>
          <w:caps w:val="0"/>
          <w:color w:val="auto"/>
          <w:spacing w:val="0"/>
          <w:sz w:val="32"/>
          <w:szCs w:val="32"/>
          <w:lang w:val="en-US" w:eastAsia="zh-CN"/>
        </w:rPr>
        <w:t>4、继续完善</w:t>
      </w:r>
      <w:r>
        <w:rPr>
          <w:rFonts w:hint="eastAsia" w:ascii="楷体_GB2312" w:hAnsi="楷体_GB2312" w:eastAsia="楷体_GB2312" w:cs="楷体_GB2312"/>
          <w:b w:val="0"/>
          <w:i w:val="0"/>
          <w:caps w:val="0"/>
          <w:color w:val="auto"/>
          <w:spacing w:val="0"/>
          <w:sz w:val="32"/>
          <w:szCs w:val="32"/>
          <w:lang w:eastAsia="zh-CN"/>
        </w:rPr>
        <w:t>“燕赵红枫”离退休干部信息管理工作。</w:t>
      </w:r>
      <w:r>
        <w:rPr>
          <w:rFonts w:hint="eastAsia" w:ascii="仿宋_GB2312" w:hAnsi="仿宋_GB2312" w:eastAsia="仿宋_GB2312" w:cs="仿宋_GB2312"/>
          <w:b w:val="0"/>
          <w:i w:val="0"/>
          <w:caps w:val="0"/>
          <w:color w:val="auto"/>
          <w:spacing w:val="0"/>
          <w:sz w:val="32"/>
          <w:szCs w:val="32"/>
          <w:lang w:eastAsia="zh-CN"/>
        </w:rPr>
        <w:t>截至</w:t>
      </w:r>
      <w:bookmarkStart w:id="4" w:name="_GoBack"/>
      <w:bookmarkEnd w:id="4"/>
      <w:r>
        <w:rPr>
          <w:rFonts w:hint="eastAsia" w:ascii="仿宋_GB2312" w:hAnsi="仿宋_GB2312" w:eastAsia="仿宋_GB2312" w:cs="仿宋_GB2312"/>
          <w:b w:val="0"/>
          <w:i w:val="0"/>
          <w:caps w:val="0"/>
          <w:color w:val="auto"/>
          <w:spacing w:val="0"/>
          <w:sz w:val="32"/>
          <w:szCs w:val="32"/>
          <w:lang w:eastAsia="zh-CN"/>
        </w:rPr>
        <w:t>目前我县已完成</w:t>
      </w:r>
      <w:r>
        <w:rPr>
          <w:rFonts w:hint="eastAsia" w:ascii="仿宋_GB2312" w:hAnsi="仿宋_GB2312" w:eastAsia="仿宋_GB2312" w:cs="仿宋_GB2312"/>
          <w:b w:val="0"/>
          <w:i w:val="0"/>
          <w:caps w:val="0"/>
          <w:color w:val="auto"/>
          <w:spacing w:val="0"/>
          <w:sz w:val="32"/>
          <w:szCs w:val="32"/>
          <w:lang w:val="en-US" w:eastAsia="zh-CN"/>
        </w:rPr>
        <w:t>40多个单位2000余名离退休干部数据录入工作，为我县离退休干部工作实现规范化、信息化、标准化服务管理奠定了基础。下一步将按照省、市的指示精神，进一步补充完善离退休干部的相关数据，并继续向广大离退休干部推广燕赵红枫APP,使之成为老同志们交流互动的平台。</w:t>
      </w:r>
    </w:p>
    <w:p>
      <w:pPr>
        <w:keepNext w:val="0"/>
        <w:keepLines w:val="0"/>
        <w:pageBreakBefore w:val="0"/>
        <w:kinsoku/>
        <w:wordWrap/>
        <w:overflowPunct/>
        <w:topLinePunct w:val="0"/>
        <w:autoSpaceDE w:val="0"/>
        <w:autoSpaceDN/>
        <w:bidi w:val="0"/>
        <w:adjustRightInd/>
        <w:snapToGrid/>
        <w:spacing w:before="0" w:beforeAutospacing="0" w:after="0" w:afterAutospacing="0" w:line="640" w:lineRule="exact"/>
        <w:ind w:leftChars="0" w:firstLine="672" w:firstLineChars="200"/>
        <w:jc w:val="both"/>
        <w:textAlignment w:val="auto"/>
        <w:rPr>
          <w:rFonts w:hint="eastAsia" w:ascii="仿宋_GB2312" w:hAnsi="仿宋_GB2312" w:eastAsia="仿宋_GB2312" w:cs="仿宋_GB2312"/>
          <w:color w:val="auto"/>
          <w:spacing w:val="8"/>
          <w:sz w:val="32"/>
          <w:szCs w:val="32"/>
          <w:shd w:val="clear" w:color="auto" w:fill="FFFFFF"/>
          <w:lang w:val="en-US" w:eastAsia="zh-CN"/>
        </w:rPr>
      </w:pPr>
      <w:r>
        <w:rPr>
          <w:rFonts w:hint="eastAsia" w:ascii="楷体_GB2312" w:hAnsi="楷体_GB2312" w:eastAsia="楷体_GB2312" w:cs="楷体_GB2312"/>
          <w:color w:val="auto"/>
          <w:spacing w:val="8"/>
          <w:sz w:val="32"/>
          <w:szCs w:val="32"/>
          <w:shd w:val="clear" w:color="auto" w:fill="FFFFFF"/>
          <w:lang w:val="en-US" w:eastAsia="zh-CN"/>
        </w:rPr>
        <w:t>5、稳步推进老年大学建设。</w:t>
      </w:r>
      <w:r>
        <w:rPr>
          <w:rFonts w:hint="eastAsia" w:ascii="仿宋_GB2312" w:hAnsi="仿宋_GB2312" w:eastAsia="仿宋_GB2312" w:cs="仿宋_GB2312"/>
          <w:i w:val="0"/>
          <w:caps w:val="0"/>
          <w:color w:val="auto"/>
          <w:spacing w:val="12"/>
          <w:sz w:val="32"/>
          <w:szCs w:val="32"/>
          <w:lang w:eastAsia="zh-CN"/>
        </w:rPr>
        <w:t>一是</w:t>
      </w:r>
      <w:r>
        <w:rPr>
          <w:rFonts w:hint="eastAsia" w:ascii="仿宋_GB2312" w:hAnsi="仿宋_GB2312" w:eastAsia="仿宋_GB2312" w:cs="仿宋_GB2312"/>
          <w:i w:val="0"/>
          <w:caps w:val="0"/>
          <w:color w:val="auto"/>
          <w:spacing w:val="12"/>
          <w:sz w:val="32"/>
          <w:szCs w:val="32"/>
        </w:rPr>
        <w:t>完善组织领导机制，成立校务委员会，定期研究破解发展难题，落实办实事项目。完善工作推进机制，建立</w:t>
      </w:r>
      <w:r>
        <w:rPr>
          <w:rFonts w:hint="eastAsia" w:ascii="仿宋_GB2312" w:hAnsi="仿宋_GB2312" w:eastAsia="仿宋_GB2312" w:cs="仿宋_GB2312"/>
          <w:i w:val="0"/>
          <w:caps w:val="0"/>
          <w:color w:val="auto"/>
          <w:spacing w:val="12"/>
          <w:sz w:val="32"/>
          <w:szCs w:val="32"/>
          <w:lang w:eastAsia="zh-CN"/>
        </w:rPr>
        <w:t>校务委员会</w:t>
      </w:r>
      <w:r>
        <w:rPr>
          <w:rFonts w:hint="eastAsia" w:ascii="仿宋_GB2312" w:hAnsi="仿宋_GB2312" w:eastAsia="仿宋_GB2312" w:cs="仿宋_GB2312"/>
          <w:i w:val="0"/>
          <w:caps w:val="0"/>
          <w:color w:val="auto"/>
          <w:spacing w:val="12"/>
          <w:sz w:val="32"/>
          <w:szCs w:val="32"/>
        </w:rPr>
        <w:t>统筹指导、</w:t>
      </w:r>
      <w:r>
        <w:rPr>
          <w:rFonts w:hint="eastAsia" w:ascii="仿宋_GB2312" w:hAnsi="仿宋_GB2312" w:eastAsia="仿宋_GB2312" w:cs="仿宋_GB2312"/>
          <w:i w:val="0"/>
          <w:caps w:val="0"/>
          <w:color w:val="auto"/>
          <w:spacing w:val="12"/>
          <w:sz w:val="32"/>
          <w:szCs w:val="32"/>
          <w:lang w:eastAsia="zh-CN"/>
        </w:rPr>
        <w:t>各个分管科室</w:t>
      </w:r>
      <w:r>
        <w:rPr>
          <w:rFonts w:hint="eastAsia" w:ascii="仿宋_GB2312" w:hAnsi="仿宋_GB2312" w:eastAsia="仿宋_GB2312" w:cs="仿宋_GB2312"/>
          <w:i w:val="0"/>
          <w:caps w:val="0"/>
          <w:color w:val="auto"/>
          <w:spacing w:val="12"/>
          <w:sz w:val="32"/>
          <w:szCs w:val="32"/>
        </w:rPr>
        <w:t>配合支持的推进体系，形成工作合力。完善考核激励机制，把老年教育纳入</w:t>
      </w:r>
      <w:r>
        <w:rPr>
          <w:rFonts w:hint="eastAsia" w:ascii="仿宋_GB2312" w:hAnsi="仿宋_GB2312" w:eastAsia="仿宋_GB2312" w:cs="仿宋_GB2312"/>
          <w:i w:val="0"/>
          <w:caps w:val="0"/>
          <w:color w:val="auto"/>
          <w:spacing w:val="12"/>
          <w:sz w:val="32"/>
          <w:szCs w:val="32"/>
          <w:lang w:eastAsia="zh-CN"/>
        </w:rPr>
        <w:t>本单位</w:t>
      </w:r>
      <w:r>
        <w:rPr>
          <w:rFonts w:hint="eastAsia" w:ascii="仿宋_GB2312" w:hAnsi="仿宋_GB2312" w:eastAsia="仿宋_GB2312" w:cs="仿宋_GB2312"/>
          <w:i w:val="0"/>
          <w:caps w:val="0"/>
          <w:color w:val="auto"/>
          <w:spacing w:val="12"/>
          <w:sz w:val="32"/>
          <w:szCs w:val="32"/>
        </w:rPr>
        <w:t>工作考核评价体系，形成层层抓落实的工作格局。</w:t>
      </w:r>
      <w:r>
        <w:rPr>
          <w:rFonts w:hint="eastAsia" w:ascii="仿宋_GB2312" w:hAnsi="仿宋_GB2312" w:eastAsia="仿宋_GB2312" w:cs="仿宋_GB2312"/>
          <w:i w:val="0"/>
          <w:caps w:val="0"/>
          <w:color w:val="auto"/>
          <w:spacing w:val="12"/>
          <w:sz w:val="32"/>
          <w:szCs w:val="32"/>
          <w:lang w:eastAsia="zh-CN"/>
        </w:rPr>
        <w:t>二是在现有的校舍、人员等基础上，</w:t>
      </w:r>
      <w:r>
        <w:rPr>
          <w:rFonts w:hint="eastAsia" w:ascii="仿宋_GB2312" w:hAnsi="仿宋_GB2312" w:eastAsia="仿宋_GB2312" w:cs="仿宋_GB2312"/>
          <w:color w:val="auto"/>
          <w:spacing w:val="8"/>
          <w:sz w:val="32"/>
          <w:szCs w:val="32"/>
          <w:shd w:val="clear" w:color="auto" w:fill="FFFFFF"/>
          <w:lang w:val="en-US" w:eastAsia="zh-CN"/>
        </w:rPr>
        <w:t>逐步完善老年大学和老干部活动中心职能，充分利用现有的老年大学教室、</w:t>
      </w:r>
      <w:r>
        <w:rPr>
          <w:rFonts w:hint="eastAsia" w:ascii="仿宋_GB2312" w:eastAsia="仿宋_GB2312"/>
          <w:color w:val="auto"/>
          <w:sz w:val="32"/>
          <w:szCs w:val="32"/>
        </w:rPr>
        <w:t>电脑室</w:t>
      </w:r>
      <w:r>
        <w:rPr>
          <w:rFonts w:hint="eastAsia" w:ascii="仿宋_GB2312" w:eastAsia="仿宋_GB2312"/>
          <w:color w:val="auto"/>
          <w:sz w:val="32"/>
          <w:szCs w:val="32"/>
          <w:lang w:eastAsia="zh-CN"/>
        </w:rPr>
        <w:t>、乒乓球室、台球室、京剧社</w:t>
      </w:r>
      <w:r>
        <w:rPr>
          <w:rFonts w:hint="eastAsia" w:ascii="仿宋_GB2312" w:eastAsia="仿宋_GB2312"/>
          <w:color w:val="auto"/>
          <w:sz w:val="32"/>
          <w:szCs w:val="32"/>
        </w:rPr>
        <w:t>等</w:t>
      </w:r>
      <w:r>
        <w:rPr>
          <w:rFonts w:hint="eastAsia" w:ascii="仿宋_GB2312" w:eastAsia="仿宋_GB2312"/>
          <w:color w:val="auto"/>
          <w:sz w:val="32"/>
          <w:szCs w:val="32"/>
          <w:lang w:eastAsia="zh-CN"/>
        </w:rPr>
        <w:t>教</w:t>
      </w:r>
      <w:r>
        <w:rPr>
          <w:rFonts w:hint="eastAsia" w:ascii="仿宋_GB2312" w:eastAsia="仿宋_GB2312"/>
          <w:color w:val="auto"/>
          <w:sz w:val="32"/>
          <w:szCs w:val="32"/>
        </w:rPr>
        <w:t>室</w:t>
      </w:r>
      <w:r>
        <w:rPr>
          <w:rFonts w:hint="eastAsia" w:ascii="仿宋_GB2312" w:eastAsia="仿宋_GB2312"/>
          <w:color w:val="auto"/>
          <w:sz w:val="32"/>
          <w:szCs w:val="32"/>
          <w:lang w:eastAsia="zh-CN"/>
        </w:rPr>
        <w:t>，</w:t>
      </w:r>
      <w:r>
        <w:rPr>
          <w:rFonts w:hint="eastAsia" w:ascii="仿宋_GB2312" w:hAnsi="仿宋_GB2312" w:eastAsia="仿宋_GB2312" w:cs="仿宋_GB2312"/>
          <w:color w:val="auto"/>
          <w:spacing w:val="8"/>
          <w:sz w:val="32"/>
          <w:szCs w:val="32"/>
          <w:shd w:val="clear" w:color="auto" w:fill="FFFFFF"/>
          <w:lang w:val="en-US" w:eastAsia="zh-CN"/>
        </w:rPr>
        <w:t>组织开办戏曲、养生保健、舞蹈、文学创作等培训班，不断丰富老干部精神文化生活。三是积极争取办学经费，专款专用，强化经费保障。贯彻终身教育理念，努力实现老有所教、老有所学、老有所为、老有所乐，激发广大老同志发挥正能量，为我县的建设发挥余热。四是以建立老年大学为契机，争取与教育系统建立师资共享机制，配强师资力量，为各个课程的开展打好基础。充分利用互联网+培训，为因身体原因不便出门的老同志提供学习渠道。五是充分利用燕赵红枫离退休干部管理系统，鼓励老同志在APP上发表作品，巩固教育成果、激发学习兴趣，不断丰富老同志们的晚年生活，提升文化养老内涵。</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p>
    <w:p>
      <w:pPr>
        <w:autoSpaceDE w:val="0"/>
        <w:autoSpaceDN w:val="0"/>
        <w:adjustRightInd w:val="0"/>
        <w:ind w:left="198" w:firstLine="643" w:firstLineChars="200"/>
        <w:jc w:val="left"/>
        <w:rPr>
          <w:rFonts w:ascii="Times New Roman" w:hAnsi="Times New Roman" w:eastAsia="仿宋" w:cs="Times New Roman"/>
          <w:b/>
          <w:sz w:val="32"/>
          <w:szCs w:val="32"/>
          <w:highlight w:val="none"/>
        </w:rPr>
      </w:pPr>
      <w:r>
        <w:rPr>
          <w:rFonts w:hint="eastAsia" w:ascii="Times New Roman" w:hAnsi="Times New Roman" w:eastAsia="仿宋" w:cs="Times New Roman"/>
          <w:b/>
          <w:sz w:val="32"/>
          <w:szCs w:val="32"/>
          <w:highlight w:val="none"/>
        </w:rPr>
        <w:t>职责分类绩效目标：</w:t>
      </w:r>
    </w:p>
    <w:p>
      <w:pPr>
        <w:spacing w:line="500" w:lineRule="exact"/>
        <w:ind w:firstLine="560"/>
        <w:rPr>
          <w:rFonts w:hint="eastAsia" w:ascii="仿宋" w:hAnsi="仿宋" w:eastAsia="仿宋" w:cs="仿宋"/>
          <w:sz w:val="32"/>
          <w:szCs w:val="32"/>
        </w:rPr>
      </w:pPr>
      <w:r>
        <w:rPr>
          <w:rFonts w:ascii="方正仿宋_GBK" w:eastAsia="方正仿宋_GBK"/>
          <w:sz w:val="28"/>
        </w:rPr>
        <w:t xml:space="preserve"> </w:t>
      </w:r>
      <w:r>
        <w:rPr>
          <w:rFonts w:hint="eastAsia" w:ascii="仿宋" w:hAnsi="仿宋" w:eastAsia="仿宋" w:cs="仿宋"/>
          <w:sz w:val="32"/>
          <w:szCs w:val="32"/>
        </w:rPr>
        <w:t xml:space="preserve"> 1、老干部慰问工作做到逐人、逐户，通过走访慰问真实了解老干部的生活状况，对发现的问题及时解决。</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2、对老干部的各项讲座要聘请有一定专长的同志认真讲解，通过讲解使老干部对老年人的常见病、多发病的预防和治疗有一定的了解；对国家的大政方针有更清醒的认识。</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3、老干部药费做到实报实销，以减轻他们的经济负担；外出考察真正达到开阔视野、增长知识、陶冶情操等目的。</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4、做好对体弱多病及需住院治疗的老干部的慰问工作，把党对老干部的温暖送到老干部的心坎上。</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 xml:space="preserve">  5、开办好各种会议及培训，不断提高老干部工作人员及老干部支部书记的工作水平，为做好我县的老干部工作提供有力的人才保障。</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6、健全完善与经济社会发展相适应的老年教育体系，充分发挥老干部传帮带作用，传承优良作风，让下一代健康成长。</w:t>
      </w:r>
    </w:p>
    <w:p>
      <w:pPr>
        <w:autoSpaceDE w:val="0"/>
        <w:autoSpaceDN w:val="0"/>
        <w:adjustRightInd w:val="0"/>
        <w:ind w:left="198" w:firstLine="643" w:firstLineChars="200"/>
        <w:jc w:val="left"/>
        <w:rPr>
          <w:rFonts w:hint="eastAsia" w:ascii="Times New Roman" w:hAnsi="Times New Roman" w:eastAsia="仿宋" w:cs="Times New Roman"/>
          <w:b/>
          <w:sz w:val="32"/>
          <w:szCs w:val="32"/>
          <w:highlight w:val="none"/>
        </w:rPr>
      </w:pPr>
      <w:r>
        <w:rPr>
          <w:rFonts w:hint="eastAsia" w:ascii="Times New Roman" w:hAnsi="Times New Roman" w:eastAsia="仿宋" w:cs="Times New Roman"/>
          <w:b/>
          <w:sz w:val="32"/>
          <w:szCs w:val="32"/>
          <w:highlight w:val="none"/>
        </w:rPr>
        <w:t>部门职责及工作活动绩效目标指标：</w:t>
      </w:r>
      <w:bookmarkEnd w:id="0"/>
    </w:p>
    <w:p>
      <w:pPr>
        <w:jc w:val="center"/>
        <w:outlineLvl w:val="0"/>
        <w:rPr>
          <w:rFonts w:ascii="方正小标宋_GBK" w:eastAsia="方正小标宋_GBK"/>
          <w:color w:val="FFFFFF"/>
          <w:sz w:val="32"/>
        </w:rPr>
      </w:pPr>
      <w:bookmarkStart w:id="1" w:name="_Toc1917606"/>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0"/>
        <w:gridCol w:w="1440"/>
        <w:gridCol w:w="3690"/>
        <w:gridCol w:w="2459"/>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隆尧县老干部局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8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369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4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980" w:type="dxa"/>
            <w:vMerge w:val="continue"/>
            <w:shd w:val="clear" w:color="auto" w:fill="auto"/>
            <w:vAlign w:val="center"/>
          </w:tcPr>
          <w:p>
            <w:pPr>
              <w:spacing w:line="300" w:lineRule="exact"/>
              <w:jc w:val="left"/>
              <w:outlineLvl w:val="0"/>
            </w:pPr>
          </w:p>
        </w:tc>
        <w:tc>
          <w:tcPr>
            <w:tcW w:w="1440" w:type="dxa"/>
            <w:vMerge w:val="continue"/>
            <w:shd w:val="clear" w:color="auto" w:fill="auto"/>
            <w:vAlign w:val="center"/>
          </w:tcPr>
          <w:p>
            <w:pPr>
              <w:spacing w:line="300" w:lineRule="exact"/>
              <w:jc w:val="left"/>
              <w:outlineLvl w:val="0"/>
            </w:pPr>
          </w:p>
        </w:tc>
        <w:tc>
          <w:tcPr>
            <w:tcW w:w="3690" w:type="dxa"/>
            <w:vMerge w:val="continue"/>
            <w:shd w:val="clear" w:color="auto" w:fill="auto"/>
            <w:vAlign w:val="center"/>
          </w:tcPr>
          <w:p>
            <w:pPr>
              <w:spacing w:line="300" w:lineRule="exact"/>
              <w:jc w:val="left"/>
              <w:outlineLvl w:val="0"/>
            </w:pPr>
          </w:p>
        </w:tc>
        <w:tc>
          <w:tcPr>
            <w:tcW w:w="2459"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一、离退休干部政策及服务</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63.64</w:t>
            </w:r>
          </w:p>
        </w:tc>
        <w:tc>
          <w:tcPr>
            <w:tcW w:w="369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贯彻落实国家关于离退休干部的方针政策，组织落实离退休干部的政治、生活待遇</w:t>
            </w:r>
          </w:p>
        </w:tc>
        <w:tc>
          <w:tcPr>
            <w:tcW w:w="24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保障离退休干部各项政策的落实</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老干部满意率</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、老干部活动、组织建设</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63.64</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组织老干部参加社会、文体等各项活动，加强老干部基层组织和党支部建设</w:t>
            </w:r>
          </w:p>
        </w:tc>
        <w:tc>
          <w:tcPr>
            <w:tcW w:w="2459"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宋体" w:hAnsi="宋体" w:eastAsia="宋体" w:cs="宋体"/>
                <w:i w:val="0"/>
                <w:color w:val="000000"/>
                <w:kern w:val="0"/>
                <w:sz w:val="18"/>
                <w:szCs w:val="18"/>
                <w:u w:val="none"/>
                <w:lang w:val="en-US" w:eastAsia="zh-CN" w:bidi="ar"/>
              </w:rPr>
              <w:t>举办活动次数</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2</w:t>
            </w:r>
          </w:p>
        </w:tc>
        <w:tc>
          <w:tcPr>
            <w:tcW w:w="737"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二、老年活动阵地建设</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建设、管理、使用好老年活动阵地，并指导全县阵地建设。</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完善老年阵地建设体系</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已接受老年教育的老干部满意度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贯彻执行老年教育和老干部工作方针，构建终身教育体系；在县委、</w:t>
            </w:r>
            <w:r>
              <w:rPr>
                <w:rFonts w:hint="eastAsia" w:ascii="方正书宋_GBK" w:eastAsia="方正书宋_GBK"/>
                <w:lang w:eastAsia="zh-CN"/>
              </w:rPr>
              <w:t>县</w:t>
            </w:r>
            <w:r>
              <w:rPr>
                <w:rFonts w:hint="eastAsia" w:ascii="方正书宋_GBK" w:eastAsia="方正书宋_GBK"/>
              </w:rPr>
              <w:t>政府领导和上级关工委指导下，积极组织离退休老同志协同配合有关部门从事培养教育青少年开展全县关心下一代工作，组织老同志参加青少年教育工作。</w:t>
            </w:r>
          </w:p>
        </w:tc>
        <w:tc>
          <w:tcPr>
            <w:tcW w:w="2459" w:type="dxa"/>
            <w:shd w:val="clear" w:color="auto" w:fill="auto"/>
            <w:vAlign w:val="center"/>
          </w:tcPr>
          <w:p>
            <w:pPr>
              <w:keepNext w:val="0"/>
              <w:keepLines w:val="0"/>
              <w:widowControl/>
              <w:suppressLineNumbers w:val="0"/>
              <w:jc w:val="left"/>
              <w:textAlignment w:val="center"/>
              <w:rPr>
                <w:rFonts w:hint="eastAsia" w:ascii="方正书宋_GBK" w:eastAsia="方正书宋_GBK"/>
              </w:rPr>
            </w:pPr>
            <w:r>
              <w:rPr>
                <w:rFonts w:hint="eastAsia" w:ascii="宋体" w:hAnsi="宋体" w:eastAsia="宋体" w:cs="宋体"/>
                <w:i w:val="0"/>
                <w:color w:val="000000"/>
                <w:kern w:val="0"/>
                <w:sz w:val="18"/>
                <w:szCs w:val="18"/>
                <w:u w:val="none"/>
                <w:lang w:val="en-US" w:eastAsia="zh-CN" w:bidi="ar"/>
              </w:rPr>
              <w:t>完善老年阵地建设体系，做好老年教育工作。</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办好6个教学班</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三、综合事务管理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23.00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老干部管理服务设施维修改造、后勤保障、日常运转。</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确保各项活动、工作正常运行。</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23.00</w:t>
            </w:r>
          </w:p>
        </w:tc>
        <w:tc>
          <w:tcPr>
            <w:tcW w:w="3690"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离退休干部管理服务机构设施维修改造、后勤保障、日常运转。</w:t>
            </w:r>
          </w:p>
        </w:tc>
        <w:tc>
          <w:tcPr>
            <w:tcW w:w="2459"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上门服务次数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四、老干部医疗费管理</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80.00</w:t>
            </w:r>
          </w:p>
        </w:tc>
        <w:tc>
          <w:tcPr>
            <w:tcW w:w="3690"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老干部医疗费报销办法的制定及老干部日常药费的报销</w:t>
            </w:r>
          </w:p>
          <w:p>
            <w:pPr>
              <w:spacing w:line="300" w:lineRule="exact"/>
              <w:jc w:val="left"/>
              <w:rPr>
                <w:rFonts w:hint="eastAsia" w:ascii="方正书宋_GBK" w:eastAsia="方正书宋_GBK"/>
              </w:rPr>
            </w:pPr>
            <w:r>
              <w:rPr>
                <w:rFonts w:ascii="方正书宋_GBK" w:eastAsia="方正书宋_GBK"/>
              </w:rPr>
              <w:t>"</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确保老干部医疗费的节约合理使用</w:t>
            </w:r>
          </w:p>
        </w:tc>
        <w:tc>
          <w:tcPr>
            <w:tcW w:w="1417" w:type="dxa"/>
            <w:shd w:val="clear" w:color="auto" w:fill="auto"/>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bidi="ar"/>
              </w:rPr>
              <w:t>老干部生活待遇保障率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980"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、老干部医疗费报销</w:t>
            </w:r>
          </w:p>
        </w:tc>
        <w:tc>
          <w:tcPr>
            <w:tcW w:w="1440"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80.00</w:t>
            </w:r>
          </w:p>
        </w:tc>
        <w:tc>
          <w:tcPr>
            <w:tcW w:w="3690"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老干部药费按季实报实销</w:t>
            </w:r>
          </w:p>
          <w:p>
            <w:pPr>
              <w:spacing w:line="300" w:lineRule="exact"/>
              <w:jc w:val="left"/>
              <w:rPr>
                <w:rFonts w:ascii="方正书宋_GBK" w:eastAsia="方正书宋_GBK"/>
              </w:rPr>
            </w:pPr>
            <w:r>
              <w:rPr>
                <w:rFonts w:ascii="方正书宋_GBK" w:eastAsia="方正书宋_GBK"/>
              </w:rPr>
              <w:t>"</w:t>
            </w:r>
          </w:p>
        </w:tc>
        <w:tc>
          <w:tcPr>
            <w:tcW w:w="2459" w:type="dxa"/>
            <w:shd w:val="clear" w:color="auto" w:fill="auto"/>
            <w:vAlign w:val="center"/>
          </w:tcPr>
          <w:p>
            <w:pPr>
              <w:spacing w:line="300" w:lineRule="exact"/>
              <w:jc w:val="left"/>
              <w:rPr>
                <w:rFonts w:hint="eastAsia" w:ascii="方正书宋_GBK" w:eastAsia="方正书宋_GBK"/>
              </w:rPr>
            </w:pPr>
            <w:r>
              <w:rPr>
                <w:rFonts w:hint="eastAsia" w:ascii="宋体" w:hAnsi="宋体" w:eastAsia="宋体" w:cs="宋体"/>
                <w:i w:val="0"/>
                <w:color w:val="000000"/>
                <w:kern w:val="0"/>
                <w:sz w:val="18"/>
                <w:szCs w:val="18"/>
                <w:u w:val="none"/>
                <w:lang w:val="en-US" w:eastAsia="zh-CN" w:bidi="ar"/>
              </w:rPr>
              <w:t>做到老干部药费不拖欠</w:t>
            </w:r>
          </w:p>
        </w:tc>
        <w:tc>
          <w:tcPr>
            <w:tcW w:w="1417"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老干部药费发放率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val="en-US" w:eastAsia="zh-CN"/>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80%</w:t>
            </w:r>
          </w:p>
        </w:tc>
      </w:tr>
    </w:tbl>
    <w:p>
      <w:pPr>
        <w:pStyle w:val="5"/>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rPr>
      </w:pPr>
      <w:bookmarkStart w:id="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21</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4.472万</w:t>
      </w:r>
      <w:r>
        <w:rPr>
          <w:rFonts w:hint="eastAsia" w:ascii="Times New Roman" w:hAnsi="Times New Roman" w:eastAsia="仿宋" w:cs="Times New Roman"/>
          <w:sz w:val="32"/>
          <w:szCs w:val="24"/>
        </w:rPr>
        <w:t>元。具体内容见下表。</w:t>
      </w:r>
      <w:bookmarkEnd w:id="2"/>
    </w:p>
    <w:p>
      <w:pPr>
        <w:jc w:val="center"/>
        <w:outlineLvl w:val="0"/>
        <w:rPr>
          <w:rFonts w:hint="eastAsia" w:ascii="方正小标宋_GBK" w:eastAsia="方正小标宋_GBK"/>
          <w:sz w:val="32"/>
        </w:rPr>
      </w:pPr>
      <w:bookmarkStart w:id="3" w:name="_Toc1917612"/>
      <w:r>
        <w:rPr>
          <w:rFonts w:hint="eastAsia" w:ascii="方正小标宋_GBK" w:eastAsia="方正小标宋_GBK"/>
          <w:sz w:val="32"/>
        </w:rPr>
        <w:t>部门政府采购预算</w:t>
      </w:r>
      <w:bookmarkEnd w:id="3"/>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8"/>
        <w:gridCol w:w="1161"/>
        <w:gridCol w:w="864"/>
        <w:gridCol w:w="876"/>
        <w:gridCol w:w="651"/>
        <w:gridCol w:w="846"/>
        <w:gridCol w:w="951"/>
        <w:gridCol w:w="1169"/>
        <w:gridCol w:w="1169"/>
        <w:gridCol w:w="1169"/>
        <w:gridCol w:w="852"/>
        <w:gridCol w:w="855"/>
        <w:gridCol w:w="855"/>
        <w:gridCol w:w="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687"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隆尧县老干部局</w:t>
            </w:r>
          </w:p>
        </w:tc>
        <w:tc>
          <w:tcPr>
            <w:tcW w:w="6881"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99"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6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84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81"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64" w:type="dxa"/>
            <w:vMerge w:val="continue"/>
            <w:shd w:val="clear" w:color="auto" w:fill="auto"/>
            <w:vAlign w:val="center"/>
          </w:tcPr>
          <w:p>
            <w:pPr>
              <w:spacing w:line="300" w:lineRule="exact"/>
              <w:jc w:val="left"/>
              <w:outlineLvl w:val="0"/>
            </w:pPr>
          </w:p>
        </w:tc>
        <w:tc>
          <w:tcPr>
            <w:tcW w:w="876" w:type="dxa"/>
            <w:vMerge w:val="continue"/>
            <w:shd w:val="clear" w:color="auto" w:fill="auto"/>
            <w:vAlign w:val="center"/>
          </w:tcPr>
          <w:p>
            <w:pPr>
              <w:spacing w:line="300" w:lineRule="exact"/>
              <w:jc w:val="left"/>
              <w:outlineLvl w:val="0"/>
            </w:pPr>
          </w:p>
        </w:tc>
        <w:tc>
          <w:tcPr>
            <w:tcW w:w="651" w:type="dxa"/>
            <w:vMerge w:val="continue"/>
            <w:shd w:val="clear" w:color="auto" w:fill="auto"/>
            <w:vAlign w:val="center"/>
          </w:tcPr>
          <w:p>
            <w:pPr>
              <w:spacing w:line="300" w:lineRule="exact"/>
              <w:jc w:val="left"/>
              <w:outlineLvl w:val="0"/>
            </w:pPr>
          </w:p>
        </w:tc>
        <w:tc>
          <w:tcPr>
            <w:tcW w:w="846" w:type="dxa"/>
            <w:vMerge w:val="continue"/>
            <w:shd w:val="clear" w:color="auto" w:fill="auto"/>
            <w:vAlign w:val="center"/>
          </w:tcPr>
          <w:p>
            <w:pPr>
              <w:spacing w:line="300" w:lineRule="exact"/>
              <w:jc w:val="left"/>
              <w:outlineLvl w:val="0"/>
            </w:pPr>
          </w:p>
        </w:tc>
        <w:tc>
          <w:tcPr>
            <w:tcW w:w="951" w:type="dxa"/>
            <w:vMerge w:val="continue"/>
            <w:shd w:val="clear" w:color="auto" w:fill="auto"/>
            <w:vAlign w:val="center"/>
          </w:tcPr>
          <w:p>
            <w:pPr>
              <w:spacing w:line="300" w:lineRule="exact"/>
              <w:jc w:val="left"/>
              <w:outlineLvl w:val="0"/>
            </w:pPr>
          </w:p>
        </w:tc>
        <w:tc>
          <w:tcPr>
            <w:tcW w:w="116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900"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1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338" w:type="dxa"/>
            <w:vMerge w:val="continue"/>
            <w:shd w:val="clear" w:color="auto" w:fill="auto"/>
            <w:vAlign w:val="center"/>
          </w:tcPr>
          <w:p>
            <w:pPr>
              <w:spacing w:line="300" w:lineRule="exact"/>
              <w:jc w:val="left"/>
              <w:outlineLvl w:val="0"/>
            </w:pPr>
          </w:p>
        </w:tc>
        <w:tc>
          <w:tcPr>
            <w:tcW w:w="1161" w:type="dxa"/>
            <w:vMerge w:val="continue"/>
            <w:shd w:val="clear" w:color="auto" w:fill="auto"/>
            <w:vAlign w:val="center"/>
          </w:tcPr>
          <w:p>
            <w:pPr>
              <w:spacing w:line="300" w:lineRule="exact"/>
              <w:jc w:val="left"/>
              <w:outlineLvl w:val="0"/>
            </w:pPr>
          </w:p>
        </w:tc>
        <w:tc>
          <w:tcPr>
            <w:tcW w:w="864" w:type="dxa"/>
            <w:vMerge w:val="continue"/>
            <w:shd w:val="clear" w:color="auto" w:fill="auto"/>
            <w:vAlign w:val="center"/>
          </w:tcPr>
          <w:p>
            <w:pPr>
              <w:spacing w:line="300" w:lineRule="exact"/>
              <w:jc w:val="left"/>
              <w:outlineLvl w:val="0"/>
            </w:pPr>
          </w:p>
        </w:tc>
        <w:tc>
          <w:tcPr>
            <w:tcW w:w="876" w:type="dxa"/>
            <w:vMerge w:val="continue"/>
            <w:shd w:val="clear" w:color="auto" w:fill="auto"/>
            <w:vAlign w:val="center"/>
          </w:tcPr>
          <w:p>
            <w:pPr>
              <w:spacing w:line="300" w:lineRule="exact"/>
              <w:jc w:val="left"/>
              <w:outlineLvl w:val="0"/>
            </w:pPr>
          </w:p>
        </w:tc>
        <w:tc>
          <w:tcPr>
            <w:tcW w:w="651" w:type="dxa"/>
            <w:vMerge w:val="continue"/>
            <w:shd w:val="clear" w:color="auto" w:fill="auto"/>
            <w:vAlign w:val="center"/>
          </w:tcPr>
          <w:p>
            <w:pPr>
              <w:spacing w:line="300" w:lineRule="exact"/>
              <w:jc w:val="left"/>
              <w:outlineLvl w:val="0"/>
            </w:pPr>
          </w:p>
        </w:tc>
        <w:tc>
          <w:tcPr>
            <w:tcW w:w="846" w:type="dxa"/>
            <w:vMerge w:val="continue"/>
            <w:shd w:val="clear" w:color="auto" w:fill="auto"/>
            <w:vAlign w:val="center"/>
          </w:tcPr>
          <w:p>
            <w:pPr>
              <w:spacing w:line="300" w:lineRule="exact"/>
              <w:jc w:val="left"/>
              <w:outlineLvl w:val="0"/>
            </w:pPr>
          </w:p>
        </w:tc>
        <w:tc>
          <w:tcPr>
            <w:tcW w:w="951" w:type="dxa"/>
            <w:vMerge w:val="continue"/>
            <w:shd w:val="clear" w:color="auto" w:fill="auto"/>
            <w:vAlign w:val="center"/>
          </w:tcPr>
          <w:p>
            <w:pPr>
              <w:spacing w:line="300" w:lineRule="exact"/>
              <w:jc w:val="left"/>
              <w:outlineLvl w:val="0"/>
            </w:pPr>
          </w:p>
        </w:tc>
        <w:tc>
          <w:tcPr>
            <w:tcW w:w="1169" w:type="dxa"/>
            <w:vMerge w:val="continue"/>
            <w:shd w:val="clear" w:color="auto" w:fill="auto"/>
            <w:vAlign w:val="center"/>
          </w:tcPr>
          <w:p>
            <w:pPr>
              <w:spacing w:line="300" w:lineRule="exact"/>
              <w:jc w:val="left"/>
              <w:outlineLvl w:val="0"/>
            </w:pPr>
          </w:p>
        </w:tc>
        <w:tc>
          <w:tcPr>
            <w:tcW w:w="11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12"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61" w:type="dxa"/>
            <w:shd w:val="clear" w:color="auto" w:fill="auto"/>
            <w:vAlign w:val="center"/>
          </w:tcPr>
          <w:p>
            <w:pPr>
              <w:spacing w:line="300" w:lineRule="exact"/>
              <w:jc w:val="right"/>
              <w:rPr>
                <w:rFonts w:ascii="方正书宋_GBK" w:eastAsia="方正书宋_GBK"/>
                <w:b/>
              </w:rPr>
            </w:pPr>
          </w:p>
        </w:tc>
        <w:tc>
          <w:tcPr>
            <w:tcW w:w="864" w:type="dxa"/>
            <w:shd w:val="clear" w:color="auto" w:fill="auto"/>
            <w:vAlign w:val="center"/>
          </w:tcPr>
          <w:p>
            <w:pPr>
              <w:spacing w:line="300" w:lineRule="exact"/>
              <w:jc w:val="left"/>
              <w:rPr>
                <w:rFonts w:ascii="方正书宋_GBK" w:eastAsia="方正书宋_GBK"/>
                <w:b/>
              </w:rPr>
            </w:pPr>
          </w:p>
        </w:tc>
        <w:tc>
          <w:tcPr>
            <w:tcW w:w="876" w:type="dxa"/>
            <w:shd w:val="clear" w:color="auto" w:fill="auto"/>
            <w:vAlign w:val="center"/>
          </w:tcPr>
          <w:p>
            <w:pPr>
              <w:spacing w:line="300" w:lineRule="exact"/>
              <w:jc w:val="left"/>
              <w:rPr>
                <w:rFonts w:ascii="方正书宋_GBK" w:eastAsia="方正书宋_GBK"/>
                <w:b/>
              </w:rPr>
            </w:pPr>
          </w:p>
        </w:tc>
        <w:tc>
          <w:tcPr>
            <w:tcW w:w="651" w:type="dxa"/>
            <w:shd w:val="clear" w:color="auto" w:fill="auto"/>
            <w:vAlign w:val="center"/>
          </w:tcPr>
          <w:p>
            <w:pPr>
              <w:spacing w:line="300" w:lineRule="exact"/>
              <w:jc w:val="left"/>
              <w:rPr>
                <w:rFonts w:ascii="方正书宋_GBK" w:eastAsia="方正书宋_GBK"/>
                <w:b/>
              </w:rPr>
            </w:pPr>
          </w:p>
        </w:tc>
        <w:tc>
          <w:tcPr>
            <w:tcW w:w="846" w:type="dxa"/>
            <w:shd w:val="clear" w:color="auto" w:fill="auto"/>
            <w:vAlign w:val="center"/>
          </w:tcPr>
          <w:p>
            <w:pPr>
              <w:spacing w:line="300" w:lineRule="exact"/>
              <w:jc w:val="right"/>
              <w:rPr>
                <w:rFonts w:ascii="方正书宋_GBK" w:eastAsia="方正书宋_GBK"/>
                <w:b/>
              </w:rPr>
            </w:pPr>
          </w:p>
        </w:tc>
        <w:tc>
          <w:tcPr>
            <w:tcW w:w="951" w:type="dxa"/>
            <w:shd w:val="clear" w:color="auto" w:fill="auto"/>
            <w:vAlign w:val="center"/>
          </w:tcPr>
          <w:p>
            <w:pPr>
              <w:spacing w:line="300" w:lineRule="exact"/>
              <w:jc w:val="right"/>
              <w:rPr>
                <w:rFonts w:ascii="方正书宋_GBK" w:eastAsia="方正书宋_GBK"/>
                <w:b/>
              </w:rPr>
            </w:pP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rPr>
            </w:pPr>
            <w:r>
              <w:rPr>
                <w:rFonts w:hint="eastAsia" w:ascii="方正书宋_GBK" w:eastAsia="方正书宋_GBK"/>
                <w:b/>
                <w:lang w:val="en-US" w:eastAsia="zh-CN"/>
              </w:rPr>
              <w:t>4.472</w:t>
            </w:r>
          </w:p>
        </w:tc>
        <w:tc>
          <w:tcPr>
            <w:tcW w:w="852"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中国共产党隆尧县委员会老干部局小计</w:t>
            </w:r>
          </w:p>
        </w:tc>
        <w:tc>
          <w:tcPr>
            <w:tcW w:w="1161" w:type="dxa"/>
            <w:shd w:val="clear" w:color="auto" w:fill="auto"/>
            <w:vAlign w:val="center"/>
          </w:tcPr>
          <w:p>
            <w:pPr>
              <w:spacing w:line="300" w:lineRule="exact"/>
              <w:jc w:val="right"/>
              <w:rPr>
                <w:rFonts w:ascii="方正书宋_GBK" w:eastAsia="方正书宋_GBK"/>
                <w:b/>
              </w:rPr>
            </w:pPr>
          </w:p>
        </w:tc>
        <w:tc>
          <w:tcPr>
            <w:tcW w:w="864" w:type="dxa"/>
            <w:shd w:val="clear" w:color="auto" w:fill="auto"/>
            <w:vAlign w:val="center"/>
          </w:tcPr>
          <w:p>
            <w:pPr>
              <w:spacing w:line="300" w:lineRule="exact"/>
              <w:jc w:val="left"/>
              <w:rPr>
                <w:rFonts w:ascii="方正书宋_GBK" w:eastAsia="方正书宋_GBK"/>
                <w:b/>
              </w:rPr>
            </w:pPr>
          </w:p>
        </w:tc>
        <w:tc>
          <w:tcPr>
            <w:tcW w:w="876" w:type="dxa"/>
            <w:shd w:val="clear" w:color="auto" w:fill="auto"/>
            <w:vAlign w:val="center"/>
          </w:tcPr>
          <w:p>
            <w:pPr>
              <w:spacing w:line="300" w:lineRule="exact"/>
              <w:jc w:val="left"/>
              <w:rPr>
                <w:rFonts w:ascii="方正书宋_GBK" w:eastAsia="方正书宋_GBK"/>
                <w:b/>
              </w:rPr>
            </w:pPr>
          </w:p>
        </w:tc>
        <w:tc>
          <w:tcPr>
            <w:tcW w:w="651" w:type="dxa"/>
            <w:shd w:val="clear" w:color="auto" w:fill="auto"/>
            <w:vAlign w:val="center"/>
          </w:tcPr>
          <w:p>
            <w:pPr>
              <w:spacing w:line="300" w:lineRule="exact"/>
              <w:jc w:val="left"/>
              <w:rPr>
                <w:rFonts w:ascii="方正书宋_GBK" w:eastAsia="方正书宋_GBK"/>
                <w:b/>
              </w:rPr>
            </w:pPr>
          </w:p>
        </w:tc>
        <w:tc>
          <w:tcPr>
            <w:tcW w:w="846" w:type="dxa"/>
            <w:shd w:val="clear" w:color="auto" w:fill="auto"/>
            <w:vAlign w:val="center"/>
          </w:tcPr>
          <w:p>
            <w:pPr>
              <w:spacing w:line="300" w:lineRule="exact"/>
              <w:jc w:val="right"/>
              <w:rPr>
                <w:rFonts w:ascii="方正书宋_GBK" w:eastAsia="方正书宋_GBK"/>
                <w:b/>
              </w:rPr>
            </w:pPr>
          </w:p>
        </w:tc>
        <w:tc>
          <w:tcPr>
            <w:tcW w:w="951" w:type="dxa"/>
            <w:shd w:val="clear" w:color="auto" w:fill="auto"/>
            <w:vAlign w:val="center"/>
          </w:tcPr>
          <w:p>
            <w:pPr>
              <w:spacing w:line="300" w:lineRule="exact"/>
              <w:jc w:val="right"/>
              <w:rPr>
                <w:rFonts w:ascii="方正书宋_GBK" w:eastAsia="方正书宋_GBK"/>
                <w:b/>
              </w:rPr>
            </w:pP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1169"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4.472</w:t>
            </w:r>
          </w:p>
        </w:tc>
        <w:tc>
          <w:tcPr>
            <w:tcW w:w="852"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55" w:type="dxa"/>
            <w:shd w:val="clear" w:color="auto" w:fill="auto"/>
            <w:vAlign w:val="center"/>
          </w:tcPr>
          <w:p>
            <w:pPr>
              <w:spacing w:line="300" w:lineRule="exact"/>
              <w:jc w:val="right"/>
              <w:rPr>
                <w:rFonts w:ascii="方正书宋_GBK" w:eastAsia="方正书宋_GBK"/>
                <w:b/>
              </w:rPr>
            </w:pPr>
          </w:p>
        </w:tc>
        <w:tc>
          <w:tcPr>
            <w:tcW w:w="812"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关工委经费</w:t>
            </w:r>
          </w:p>
        </w:tc>
        <w:tc>
          <w:tcPr>
            <w:tcW w:w="11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0</w:t>
            </w:r>
          </w:p>
        </w:tc>
        <w:tc>
          <w:tcPr>
            <w:tcW w:w="86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复印纸</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A</w:t>
            </w:r>
            <w:r>
              <w:rPr>
                <w:rFonts w:hint="eastAsia" w:ascii="方正书宋_GBK" w:eastAsia="方正书宋_GBK"/>
                <w:lang w:val="en-US" w:eastAsia="zh-CN"/>
              </w:rPr>
              <w:t>23</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包</w:t>
            </w:r>
          </w:p>
        </w:tc>
        <w:tc>
          <w:tcPr>
            <w:tcW w:w="846"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0.00225</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0.054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0.054</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关工委经费</w:t>
            </w:r>
          </w:p>
        </w:tc>
        <w:tc>
          <w:tcPr>
            <w:tcW w:w="1161"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印刷品</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C27</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本</w:t>
            </w:r>
          </w:p>
        </w:tc>
        <w:tc>
          <w:tcPr>
            <w:tcW w:w="846"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0</w:t>
            </w:r>
            <w:r>
              <w:rPr>
                <w:rFonts w:ascii="方正书宋_GBK" w:eastAsia="方正书宋_GBK"/>
              </w:rPr>
              <w:t>0</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0.003</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3.00</w:t>
            </w:r>
          </w:p>
        </w:tc>
        <w:tc>
          <w:tcPr>
            <w:tcW w:w="116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.00</w:t>
            </w:r>
          </w:p>
        </w:tc>
        <w:tc>
          <w:tcPr>
            <w:tcW w:w="1169" w:type="dxa"/>
            <w:shd w:val="clear" w:color="auto" w:fill="auto"/>
            <w:vAlign w:val="center"/>
          </w:tcPr>
          <w:p>
            <w:pPr>
              <w:spacing w:line="300" w:lineRule="exact"/>
              <w:jc w:val="right"/>
              <w:rPr>
                <w:rFonts w:ascii="方正书宋_GBK" w:eastAsia="方正书宋_GBK"/>
              </w:rPr>
            </w:pPr>
            <w:r>
              <w:rPr>
                <w:rFonts w:ascii="方正书宋_GBK" w:eastAsia="方正书宋_GBK"/>
              </w:rPr>
              <w:t>3</w:t>
            </w:r>
            <w:r>
              <w:rPr>
                <w:rFonts w:hint="eastAsia" w:ascii="方正书宋_GBK" w:eastAsia="方正书宋_GBK"/>
                <w:lang w:val="en-US" w:eastAsia="zh-CN"/>
              </w:rPr>
              <w:t>.00</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老年大学经费</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2</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复印纸</w:t>
            </w:r>
          </w:p>
        </w:tc>
        <w:tc>
          <w:tcPr>
            <w:tcW w:w="876" w:type="dxa"/>
            <w:shd w:val="clear" w:color="auto" w:fill="auto"/>
            <w:vAlign w:val="center"/>
          </w:tcPr>
          <w:p>
            <w:pPr>
              <w:spacing w:line="300" w:lineRule="exact"/>
              <w:jc w:val="left"/>
              <w:rPr>
                <w:rFonts w:ascii="方正书宋_GBK" w:eastAsia="方正书宋_GBK"/>
              </w:rPr>
            </w:pPr>
            <w:r>
              <w:rPr>
                <w:rFonts w:ascii="方正书宋_GBK" w:eastAsia="方正书宋_GBK"/>
              </w:rPr>
              <w:t>A09</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包</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8</w:t>
            </w:r>
          </w:p>
        </w:tc>
        <w:tc>
          <w:tcPr>
            <w:tcW w:w="951"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0.00225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0.018</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0.018</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0.018</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老年大学经费</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2</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印刷品</w:t>
            </w:r>
          </w:p>
        </w:tc>
        <w:tc>
          <w:tcPr>
            <w:tcW w:w="8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C27</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份</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300</w:t>
            </w:r>
          </w:p>
        </w:tc>
        <w:tc>
          <w:tcPr>
            <w:tcW w:w="951"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0.001</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计算机设备及软件</w:t>
            </w:r>
          </w:p>
        </w:tc>
        <w:tc>
          <w:tcPr>
            <w:tcW w:w="876" w:type="dxa"/>
            <w:shd w:val="clear" w:color="auto" w:fill="auto"/>
            <w:vAlign w:val="center"/>
          </w:tcPr>
          <w:p>
            <w:pPr>
              <w:spacing w:line="300" w:lineRule="exact"/>
              <w:jc w:val="left"/>
              <w:rPr>
                <w:rFonts w:ascii="方正书宋_GBK" w:eastAsia="方正书宋_GBK"/>
              </w:rPr>
            </w:pPr>
            <w:r>
              <w:rPr>
                <w:rFonts w:ascii="方正书宋_GBK" w:eastAsia="方正书宋_GBK"/>
              </w:rPr>
              <w:t>A</w:t>
            </w:r>
            <w:r>
              <w:rPr>
                <w:rFonts w:hint="eastAsia" w:ascii="方正书宋_GBK" w:eastAsia="方正书宋_GBK"/>
                <w:lang w:val="en-US" w:eastAsia="zh-CN"/>
              </w:rPr>
              <w:t>2</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tabs>
                <w:tab w:val="left" w:pos="282"/>
              </w:tabs>
              <w:spacing w:line="300" w:lineRule="exact"/>
              <w:jc w:val="right"/>
              <w:rPr>
                <w:rFonts w:ascii="方正书宋_GBK" w:eastAsia="方正书宋_GBK"/>
              </w:rPr>
            </w:pPr>
            <w:r>
              <w:rPr>
                <w:rFonts w:hint="eastAsia" w:ascii="方正书宋_GBK" w:eastAsia="方正书宋_GBK"/>
                <w:lang w:val="en-US" w:eastAsia="zh-CN"/>
              </w:rPr>
              <w:t>1</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0.374</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0.374</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销毁设备</w:t>
            </w:r>
          </w:p>
        </w:tc>
        <w:tc>
          <w:tcPr>
            <w:tcW w:w="8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A</w:t>
            </w:r>
            <w:r>
              <w:rPr>
                <w:rFonts w:hint="eastAsia" w:ascii="方正书宋_GBK" w:eastAsia="方正书宋_GBK"/>
                <w:lang w:val="en-US" w:eastAsia="zh-CN"/>
              </w:rPr>
              <w:t>16</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tabs>
                <w:tab w:val="left" w:pos="282"/>
              </w:tabs>
              <w:spacing w:line="300" w:lineRule="exact"/>
              <w:jc w:val="right"/>
              <w:rPr>
                <w:rFonts w:hint="default" w:ascii="方正书宋_GBK" w:eastAsia="方正书宋_GBK"/>
                <w:lang w:val="en-US"/>
              </w:rPr>
            </w:pPr>
            <w:r>
              <w:rPr>
                <w:rFonts w:hint="eastAsia" w:ascii="方正书宋_GBK" w:eastAsia="方正书宋_GBK"/>
                <w:lang w:val="en-US" w:eastAsia="zh-CN"/>
              </w:rPr>
              <w:t>2</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0.088</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0.176</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3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办公设备购置</w:t>
            </w:r>
          </w:p>
        </w:tc>
        <w:tc>
          <w:tcPr>
            <w:tcW w:w="1161"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1.1</w:t>
            </w:r>
          </w:p>
        </w:tc>
        <w:tc>
          <w:tcPr>
            <w:tcW w:w="86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办公设备</w:t>
            </w:r>
          </w:p>
        </w:tc>
        <w:tc>
          <w:tcPr>
            <w:tcW w:w="876" w:type="dxa"/>
            <w:shd w:val="clear" w:color="auto" w:fill="auto"/>
            <w:vAlign w:val="center"/>
          </w:tcPr>
          <w:p>
            <w:pPr>
              <w:spacing w:line="300" w:lineRule="exact"/>
              <w:jc w:val="left"/>
              <w:rPr>
                <w:rFonts w:hint="default" w:ascii="方正书宋_GBK" w:eastAsia="方正书宋_GBK"/>
                <w:lang w:val="en-US"/>
              </w:rPr>
            </w:pPr>
            <w:r>
              <w:rPr>
                <w:rFonts w:ascii="方正书宋_GBK" w:eastAsia="方正书宋_GBK"/>
              </w:rPr>
              <w:t>A</w:t>
            </w:r>
            <w:r>
              <w:rPr>
                <w:rFonts w:hint="eastAsia" w:ascii="方正书宋_GBK" w:eastAsia="方正书宋_GBK"/>
                <w:lang w:val="en-US" w:eastAsia="zh-CN"/>
              </w:rPr>
              <w:t>13</w:t>
            </w:r>
          </w:p>
        </w:tc>
        <w:tc>
          <w:tcPr>
            <w:tcW w:w="65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84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51"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1169"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0.55</w:t>
            </w:r>
          </w:p>
        </w:tc>
        <w:tc>
          <w:tcPr>
            <w:tcW w:w="852"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55" w:type="dxa"/>
            <w:shd w:val="clear" w:color="auto" w:fill="auto"/>
            <w:vAlign w:val="center"/>
          </w:tcPr>
          <w:p>
            <w:pPr>
              <w:spacing w:line="300" w:lineRule="exact"/>
              <w:jc w:val="right"/>
              <w:rPr>
                <w:rFonts w:ascii="方正书宋_GBK" w:eastAsia="方正书宋_GBK"/>
              </w:rPr>
            </w:pPr>
          </w:p>
        </w:tc>
        <w:tc>
          <w:tcPr>
            <w:tcW w:w="812"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outlineLvl w:val="0"/>
        <w:rPr>
          <w:rFonts w:hint="eastAsia"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default"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eastAsia="zh-CN"/>
        </w:rPr>
        <w:t>隆尧县委老干部局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66.81万</w:t>
      </w:r>
      <w:r>
        <w:rPr>
          <w:rFonts w:hint="eastAsia" w:ascii="Times New Roman" w:hAnsi="Times New Roman" w:eastAsia="仿宋" w:cs="Times New Roman"/>
          <w:color w:val="000000"/>
          <w:sz w:val="32"/>
          <w:szCs w:val="32"/>
        </w:rPr>
        <w:t>元（详见下表），</w:t>
      </w:r>
      <w:r>
        <w:rPr>
          <w:rFonts w:hint="eastAsia" w:ascii="Times New Roman" w:hAnsi="Times New Roman" w:eastAsia="仿宋" w:cs="Times New Roman"/>
          <w:color w:val="000000"/>
          <w:sz w:val="32"/>
          <w:szCs w:val="32"/>
          <w:lang w:eastAsia="zh-CN"/>
        </w:rPr>
        <w:t>本年度拟购置固定资产总额为</w:t>
      </w:r>
      <w:r>
        <w:rPr>
          <w:rFonts w:hint="eastAsia" w:ascii="Times New Roman" w:hAnsi="Times New Roman" w:eastAsia="仿宋" w:cs="Times New Roman"/>
          <w:color w:val="000000"/>
          <w:sz w:val="32"/>
          <w:szCs w:val="32"/>
          <w:lang w:val="en-US" w:eastAsia="zh-CN"/>
        </w:rPr>
        <w:t>1.1万元，主要为计算机设备、多功能一体机、碎纸机等，已列入政府采购预算，详见政府采购预算表。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lang w:eastAsia="zh-CN"/>
              </w:rPr>
              <w:t>隆尧县老干部局</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隆尧县委老干部局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lang w:val="en-US" w:eastAsia="zh-CN"/>
              </w:rPr>
              <w:t>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66.81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3</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66.81</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、上年结转：指以前年度尚未完成、结转到本年仍按原规定用途继续使用的资金。</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rPr>
          <w:rFonts w:hint="eastAsia"/>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footnotePr>
    <w:footnote w:id="2"/>
    <w:footnote w:id="3"/>
  </w:foot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zNWI3YjQzYTA5ZjhkZGEyMTA0MjQyMTJmZTE0ZjMifQ=="/>
  </w:docVars>
  <w:rsids>
    <w:rsidRoot w:val="00C67CC4"/>
    <w:rsid w:val="0000235E"/>
    <w:rsid w:val="00121E84"/>
    <w:rsid w:val="003F4292"/>
    <w:rsid w:val="0046545D"/>
    <w:rsid w:val="005D4D1C"/>
    <w:rsid w:val="00680CA9"/>
    <w:rsid w:val="006A7DC2"/>
    <w:rsid w:val="007941F0"/>
    <w:rsid w:val="00813D31"/>
    <w:rsid w:val="0098645C"/>
    <w:rsid w:val="00A5050A"/>
    <w:rsid w:val="00AF4642"/>
    <w:rsid w:val="00C004CE"/>
    <w:rsid w:val="00C40AA4"/>
    <w:rsid w:val="00C67CC4"/>
    <w:rsid w:val="00D006F3"/>
    <w:rsid w:val="00E271E7"/>
    <w:rsid w:val="00EB3532"/>
    <w:rsid w:val="00EC3709"/>
    <w:rsid w:val="00F73D27"/>
    <w:rsid w:val="02D17B65"/>
    <w:rsid w:val="03764151"/>
    <w:rsid w:val="04A4006F"/>
    <w:rsid w:val="06E354D2"/>
    <w:rsid w:val="1A423773"/>
    <w:rsid w:val="261B3ED3"/>
    <w:rsid w:val="2A7C4010"/>
    <w:rsid w:val="2E876719"/>
    <w:rsid w:val="3E115B53"/>
    <w:rsid w:val="47731ED9"/>
    <w:rsid w:val="4DAB554F"/>
    <w:rsid w:val="58F50973"/>
    <w:rsid w:val="5B902BED"/>
    <w:rsid w:val="5C9C1CD5"/>
    <w:rsid w:val="63F74A1E"/>
    <w:rsid w:val="699A024A"/>
    <w:rsid w:val="6B53295C"/>
    <w:rsid w:val="6DDB74F8"/>
    <w:rsid w:val="7DBB9512"/>
    <w:rsid w:val="DE7B1B79"/>
    <w:rsid w:val="EFE1DF4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5"/>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locked/>
    <w:uiPriority w:val="0"/>
    <w:rPr>
      <w:b/>
      <w:sz w:val="20"/>
    </w:rPr>
  </w:style>
  <w:style w:type="character" w:styleId="11">
    <w:name w:val="page number"/>
    <w:basedOn w:val="9"/>
    <w:semiHidden/>
    <w:unhideWhenUsed/>
    <w:qFormat/>
    <w:uiPriority w:val="99"/>
  </w:style>
  <w:style w:type="character" w:styleId="12">
    <w:name w:val="footnote reference"/>
    <w:basedOn w:val="9"/>
    <w:qFormat/>
    <w:uiPriority w:val="99"/>
    <w:rPr>
      <w:rFonts w:cs="Times New Roman"/>
      <w:vertAlign w:val="superscript"/>
    </w:rPr>
  </w:style>
  <w:style w:type="character" w:customStyle="1" w:styleId="13">
    <w:name w:val="Footer Char"/>
    <w:basedOn w:val="9"/>
    <w:link w:val="2"/>
    <w:semiHidden/>
    <w:qFormat/>
    <w:locked/>
    <w:uiPriority w:val="99"/>
    <w:rPr>
      <w:rFonts w:ascii="Times New Roman" w:hAnsi="Times New Roman" w:eastAsia="宋体" w:cs="Times New Roman"/>
      <w:sz w:val="18"/>
    </w:rPr>
  </w:style>
  <w:style w:type="character" w:customStyle="1" w:styleId="14">
    <w:name w:val="Header Char"/>
    <w:basedOn w:val="9"/>
    <w:link w:val="3"/>
    <w:semiHidden/>
    <w:qFormat/>
    <w:locked/>
    <w:uiPriority w:val="99"/>
    <w:rPr>
      <w:rFonts w:ascii="Times New Roman" w:hAnsi="Times New Roman" w:eastAsia="宋体" w:cs="Times New Roman"/>
      <w:sz w:val="18"/>
    </w:rPr>
  </w:style>
  <w:style w:type="character" w:customStyle="1" w:styleId="15">
    <w:name w:val="Footnote Text Char"/>
    <w:basedOn w:val="9"/>
    <w:link w:val="5"/>
    <w:semiHidden/>
    <w:qFormat/>
    <w:locked/>
    <w:uiPriority w:val="99"/>
    <w:rPr>
      <w:rFonts w:ascii="Calibri" w:hAnsi="Calibri" w:cs="黑体"/>
      <w:sz w:val="18"/>
      <w:szCs w:val="18"/>
    </w:rPr>
  </w:style>
  <w:style w:type="paragraph" w:customStyle="1" w:styleId="16">
    <w:name w:val="Char"/>
    <w:basedOn w:val="1"/>
    <w:qFormat/>
    <w:uiPriority w:val="99"/>
    <w:rPr>
      <w:rFonts w:ascii="Times New Roman" w:hAnsi="Times New Roman" w:cs="Times New Roman"/>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notes.xml" Type="http://schemas.openxmlformats.org/officeDocument/2006/relationships/footnotes"/><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12</Pages>
  <Words>4527</Words>
  <Characters>4994</Characters>
  <Lines>0</Lines>
  <Paragraphs>0</Paragraphs>
  <TotalTime>19</TotalTime>
  <ScaleCrop>false</ScaleCrop>
  <LinksUpToDate>false</LinksUpToDate>
  <CharactersWithSpaces>5018</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2019-02-26T18:50:00Z</dcterms:created>
  <dc:creator>guest</dc:creator>
  <cp:lastModifiedBy>work</cp:lastModifiedBy>
  <cp:lastPrinted>2017-02-10T17:57:00Z</cp:lastPrinted>
  <dcterms:modified xsi:type="dcterms:W3CDTF">2023-06-07T10:52:13Z</dcterms:modified>
  <cp:revision>3</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79A37B7B33D8B22DA2EB7F649F66C3A1</vt:lpwstr>
  </property>
</Properties>
</file>