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隆尧县公安局交通警察大队</w:t>
      </w:r>
      <w:r>
        <w:rPr>
          <w:rFonts w:ascii="Times New Roman" w:hAnsi="Times New Roman" w:eastAsia="方正小标宋_GBK" w:cs="方正小标宋_GBK"/>
          <w:sz w:val="44"/>
          <w:szCs w:val="44"/>
        </w:rPr>
        <w:t>2020</w:t>
      </w:r>
      <w:r>
        <w:rPr>
          <w:rFonts w:hint="eastAsia" w:ascii="Times New Roman" w:hAnsi="Times New Roman" w:eastAsia="方正小标宋_GBK" w:cs="方正小标宋_GBK"/>
          <w:sz w:val="44"/>
          <w:szCs w:val="44"/>
        </w:rPr>
        <w:t>年部门预算信息公开情况说明</w:t>
      </w:r>
    </w:p>
    <w:p>
      <w:pPr>
        <w:jc w:val="center"/>
        <w:rPr>
          <w:rFonts w:ascii="仿宋" w:hAnsi="仿宋" w:eastAsia="仿宋" w:cs="Times New Roman"/>
          <w:sz w:val="32"/>
          <w:szCs w:val="32"/>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按照《预算法》、《地方预决算公开操作规程》和《河北省省级预算公开办法》规定，现将隆尧县公安局交通警察大队</w:t>
      </w:r>
      <w:r>
        <w:rPr>
          <w:rFonts w:ascii="仿宋" w:hAnsi="仿宋" w:eastAsia="仿宋" w:cs="仿宋"/>
          <w:sz w:val="32"/>
          <w:szCs w:val="32"/>
        </w:rPr>
        <w:t>2020</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autoSpaceDE w:val="0"/>
        <w:autoSpaceDN w:val="0"/>
        <w:adjustRightInd w:val="0"/>
        <w:spacing w:line="540" w:lineRule="exact"/>
        <w:ind w:firstLine="643" w:firstLineChars="200"/>
        <w:jc w:val="left"/>
        <w:rPr>
          <w:rFonts w:ascii="仿宋_GB2312" w:hAnsi="仿宋_GB2312" w:eastAsia="仿宋_GB2312" w:cs="Times New Roman"/>
          <w:kern w:val="0"/>
          <w:sz w:val="32"/>
          <w:szCs w:val="32"/>
        </w:rPr>
      </w:pPr>
      <w:r>
        <w:rPr>
          <w:rFonts w:hint="eastAsia" w:ascii="仿宋_GB2312" w:hAnsi="仿宋_GB2312" w:eastAsia="仿宋_GB2312" w:cs="仿宋_GB2312"/>
          <w:b/>
          <w:bCs/>
          <w:color w:val="000000"/>
          <w:sz w:val="32"/>
          <w:szCs w:val="32"/>
        </w:rPr>
        <w:t>部门职责</w:t>
      </w:r>
      <w:r>
        <w:rPr>
          <w:rFonts w:hint="eastAsia" w:ascii="仿宋_GB2312" w:hAnsi="仿宋_GB2312" w:eastAsia="仿宋_GB2312" w:cs="仿宋_GB2312"/>
          <w:color w:val="000000"/>
          <w:sz w:val="32"/>
          <w:szCs w:val="32"/>
        </w:rPr>
        <w:t>：</w:t>
      </w:r>
    </w:p>
    <w:p>
      <w:pPr>
        <w:pStyle w:val="8"/>
        <w:shd w:val="clear" w:color="auto" w:fill="FFFFFF"/>
        <w:spacing w:before="0" w:beforeAutospacing="0" w:after="0" w:afterAutospacing="0"/>
        <w:ind w:firstLine="645"/>
        <w:rPr>
          <w:rFonts w:ascii="仿宋" w:hAnsi="仿宋" w:eastAsia="仿宋" w:cs="Times New Roman"/>
          <w:kern w:val="2"/>
          <w:sz w:val="32"/>
          <w:szCs w:val="32"/>
        </w:rPr>
      </w:pPr>
      <w:r>
        <w:rPr>
          <w:rFonts w:hint="eastAsia" w:ascii="仿宋" w:hAnsi="仿宋" w:eastAsia="仿宋" w:cs="仿宋"/>
          <w:kern w:val="2"/>
          <w:sz w:val="32"/>
          <w:szCs w:val="32"/>
        </w:rPr>
        <w:t>（一）、宣传、贯彻、实施《中华人民共和国道路交通安全法》、《中华人民共和国道路交通安全法实施条例》等交通安全法律法规。宣传交通安全常识，提高全民交通安全意识和法制观念。</w:t>
      </w:r>
    </w:p>
    <w:p>
      <w:pPr>
        <w:pStyle w:val="8"/>
        <w:shd w:val="clear" w:color="auto" w:fill="FFFFFF"/>
        <w:spacing w:before="0" w:beforeAutospacing="0" w:after="0" w:afterAutospacing="0"/>
        <w:ind w:firstLine="645"/>
        <w:rPr>
          <w:rFonts w:ascii="仿宋" w:hAnsi="仿宋" w:eastAsia="仿宋" w:cs="Times New Roman"/>
          <w:kern w:val="2"/>
          <w:sz w:val="32"/>
          <w:szCs w:val="32"/>
        </w:rPr>
      </w:pPr>
      <w:r>
        <w:rPr>
          <w:rFonts w:hint="eastAsia" w:ascii="仿宋" w:hAnsi="仿宋" w:eastAsia="仿宋" w:cs="仿宋"/>
          <w:kern w:val="2"/>
          <w:sz w:val="32"/>
          <w:szCs w:val="32"/>
        </w:rPr>
        <w:t>（二）、依法对全县道路实施交通安全管理，指挥疏导交通，维护道路交通秩序，开展各项交通治理整顿，纠正和处理各种交通违法。规范和管理交通活动参与者的行为。</w:t>
      </w:r>
    </w:p>
    <w:p>
      <w:pPr>
        <w:pStyle w:val="8"/>
        <w:shd w:val="clear" w:color="auto" w:fill="FFFFFF"/>
        <w:spacing w:before="0" w:beforeAutospacing="0" w:after="0" w:afterAutospacing="0"/>
        <w:ind w:firstLine="645"/>
        <w:rPr>
          <w:rFonts w:ascii="仿宋" w:hAnsi="仿宋" w:eastAsia="仿宋" w:cs="Times New Roman"/>
          <w:kern w:val="2"/>
          <w:sz w:val="32"/>
          <w:szCs w:val="32"/>
        </w:rPr>
      </w:pPr>
      <w:r>
        <w:rPr>
          <w:rFonts w:hint="eastAsia" w:ascii="仿宋" w:hAnsi="仿宋" w:eastAsia="仿宋" w:cs="仿宋"/>
          <w:kern w:val="2"/>
          <w:sz w:val="32"/>
          <w:szCs w:val="32"/>
        </w:rPr>
        <w:t>（三）、预防发生道路交通事故，对全县内发生的道路交通事故进行现场勘查、调查取证、责任认定、调解处理。侦破道路交通事故逃逸案，揖拿逃逸嫌疑人。</w:t>
      </w:r>
    </w:p>
    <w:p>
      <w:pPr>
        <w:pStyle w:val="8"/>
        <w:shd w:val="clear" w:color="auto" w:fill="FFFFFF"/>
        <w:spacing w:before="0" w:beforeAutospacing="0" w:after="0" w:afterAutospacing="0"/>
        <w:ind w:firstLine="645"/>
        <w:rPr>
          <w:rFonts w:ascii="仿宋" w:hAnsi="仿宋" w:eastAsia="仿宋" w:cs="Times New Roman"/>
          <w:kern w:val="2"/>
          <w:sz w:val="32"/>
          <w:szCs w:val="32"/>
        </w:rPr>
      </w:pPr>
      <w:r>
        <w:rPr>
          <w:rFonts w:hint="eastAsia" w:ascii="仿宋" w:hAnsi="仿宋" w:eastAsia="仿宋" w:cs="仿宋"/>
          <w:kern w:val="2"/>
          <w:sz w:val="32"/>
          <w:szCs w:val="32"/>
        </w:rPr>
        <w:t>（四）、负责定期检验机动车驾驶人能否适合参与交通活动的能力和身体状况。负责小型汽车、农用车、摩托车登记上牌及其农用车、摩托车驾驶人培训、考试、发证等工作。</w:t>
      </w:r>
    </w:p>
    <w:p>
      <w:pPr>
        <w:pStyle w:val="8"/>
        <w:shd w:val="clear" w:color="auto" w:fill="FFFFFF"/>
        <w:spacing w:before="0" w:beforeAutospacing="0" w:after="0" w:afterAutospacing="0"/>
        <w:ind w:firstLine="645"/>
        <w:rPr>
          <w:rFonts w:ascii="仿宋" w:hAnsi="仿宋" w:eastAsia="仿宋" w:cs="Times New Roman"/>
          <w:kern w:val="2"/>
          <w:sz w:val="32"/>
          <w:szCs w:val="32"/>
        </w:rPr>
      </w:pPr>
      <w:r>
        <w:rPr>
          <w:rFonts w:hint="eastAsia" w:ascii="仿宋" w:hAnsi="仿宋" w:eastAsia="仿宋" w:cs="仿宋"/>
          <w:kern w:val="2"/>
          <w:sz w:val="32"/>
          <w:szCs w:val="32"/>
        </w:rPr>
        <w:t>（五）、参与城市建设的道路交通安全规划制定，道路交通安全设施设置及维护等工作。</w:t>
      </w:r>
    </w:p>
    <w:p>
      <w:pPr>
        <w:pStyle w:val="8"/>
        <w:shd w:val="clear" w:color="auto" w:fill="FFFFFF"/>
        <w:spacing w:before="0" w:beforeAutospacing="0" w:after="0" w:afterAutospacing="0"/>
        <w:ind w:firstLine="645"/>
        <w:rPr>
          <w:rFonts w:ascii="仿宋" w:hAnsi="仿宋" w:eastAsia="仿宋" w:cs="Times New Roman"/>
          <w:kern w:val="2"/>
          <w:sz w:val="32"/>
          <w:szCs w:val="32"/>
        </w:rPr>
      </w:pPr>
      <w:r>
        <w:rPr>
          <w:rFonts w:hint="eastAsia" w:ascii="仿宋" w:hAnsi="仿宋" w:eastAsia="仿宋" w:cs="仿宋"/>
          <w:kern w:val="2"/>
          <w:sz w:val="32"/>
          <w:szCs w:val="32"/>
        </w:rPr>
        <w:t>（六）、调查、研究、分析交通运行参数与动态，提供各种交通管理对策依据，并预防交通事故的发生。对道路、车辆交通参与者及交通环境进行管理和监控、保障交通安全畅通，维护路面的治安秩序，为经济建设和人民的生产生活提供良好的交通环境。</w:t>
      </w:r>
    </w:p>
    <w:p>
      <w:pPr>
        <w:pStyle w:val="8"/>
        <w:shd w:val="clear" w:color="auto" w:fill="FFFFFF"/>
        <w:spacing w:before="0" w:beforeAutospacing="0" w:after="0" w:afterAutospacing="0"/>
        <w:ind w:firstLine="645"/>
        <w:rPr>
          <w:rFonts w:ascii="仿宋" w:hAnsi="仿宋" w:eastAsia="仿宋" w:cs="Times New Roman"/>
          <w:kern w:val="2"/>
          <w:sz w:val="32"/>
          <w:szCs w:val="32"/>
        </w:rPr>
      </w:pPr>
      <w:r>
        <w:rPr>
          <w:rFonts w:hint="eastAsia" w:ascii="仿宋" w:hAnsi="仿宋" w:eastAsia="仿宋" w:cs="仿宋"/>
          <w:kern w:val="2"/>
          <w:sz w:val="32"/>
          <w:szCs w:val="32"/>
        </w:rPr>
        <w:t>（七）、应急处理各类突发事件，保护国家和人民群众生命财产免受侵害和损失。</w:t>
      </w:r>
    </w:p>
    <w:p>
      <w:pPr>
        <w:pStyle w:val="8"/>
        <w:shd w:val="clear" w:color="auto" w:fill="FFFFFF"/>
        <w:spacing w:before="0" w:beforeAutospacing="0" w:after="0" w:afterAutospacing="0"/>
        <w:ind w:firstLine="645"/>
        <w:rPr>
          <w:rFonts w:ascii="仿宋" w:hAnsi="仿宋" w:eastAsia="仿宋" w:cs="Times New Roman"/>
          <w:kern w:val="2"/>
          <w:sz w:val="32"/>
          <w:szCs w:val="32"/>
        </w:rPr>
      </w:pPr>
      <w:r>
        <w:rPr>
          <w:rFonts w:hint="eastAsia" w:ascii="仿宋" w:hAnsi="仿宋" w:eastAsia="仿宋" w:cs="仿宋"/>
          <w:kern w:val="2"/>
          <w:sz w:val="32"/>
          <w:szCs w:val="32"/>
        </w:rPr>
        <w:t>（八）、执行交通警卫和非常情况下的交通管制。</w:t>
      </w:r>
    </w:p>
    <w:p>
      <w:pPr>
        <w:pStyle w:val="8"/>
        <w:shd w:val="clear" w:color="auto" w:fill="FFFFFF"/>
        <w:spacing w:before="0" w:beforeAutospacing="0" w:after="0" w:afterAutospacing="0"/>
        <w:ind w:firstLine="645"/>
        <w:rPr>
          <w:rFonts w:ascii="仿宋" w:hAnsi="仿宋" w:eastAsia="仿宋" w:cs="Times New Roman"/>
          <w:kern w:val="2"/>
          <w:sz w:val="32"/>
          <w:szCs w:val="32"/>
        </w:rPr>
      </w:pPr>
      <w:r>
        <w:rPr>
          <w:rFonts w:hint="eastAsia" w:ascii="仿宋" w:hAnsi="仿宋" w:eastAsia="仿宋" w:cs="仿宋"/>
          <w:kern w:val="2"/>
          <w:sz w:val="32"/>
          <w:szCs w:val="32"/>
        </w:rPr>
        <w:t>（九）、完成上级交办的其他工作任务以及公安部规定的应当履行的其它职责。</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9"/>
        <w:tblW w:w="104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821"/>
        <w:gridCol w:w="1680"/>
        <w:gridCol w:w="25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仿宋" w:hAnsi="仿宋" w:eastAsia="仿宋" w:cs="Times New Roman"/>
                <w:sz w:val="32"/>
                <w:szCs w:val="32"/>
              </w:rPr>
            </w:pPr>
            <w:r>
              <w:rPr>
                <w:rFonts w:hint="eastAsia" w:ascii="仿宋" w:hAnsi="仿宋" w:eastAsia="仿宋" w:cs="仿宋"/>
                <w:sz w:val="32"/>
                <w:szCs w:val="32"/>
              </w:rPr>
              <w:t>单位名称</w:t>
            </w:r>
          </w:p>
        </w:tc>
        <w:tc>
          <w:tcPr>
            <w:tcW w:w="1821" w:type="dxa"/>
            <w:vMerge w:val="restart"/>
            <w:vAlign w:val="center"/>
          </w:tcPr>
          <w:p>
            <w:pPr>
              <w:spacing w:line="300" w:lineRule="exact"/>
              <w:jc w:val="center"/>
              <w:rPr>
                <w:rFonts w:ascii="仿宋" w:hAnsi="仿宋" w:eastAsia="仿宋" w:cs="Times New Roman"/>
                <w:sz w:val="32"/>
                <w:szCs w:val="32"/>
              </w:rPr>
            </w:pPr>
            <w:r>
              <w:rPr>
                <w:rFonts w:hint="eastAsia" w:ascii="仿宋" w:hAnsi="仿宋" w:eastAsia="仿宋" w:cs="仿宋"/>
                <w:sz w:val="32"/>
                <w:szCs w:val="32"/>
              </w:rPr>
              <w:t>单位性质</w:t>
            </w:r>
          </w:p>
        </w:tc>
        <w:tc>
          <w:tcPr>
            <w:tcW w:w="1680" w:type="dxa"/>
            <w:vMerge w:val="restart"/>
            <w:vAlign w:val="center"/>
          </w:tcPr>
          <w:p>
            <w:pPr>
              <w:spacing w:line="300" w:lineRule="exact"/>
              <w:jc w:val="center"/>
              <w:rPr>
                <w:rFonts w:ascii="仿宋" w:hAnsi="仿宋" w:eastAsia="仿宋" w:cs="Times New Roman"/>
                <w:sz w:val="32"/>
                <w:szCs w:val="32"/>
              </w:rPr>
            </w:pPr>
            <w:r>
              <w:rPr>
                <w:rFonts w:hint="eastAsia" w:ascii="仿宋" w:hAnsi="仿宋" w:eastAsia="仿宋" w:cs="仿宋"/>
                <w:sz w:val="32"/>
                <w:szCs w:val="32"/>
              </w:rPr>
              <w:t>单位规格</w:t>
            </w:r>
          </w:p>
        </w:tc>
        <w:tc>
          <w:tcPr>
            <w:tcW w:w="2504" w:type="dxa"/>
            <w:vMerge w:val="restart"/>
            <w:vAlign w:val="center"/>
          </w:tcPr>
          <w:p>
            <w:pPr>
              <w:spacing w:line="300" w:lineRule="exact"/>
              <w:jc w:val="center"/>
              <w:rPr>
                <w:rFonts w:ascii="仿宋" w:hAnsi="仿宋" w:eastAsia="仿宋" w:cs="Times New Roman"/>
                <w:sz w:val="32"/>
                <w:szCs w:val="32"/>
              </w:rPr>
            </w:pPr>
            <w:r>
              <w:rPr>
                <w:rFonts w:hint="eastAsia" w:ascii="仿宋" w:hAnsi="仿宋" w:eastAsia="仿宋" w:cs="仿宋"/>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仿宋" w:hAnsi="仿宋" w:eastAsia="仿宋" w:cs="Times New Roman"/>
                <w:sz w:val="32"/>
                <w:szCs w:val="32"/>
              </w:rPr>
            </w:pPr>
          </w:p>
        </w:tc>
        <w:tc>
          <w:tcPr>
            <w:tcW w:w="1821" w:type="dxa"/>
            <w:vMerge w:val="continue"/>
            <w:vAlign w:val="center"/>
          </w:tcPr>
          <w:p>
            <w:pPr>
              <w:spacing w:line="300" w:lineRule="exact"/>
              <w:jc w:val="left"/>
              <w:outlineLvl w:val="0"/>
              <w:rPr>
                <w:rFonts w:ascii="仿宋" w:hAnsi="仿宋" w:eastAsia="仿宋" w:cs="Times New Roman"/>
                <w:sz w:val="32"/>
                <w:szCs w:val="32"/>
              </w:rPr>
            </w:pPr>
          </w:p>
        </w:tc>
        <w:tc>
          <w:tcPr>
            <w:tcW w:w="1680" w:type="dxa"/>
            <w:vMerge w:val="continue"/>
            <w:vAlign w:val="center"/>
          </w:tcPr>
          <w:p>
            <w:pPr>
              <w:spacing w:line="300" w:lineRule="exact"/>
              <w:jc w:val="left"/>
              <w:outlineLvl w:val="0"/>
              <w:rPr>
                <w:rFonts w:ascii="仿宋" w:hAnsi="仿宋" w:eastAsia="仿宋" w:cs="Times New Roman"/>
                <w:sz w:val="32"/>
                <w:szCs w:val="32"/>
              </w:rPr>
            </w:pPr>
          </w:p>
        </w:tc>
        <w:tc>
          <w:tcPr>
            <w:tcW w:w="2504" w:type="dxa"/>
            <w:vMerge w:val="continue"/>
            <w:vAlign w:val="center"/>
          </w:tcPr>
          <w:p>
            <w:pPr>
              <w:spacing w:line="300" w:lineRule="exact"/>
              <w:jc w:val="left"/>
              <w:outlineLvl w:val="0"/>
              <w:rPr>
                <w:rFonts w:ascii="仿宋" w:hAnsi="仿宋" w:eastAsia="仿宋" w:cs="Times New Roman"/>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3" w:hRule="atLeast"/>
          <w:jc w:val="center"/>
        </w:trPr>
        <w:tc>
          <w:tcPr>
            <w:tcW w:w="4417" w:type="dxa"/>
            <w:vAlign w:val="center"/>
          </w:tcPr>
          <w:p>
            <w:pPr>
              <w:spacing w:line="300" w:lineRule="exact"/>
              <w:jc w:val="center"/>
              <w:rPr>
                <w:rFonts w:ascii="仿宋" w:hAnsi="仿宋" w:eastAsia="仿宋" w:cs="Times New Roman"/>
                <w:sz w:val="32"/>
                <w:szCs w:val="32"/>
              </w:rPr>
            </w:pPr>
            <w:r>
              <w:rPr>
                <w:rFonts w:hint="eastAsia" w:ascii="仿宋" w:hAnsi="仿宋" w:eastAsia="仿宋" w:cs="仿宋"/>
                <w:sz w:val="32"/>
                <w:szCs w:val="32"/>
              </w:rPr>
              <w:t>隆尧县公安局交通警察大队</w:t>
            </w:r>
          </w:p>
        </w:tc>
        <w:tc>
          <w:tcPr>
            <w:tcW w:w="1821" w:type="dxa"/>
            <w:vAlign w:val="center"/>
          </w:tcPr>
          <w:p>
            <w:pPr>
              <w:spacing w:line="300" w:lineRule="exact"/>
              <w:jc w:val="center"/>
              <w:rPr>
                <w:rFonts w:ascii="仿宋" w:hAnsi="仿宋" w:eastAsia="仿宋" w:cs="Times New Roman"/>
                <w:sz w:val="32"/>
                <w:szCs w:val="32"/>
              </w:rPr>
            </w:pPr>
            <w:r>
              <w:rPr>
                <w:rFonts w:hint="eastAsia" w:ascii="仿宋" w:hAnsi="仿宋" w:eastAsia="仿宋" w:cs="仿宋"/>
                <w:sz w:val="32"/>
                <w:szCs w:val="32"/>
              </w:rPr>
              <w:t>行政</w:t>
            </w:r>
          </w:p>
        </w:tc>
        <w:tc>
          <w:tcPr>
            <w:tcW w:w="1680" w:type="dxa"/>
            <w:vAlign w:val="center"/>
          </w:tcPr>
          <w:p>
            <w:pPr>
              <w:spacing w:line="300" w:lineRule="exact"/>
              <w:jc w:val="center"/>
              <w:rPr>
                <w:rFonts w:ascii="仿宋" w:hAnsi="仿宋" w:eastAsia="仿宋" w:cs="Times New Roman"/>
                <w:sz w:val="32"/>
                <w:szCs w:val="32"/>
              </w:rPr>
            </w:pPr>
            <w:r>
              <w:rPr>
                <w:rFonts w:hint="eastAsia" w:ascii="仿宋" w:hAnsi="仿宋" w:eastAsia="仿宋" w:cs="仿宋"/>
                <w:sz w:val="32"/>
                <w:szCs w:val="32"/>
              </w:rPr>
              <w:t>科级</w:t>
            </w:r>
          </w:p>
        </w:tc>
        <w:tc>
          <w:tcPr>
            <w:tcW w:w="2504" w:type="dxa"/>
            <w:vAlign w:val="center"/>
          </w:tcPr>
          <w:p>
            <w:pPr>
              <w:spacing w:line="300" w:lineRule="exact"/>
              <w:jc w:val="center"/>
              <w:rPr>
                <w:rFonts w:ascii="仿宋" w:hAnsi="仿宋" w:eastAsia="仿宋" w:cs="Times New Roman"/>
                <w:sz w:val="32"/>
                <w:szCs w:val="32"/>
              </w:rPr>
            </w:pPr>
            <w:r>
              <w:rPr>
                <w:rFonts w:hint="eastAsia" w:ascii="仿宋" w:hAnsi="仿宋" w:eastAsia="仿宋" w:cs="仿宋"/>
                <w:sz w:val="32"/>
                <w:szCs w:val="32"/>
              </w:rPr>
              <w:t>财政拨款</w:t>
            </w:r>
          </w:p>
        </w:tc>
      </w:tr>
    </w:tbl>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按照预算管理有关规定，目前我大队部门预算的编制实行综合预算管理，即全部收入和支出都反映的预算中。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ascii="Times New Roman" w:hAnsi="Times New Roman" w:eastAsia="仿宋" w:cs="Times New Roman"/>
          <w:sz w:val="32"/>
          <w:szCs w:val="32"/>
        </w:rPr>
        <w:t>1554.22</w:t>
      </w:r>
      <w:r>
        <w:rPr>
          <w:rFonts w:hint="eastAsia" w:ascii="Times New Roman" w:hAnsi="Times New Roman" w:eastAsia="仿宋" w:cs="仿宋"/>
          <w:sz w:val="32"/>
          <w:szCs w:val="32"/>
        </w:rPr>
        <w:t>万元，其中：一般公共预算收入</w:t>
      </w:r>
      <w:r>
        <w:rPr>
          <w:rFonts w:ascii="Times New Roman" w:hAnsi="Times New Roman" w:eastAsia="仿宋" w:cs="Times New Roman"/>
          <w:sz w:val="32"/>
          <w:szCs w:val="32"/>
        </w:rPr>
        <w:t>1268.18</w:t>
      </w:r>
      <w:r>
        <w:rPr>
          <w:rFonts w:hint="eastAsia" w:ascii="Times New Roman" w:hAnsi="Times New Roman" w:eastAsia="仿宋" w:cs="仿宋"/>
          <w:sz w:val="32"/>
          <w:szCs w:val="32"/>
        </w:rPr>
        <w:t>万元，政府基金预算收入</w:t>
      </w:r>
      <w:r>
        <w:rPr>
          <w:rFonts w:ascii="Times New Roman" w:hAnsi="Times New Roman" w:eastAsia="仿宋" w:cs="Times New Roman"/>
          <w:sz w:val="32"/>
          <w:szCs w:val="32"/>
        </w:rPr>
        <w:t>286.05</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rPr>
        <w:t>隆尧县公安局交通警察大队</w:t>
      </w:r>
      <w:r>
        <w:rPr>
          <w:rFonts w:hint="eastAsia" w:ascii="Times New Roman" w:hAnsi="Times New Roman" w:eastAsia="仿宋" w:cs="仿宋"/>
          <w:sz w:val="32"/>
          <w:szCs w:val="32"/>
        </w:rPr>
        <w:t>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ascii="Times New Roman" w:hAnsi="Times New Roman" w:eastAsia="仿宋" w:cs="Times New Roman"/>
          <w:sz w:val="32"/>
          <w:szCs w:val="32"/>
        </w:rPr>
        <w:t>1554.22</w:t>
      </w:r>
      <w:r>
        <w:rPr>
          <w:rFonts w:hint="eastAsia" w:ascii="Times New Roman" w:hAnsi="Times New Roman" w:eastAsia="仿宋" w:cs="仿宋"/>
          <w:sz w:val="32"/>
          <w:szCs w:val="32"/>
        </w:rPr>
        <w:t>万元，其中基本支出</w:t>
      </w:r>
      <w:r>
        <w:rPr>
          <w:rFonts w:ascii="Times New Roman" w:hAnsi="Times New Roman" w:eastAsia="仿宋" w:cs="Times New Roman"/>
          <w:sz w:val="32"/>
          <w:szCs w:val="32"/>
        </w:rPr>
        <w:t>280.25</w:t>
      </w:r>
      <w:r>
        <w:rPr>
          <w:rFonts w:hint="eastAsia" w:ascii="Times New Roman" w:hAnsi="Times New Roman" w:eastAsia="仿宋" w:cs="仿宋"/>
          <w:sz w:val="32"/>
          <w:szCs w:val="32"/>
        </w:rPr>
        <w:t>万元，包括人员经费</w:t>
      </w:r>
      <w:r>
        <w:rPr>
          <w:rFonts w:ascii="Times New Roman" w:hAnsi="Times New Roman" w:eastAsia="仿宋" w:cs="Times New Roman"/>
          <w:sz w:val="32"/>
          <w:szCs w:val="32"/>
        </w:rPr>
        <w:t>229.14</w:t>
      </w:r>
      <w:r>
        <w:rPr>
          <w:rFonts w:hint="eastAsia" w:ascii="Times New Roman" w:hAnsi="Times New Roman" w:eastAsia="仿宋" w:cs="仿宋"/>
          <w:sz w:val="32"/>
          <w:szCs w:val="32"/>
        </w:rPr>
        <w:t>万元和日常公用经费</w:t>
      </w:r>
      <w:r>
        <w:rPr>
          <w:rFonts w:ascii="Times New Roman" w:hAnsi="Times New Roman" w:eastAsia="仿宋" w:cs="Times New Roman"/>
          <w:sz w:val="32"/>
          <w:szCs w:val="32"/>
        </w:rPr>
        <w:t>51.12</w:t>
      </w:r>
      <w:r>
        <w:rPr>
          <w:rFonts w:hint="eastAsia" w:ascii="Times New Roman" w:hAnsi="Times New Roman" w:eastAsia="仿宋" w:cs="仿宋"/>
          <w:sz w:val="32"/>
          <w:szCs w:val="32"/>
        </w:rPr>
        <w:t>万元；项目支出</w:t>
      </w:r>
      <w:r>
        <w:rPr>
          <w:rFonts w:ascii="Times New Roman" w:hAnsi="Times New Roman" w:eastAsia="仿宋" w:cs="Times New Roman"/>
          <w:sz w:val="32"/>
          <w:szCs w:val="32"/>
        </w:rPr>
        <w:t>987.92</w:t>
      </w:r>
      <w:r>
        <w:rPr>
          <w:rFonts w:hint="eastAsia" w:ascii="Times New Roman" w:hAnsi="Times New Roman" w:eastAsia="仿宋" w:cs="仿宋"/>
          <w:sz w:val="32"/>
          <w:szCs w:val="32"/>
        </w:rPr>
        <w:t>万元，全部为公共安全支出。项目支出</w:t>
      </w:r>
      <w:r>
        <w:rPr>
          <w:rFonts w:ascii="Times New Roman" w:hAnsi="Times New Roman" w:eastAsia="仿宋" w:cs="仿宋"/>
          <w:sz w:val="32"/>
          <w:szCs w:val="32"/>
        </w:rPr>
        <w:t>286.05</w:t>
      </w:r>
      <w:r>
        <w:rPr>
          <w:rFonts w:hint="eastAsia" w:ascii="Times New Roman" w:hAnsi="Times New Roman" w:eastAsia="仿宋" w:cs="仿宋"/>
          <w:sz w:val="32"/>
          <w:szCs w:val="32"/>
        </w:rPr>
        <w:t>万元，为城乡社区支出。</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ascii="Times New Roman" w:hAnsi="Times New Roman" w:eastAsia="仿宋" w:cs="Times New Roman"/>
          <w:sz w:val="32"/>
          <w:szCs w:val="32"/>
        </w:rPr>
        <w:t>1554.22</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年增长</w:t>
      </w:r>
      <w:r>
        <w:rPr>
          <w:rFonts w:ascii="Times New Roman" w:hAnsi="Times New Roman" w:eastAsia="仿宋" w:cs="Times New Roman"/>
          <w:sz w:val="32"/>
          <w:szCs w:val="32"/>
        </w:rPr>
        <w:t>86.46</w:t>
      </w:r>
      <w:r>
        <w:rPr>
          <w:rFonts w:hint="eastAsia" w:ascii="Times New Roman" w:hAnsi="Times New Roman" w:eastAsia="仿宋" w:cs="仿宋"/>
          <w:sz w:val="32"/>
          <w:szCs w:val="32"/>
        </w:rPr>
        <w:t>万元，其中：基本支出增长</w:t>
      </w:r>
      <w:r>
        <w:rPr>
          <w:rFonts w:ascii="Times New Roman" w:hAnsi="Times New Roman" w:eastAsia="仿宋" w:cs="Times New Roman"/>
          <w:sz w:val="32"/>
          <w:szCs w:val="32"/>
        </w:rPr>
        <w:t>17.61</w:t>
      </w:r>
      <w:r>
        <w:rPr>
          <w:rFonts w:hint="eastAsia" w:ascii="Times New Roman" w:hAnsi="Times New Roman" w:eastAsia="仿宋" w:cs="仿宋"/>
          <w:sz w:val="32"/>
          <w:szCs w:val="32"/>
        </w:rPr>
        <w:t>万元，主要是人员工资调资；项目支出减少</w:t>
      </w:r>
      <w:r>
        <w:rPr>
          <w:rFonts w:ascii="Times New Roman" w:hAnsi="Times New Roman" w:eastAsia="仿宋" w:cs="Times New Roman"/>
          <w:sz w:val="32"/>
          <w:szCs w:val="32"/>
        </w:rPr>
        <w:t>217.19</w:t>
      </w:r>
      <w:r>
        <w:rPr>
          <w:rFonts w:hint="eastAsia" w:ascii="Times New Roman" w:hAnsi="Times New Roman" w:eastAsia="仿宋" w:cs="仿宋"/>
          <w:sz w:val="32"/>
          <w:szCs w:val="32"/>
        </w:rPr>
        <w:t>万元，主要为缩减支出。</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ascii="Times New Roman" w:hAnsi="Times New Roman" w:eastAsia="仿宋" w:cs="Times New Roman"/>
          <w:sz w:val="32"/>
          <w:szCs w:val="32"/>
        </w:rPr>
        <w:t>51.12</w:t>
      </w:r>
      <w:r>
        <w:rPr>
          <w:rFonts w:hint="eastAsia" w:ascii="Times New Roman" w:hAnsi="Times New Roman" w:eastAsia="仿宋" w:cs="仿宋"/>
          <w:sz w:val="32"/>
          <w:szCs w:val="32"/>
        </w:rPr>
        <w:t>万元，主要用于保证机关正常运转的办公费、工会经费、福利费、办公用房电费、办公用房取暖费、其他交通费的支出。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hint="eastAsia" w:ascii="Times New Roman" w:hAnsi="Times New Roman" w:eastAsia="仿宋" w:cs="仿宋"/>
          <w:sz w:val="32"/>
          <w:szCs w:val="32"/>
          <w:lang w:eastAsia="zh-CN"/>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lang w:eastAsia="zh-CN"/>
        </w:rPr>
        <w:t>，</w:t>
      </w:r>
      <w:r>
        <w:rPr>
          <w:rFonts w:hint="eastAsia" w:ascii="Times New Roman" w:hAnsi="Times New Roman" w:eastAsia="仿宋" w:cs="仿宋"/>
          <w:sz w:val="32"/>
          <w:szCs w:val="32"/>
        </w:rPr>
        <w:t>较</w:t>
      </w:r>
      <w:r>
        <w:rPr>
          <w:rFonts w:ascii="Times New Roman" w:hAnsi="Times New Roman" w:eastAsia="仿宋" w:cs="Times New Roman"/>
          <w:sz w:val="32"/>
          <w:szCs w:val="32"/>
        </w:rPr>
        <w:t>201</w:t>
      </w:r>
      <w:r>
        <w:rPr>
          <w:rFonts w:hint="eastAsia" w:ascii="Times New Roman" w:hAnsi="Times New Roman" w:eastAsia="仿宋" w:cs="Times New Roman"/>
          <w:sz w:val="32"/>
          <w:szCs w:val="32"/>
          <w:lang w:val="en-US" w:eastAsia="zh-CN"/>
        </w:rPr>
        <w:t>9</w:t>
      </w:r>
      <w:r>
        <w:rPr>
          <w:rFonts w:hint="eastAsia" w:ascii="Times New Roman" w:hAnsi="Times New Roman" w:eastAsia="仿宋" w:cs="仿宋"/>
          <w:sz w:val="32"/>
          <w:szCs w:val="32"/>
        </w:rPr>
        <w:t>年减少</w:t>
      </w:r>
      <w:r>
        <w:rPr>
          <w:rFonts w:hint="eastAsia" w:ascii="Times New Roman" w:hAnsi="Times New Roman" w:eastAsia="仿宋" w:cs="Times New Roman"/>
          <w:sz w:val="32"/>
          <w:szCs w:val="32"/>
          <w:lang w:val="en-US" w:eastAsia="zh-CN"/>
        </w:rPr>
        <w:t>82.06</w:t>
      </w:r>
      <w:r>
        <w:rPr>
          <w:rFonts w:hint="eastAsia" w:ascii="Times New Roman" w:hAnsi="Times New Roman" w:eastAsia="仿宋" w:cs="仿宋"/>
          <w:sz w:val="32"/>
          <w:szCs w:val="32"/>
        </w:rPr>
        <w:t>万元，主要原因是</w:t>
      </w:r>
      <w:r>
        <w:rPr>
          <w:rFonts w:hint="eastAsia" w:ascii="Times New Roman" w:hAnsi="Times New Roman" w:eastAsia="仿宋" w:cs="仿宋"/>
          <w:sz w:val="32"/>
          <w:szCs w:val="32"/>
          <w:lang w:val="en-US" w:eastAsia="zh-CN"/>
        </w:rPr>
        <w:t>缩减经费支出</w:t>
      </w:r>
      <w:r>
        <w:rPr>
          <w:rFonts w:hint="eastAsia" w:ascii="Times New Roman" w:hAnsi="Times New Roman" w:eastAsia="仿宋" w:cs="仿宋"/>
          <w:sz w:val="32"/>
          <w:szCs w:val="32"/>
        </w:rPr>
        <w:t>；公务接待费</w:t>
      </w:r>
      <w:r>
        <w:rPr>
          <w:rFonts w:hint="eastAsia" w:ascii="Times New Roman" w:hAnsi="Times New Roman" w:eastAsia="仿宋" w:cs="仿宋"/>
          <w:sz w:val="32"/>
          <w:szCs w:val="32"/>
          <w:lang w:val="en-US" w:eastAsia="zh-CN"/>
        </w:rPr>
        <w:t>0万元，与上年持平</w:t>
      </w:r>
      <w:r>
        <w:rPr>
          <w:rFonts w:hint="eastAsia" w:ascii="Times New Roman" w:hAnsi="Times New Roman" w:eastAsia="仿宋" w:cs="仿宋"/>
          <w:sz w:val="32"/>
          <w:szCs w:val="32"/>
          <w:lang w:eastAsia="zh-CN"/>
        </w:rPr>
        <w:t>。</w:t>
      </w:r>
    </w:p>
    <w:p>
      <w:pPr>
        <w:autoSpaceDE w:val="0"/>
        <w:autoSpaceDN w:val="0"/>
        <w:adjustRightInd w:val="0"/>
        <w:ind w:left="198" w:firstLine="640" w:firstLineChars="200"/>
        <w:jc w:val="left"/>
        <w:rPr>
          <w:rFonts w:ascii="黑体" w:hAnsi="黑体" w:eastAsia="黑体" w:cs="Times New Roman"/>
          <w:sz w:val="32"/>
          <w:szCs w:val="32"/>
        </w:rPr>
      </w:pPr>
      <w:bookmarkStart w:id="0" w:name="_Toc471398463"/>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r>
        <w:rPr>
          <w:rFonts w:hint="eastAsia" w:ascii="Times New Roman" w:hAnsi="Times New Roman" w:eastAsia="方正仿宋_GBK" w:cs="Times New Roman"/>
          <w:b/>
          <w:sz w:val="32"/>
          <w:szCs w:val="32"/>
        </w:rPr>
        <w:t>第一部分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pPr>
        <w:spacing w:line="58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年我大队将对国县道、县乡道路实行统一科学管理，确保道路交通安全畅通、高效便捷。保障道路交通安全、畅通、有序，为全县经济社会发展提供良好的道路交通环境。</w:t>
      </w:r>
      <w:r>
        <w:rPr>
          <w:rFonts w:ascii="Times New Roman" w:hAnsi="Times New Roman" w:eastAsia="仿宋" w:cs="Times New Roman"/>
          <w:sz w:val="32"/>
          <w:szCs w:val="32"/>
        </w:rPr>
        <w:t>1</w:t>
      </w:r>
      <w:r>
        <w:rPr>
          <w:rFonts w:hint="eastAsia" w:ascii="Times New Roman" w:hAnsi="Times New Roman" w:eastAsia="仿宋" w:cs="仿宋"/>
          <w:sz w:val="32"/>
          <w:szCs w:val="32"/>
        </w:rPr>
        <w:t>、维护全县良好的道路交通秩序，缓解城市交通拥堵，提高道路通行能力；加强公路巡警队建设，提升道路交通秩序管理水平。</w:t>
      </w:r>
      <w:r>
        <w:rPr>
          <w:rFonts w:ascii="Times New Roman" w:hAnsi="Times New Roman" w:eastAsia="仿宋" w:cs="Times New Roman"/>
          <w:sz w:val="32"/>
          <w:szCs w:val="32"/>
        </w:rPr>
        <w:t>2</w:t>
      </w:r>
      <w:r>
        <w:rPr>
          <w:rFonts w:hint="eastAsia" w:ascii="Times New Roman" w:hAnsi="Times New Roman" w:eastAsia="仿宋" w:cs="仿宋"/>
          <w:sz w:val="32"/>
          <w:szCs w:val="32"/>
        </w:rPr>
        <w:t>、提高全县交通事故处理工作规范化、科学化水平，让群众在每起案件中都感受到公平正义，努力实现“事故少、秩序好、道路畅通、群众满意”的总体工作目标。</w:t>
      </w:r>
      <w:r>
        <w:rPr>
          <w:rFonts w:ascii="Times New Roman" w:hAnsi="Times New Roman" w:eastAsia="仿宋" w:cs="Times New Roman"/>
          <w:sz w:val="32"/>
          <w:szCs w:val="32"/>
        </w:rPr>
        <w:t>3</w:t>
      </w:r>
      <w:r>
        <w:rPr>
          <w:rFonts w:hint="eastAsia" w:ascii="Times New Roman" w:hAnsi="Times New Roman" w:eastAsia="仿宋" w:cs="仿宋"/>
          <w:sz w:val="32"/>
          <w:szCs w:val="32"/>
        </w:rPr>
        <w:t>、掌握全县各类机动车辆的保有量及车辆技术参数和机动车安全技术检验，加大对二手车和报废车的管控力度，确保无故障车上路行驶。</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pPr>
        <w:spacing w:line="580" w:lineRule="exact"/>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一、道路交通秩序管理。</w:t>
      </w:r>
    </w:p>
    <w:p>
      <w:pPr>
        <w:spacing w:line="580" w:lineRule="exact"/>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维护全县良好的道路交通秩序，缓解城市交通拥堵，提高道路通行能力；加强公路巡警队建设，提升道路交通秩序管理水平。</w:t>
      </w:r>
    </w:p>
    <w:p>
      <w:pPr>
        <w:spacing w:line="580" w:lineRule="exact"/>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二、道路交通事故处理与预防</w:t>
      </w:r>
    </w:p>
    <w:p>
      <w:pPr>
        <w:spacing w:line="580" w:lineRule="exact"/>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提高全县交通事故处理工作规范化、科学化水平，让群众在每起案件中都感受到公平正义，努力实现“事故少、秩序好、道路畅通、群众满意”的总体工作目标。</w:t>
      </w:r>
    </w:p>
    <w:p>
      <w:pPr>
        <w:numPr>
          <w:ilvl w:val="0"/>
          <w:numId w:val="1"/>
        </w:numPr>
        <w:spacing w:line="580" w:lineRule="exact"/>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机动车管理</w:t>
      </w:r>
    </w:p>
    <w:p>
      <w:pPr>
        <w:spacing w:line="580" w:lineRule="exac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掌握全县各类机动车辆的保有量及车辆技术参数和机动车安全技术检验，加大对二手车和报废车的管控力度，确保无故障车上路行驶。</w:t>
      </w:r>
    </w:p>
    <w:p>
      <w:pPr>
        <w:numPr>
          <w:ilvl w:val="0"/>
          <w:numId w:val="1"/>
        </w:numPr>
        <w:spacing w:line="580" w:lineRule="exact"/>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驾驶人管理</w:t>
      </w:r>
    </w:p>
    <w:p>
      <w:pPr>
        <w:spacing w:line="580" w:lineRule="exact"/>
        <w:ind w:firstLine="630"/>
        <w:rPr>
          <w:rFonts w:ascii="Times New Roman" w:hAnsi="Times New Roman" w:eastAsia="仿宋" w:cs="Times New Roman"/>
          <w:sz w:val="32"/>
          <w:szCs w:val="32"/>
        </w:rPr>
      </w:pPr>
      <w:r>
        <w:rPr>
          <w:rFonts w:hint="eastAsia" w:ascii="Times New Roman" w:hAnsi="Times New Roman" w:eastAsia="仿宋" w:cs="仿宋"/>
          <w:sz w:val="32"/>
          <w:szCs w:val="32"/>
        </w:rPr>
        <w:t>掌握全县各类机动车驾驶人底数，杜绝无证驾驶或不按准驾车型驾驶机动车上路等违规现象的发生</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pPr>
        <w:pStyle w:val="8"/>
        <w:spacing w:before="0" w:beforeAutospacing="0" w:after="0" w:afterAutospacing="0" w:line="375" w:lineRule="atLeast"/>
        <w:ind w:firstLine="640" w:firstLineChars="200"/>
        <w:rPr>
          <w:rFonts w:ascii="Times New Roman" w:hAnsi="Times New Roman" w:eastAsia="仿宋" w:cs="Times New Roman"/>
          <w:kern w:val="2"/>
          <w:sz w:val="32"/>
          <w:szCs w:val="32"/>
        </w:rPr>
      </w:pPr>
      <w:r>
        <w:rPr>
          <w:rFonts w:hint="eastAsia" w:ascii="Times New Roman" w:hAnsi="Times New Roman" w:eastAsia="仿宋" w:cs="仿宋"/>
          <w:kern w:val="2"/>
          <w:sz w:val="32"/>
          <w:szCs w:val="32"/>
        </w:rPr>
        <w:t>一、以法治交管建设为主线，切实提升交警执法公信力。一是深化执法主体建设，树立法治思维。加大执法培训力度，针对全体干部民警，开展以社会主义法治理念教育为主要内容的教育培训，引导民警牢固树立法治理念和法治思维，增强执法能力和素质。二是深化执法制度建设，总结、固化正风肃纪专项行动中探索建立的长效机制。将能够公开的工作制度、办案流程、执法规范、便民措施、警务工作等全部在网上公开，能够在网上受理、办理的事项全部在网上运转，能够在网上开展的工作全部在网上运行，最大限度地接受社会监督。</w:t>
      </w:r>
    </w:p>
    <w:p>
      <w:pPr>
        <w:pStyle w:val="8"/>
        <w:spacing w:before="0" w:beforeAutospacing="0" w:after="0" w:afterAutospacing="0" w:line="375" w:lineRule="atLeast"/>
        <w:rPr>
          <w:rFonts w:ascii="Times New Roman" w:hAnsi="Times New Roman" w:eastAsia="仿宋" w:cs="Times New Roman"/>
          <w:kern w:val="2"/>
          <w:sz w:val="32"/>
          <w:szCs w:val="32"/>
        </w:rPr>
      </w:pPr>
      <w:r>
        <w:rPr>
          <w:rFonts w:hint="eastAsia" w:ascii="Times New Roman" w:hAnsi="Times New Roman" w:eastAsia="仿宋" w:cs="仿宋"/>
          <w:kern w:val="2"/>
          <w:sz w:val="32"/>
          <w:szCs w:val="32"/>
        </w:rPr>
        <w:t>　　二、以信息化建设为牵引，切实提升交管工作效能。：一是推进互联网综合服务平台建设。通过短信、网页等服务方式，提供互联网交通管理业务预约、受理、办理及交通安全信息告知、查询、通报、抄告、公告、公布、警示教育等便捷服务。二是搭建“交通安全监管服务平台”，通过与交通安全管理后台数据库联网，实时获取道路运输单位及其所属车辆、驾驶人的相关信息，根据重点车辆和驾驶人交通违法和交通事故情况，自动计分、累积积分，积分情况。</w:t>
      </w:r>
    </w:p>
    <w:p>
      <w:pPr>
        <w:pStyle w:val="8"/>
        <w:spacing w:before="0" w:beforeAutospacing="0" w:after="0" w:afterAutospacing="0" w:line="375" w:lineRule="atLeast"/>
        <w:rPr>
          <w:rFonts w:ascii="Times New Roman" w:hAnsi="Times New Roman" w:eastAsia="仿宋" w:cs="Times New Roman"/>
          <w:kern w:val="2"/>
          <w:sz w:val="32"/>
          <w:szCs w:val="32"/>
        </w:rPr>
      </w:pPr>
      <w:r>
        <w:rPr>
          <w:rFonts w:hint="eastAsia" w:ascii="Times New Roman" w:hAnsi="Times New Roman" w:eastAsia="仿宋" w:cs="仿宋"/>
          <w:kern w:val="2"/>
          <w:sz w:val="32"/>
          <w:szCs w:val="32"/>
        </w:rPr>
        <w:t>　　三、以平安建设为载体，切实提升人民群众安全感。建设全县交通信息发布平台，加强信息采集、研判，及时发布拥堵信息，完善交通拥堵发布机制，引导群众合理出行；加强交通基础设施改造，开展交通信号灯、过街设施排查治理工作，确保道路交通信号设置科学、合法、规范，交通技术监控设备合格有效；提高交通信号控制水平，加强交通流量分析，推进智能信号机更换深入推进“文明交通行动计划”，加强重点群体、重点地区、重点场所交通安全宣传，加强交通管理告知服务和安全提示，提升全社会文明交通安全意识。</w:t>
      </w:r>
    </w:p>
    <w:p>
      <w:pPr>
        <w:pStyle w:val="8"/>
        <w:spacing w:before="0" w:beforeAutospacing="0" w:after="0" w:afterAutospacing="0" w:line="375" w:lineRule="atLeast"/>
        <w:ind w:firstLine="480"/>
        <w:rPr>
          <w:rFonts w:ascii="Times New Roman" w:hAnsi="Times New Roman" w:eastAsia="仿宋" w:cs="Times New Roman"/>
          <w:kern w:val="2"/>
          <w:sz w:val="32"/>
          <w:szCs w:val="32"/>
        </w:rPr>
      </w:pPr>
      <w:r>
        <w:rPr>
          <w:rFonts w:hint="eastAsia" w:ascii="Times New Roman" w:hAnsi="Times New Roman" w:eastAsia="仿宋" w:cs="仿宋"/>
          <w:kern w:val="2"/>
          <w:sz w:val="32"/>
          <w:szCs w:val="32"/>
        </w:rPr>
        <w:t>四、以队伍建设为根本，切实提升战斗力。一是抓教育培训。围绕习近平总书记系列重要讲话精神和对公安工作的重要指示，围绕公安厅、市委、市政府和市局各级领导的重要讲话精神，进一步增强维护国家安全、社会稳定的自觉性。二是抓纪律作风整顿，始终保持对违法违纪问题的“零容忍”。关注重点是领导干部和热点岗位，坚持教育为先、从严惩处，坚持强化责任、完善制度，形成不敢违、不能违、不想违的良好局面。三是抓警队规范化管理。大力培树、积极宣传一批长期扎根一线、爱民敬业的先进典型，展示交警队伍的良好形象。加强交通协管员队伍管理，强化教育培训，完善管理制度，严防发生违法违纪问题，确保队伍稳定。</w:t>
      </w:r>
    </w:p>
    <w:bookmarkEnd w:id="0"/>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预算项目绩效目标</w:t>
      </w:r>
    </w:p>
    <w:p>
      <w:pPr>
        <w:jc w:val="left"/>
        <w:outlineLvl w:val="1"/>
        <w:rPr>
          <w:rFonts w:ascii="Times New Roman" w:hAnsi="宋体"/>
          <w:b/>
          <w:sz w:val="28"/>
        </w:rPr>
      </w:pPr>
      <w:r>
        <w:rPr>
          <w:rFonts w:ascii="方正仿宋_GBK" w:eastAsia="方正仿宋_GBK"/>
          <w:b/>
          <w:sz w:val="28"/>
        </w:rPr>
        <w:t xml:space="preserve">  1</w:t>
      </w:r>
      <w:r>
        <w:rPr>
          <w:rFonts w:hint="eastAsia" w:ascii="方正仿宋_GBK" w:eastAsia="方正仿宋_GBK"/>
          <w:b/>
          <w:sz w:val="28"/>
        </w:rPr>
        <w:t>、补发</w:t>
      </w:r>
      <w:r>
        <w:rPr>
          <w:rFonts w:ascii="方正仿宋_GBK" w:eastAsia="方正仿宋_GBK"/>
          <w:b/>
          <w:sz w:val="28"/>
        </w:rPr>
        <w:t>15.16</w:t>
      </w:r>
      <w:r>
        <w:rPr>
          <w:rFonts w:hint="eastAsia" w:ascii="方正仿宋_GBK" w:eastAsia="方正仿宋_GBK"/>
          <w:b/>
          <w:sz w:val="28"/>
        </w:rPr>
        <w:t>年警衔津贴绩效目标表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4" w:name="_Toc29484634"/>
      <w:r>
        <w:rPr>
          <w:rFonts w:ascii="方正仿宋_GBK" w:eastAsia="方正仿宋_GBK"/>
          <w:b/>
          <w:sz w:val="28"/>
        </w:rPr>
        <w:instrText xml:space="preserve">3</w:instrText>
      </w:r>
      <w:r>
        <w:rPr>
          <w:rFonts w:hint="eastAsia" w:ascii="方正仿宋_GBK" w:eastAsia="方正仿宋_GBK"/>
          <w:b/>
          <w:sz w:val="28"/>
        </w:rPr>
        <w:instrText xml:space="preserve">、第三方评价工作经费绩效目标表</w:instrText>
      </w:r>
      <w:bookmarkEnd w:id="4"/>
      <w:r>
        <w:rPr>
          <w:rFonts w:ascii="方正仿宋_GBK" w:eastAsia="方正仿宋_GBK"/>
          <w:b/>
          <w:sz w:val="28"/>
        </w:rPr>
        <w:instrText xml:space="preserve">" \f C \l 01</w:instrText>
      </w:r>
      <w:r>
        <w:rPr>
          <w:rFonts w:ascii="方正仿宋_GBK" w:eastAsia="方正仿宋_GBK"/>
          <w:b/>
          <w:sz w:val="28"/>
        </w:rPr>
        <w:fldChar w:fldCharType="end"/>
      </w:r>
    </w:p>
    <w:tbl>
      <w:tblPr>
        <w:tblStyle w:val="9"/>
        <w:tblW w:w="12210" w:type="dxa"/>
        <w:tblInd w:w="89" w:type="dxa"/>
        <w:tblLayout w:type="autofit"/>
        <w:tblCellMar>
          <w:top w:w="0" w:type="dxa"/>
          <w:left w:w="108" w:type="dxa"/>
          <w:bottom w:w="0" w:type="dxa"/>
          <w:right w:w="108" w:type="dxa"/>
        </w:tblCellMar>
      </w:tblPr>
      <w:tblGrid>
        <w:gridCol w:w="1020"/>
        <w:gridCol w:w="1420"/>
        <w:gridCol w:w="2399"/>
        <w:gridCol w:w="4394"/>
        <w:gridCol w:w="2977"/>
      </w:tblGrid>
      <w:tr>
        <w:tblPrEx>
          <w:tblCellMar>
            <w:top w:w="0" w:type="dxa"/>
            <w:left w:w="108" w:type="dxa"/>
            <w:bottom w:w="0" w:type="dxa"/>
            <w:right w:w="108" w:type="dxa"/>
          </w:tblCellMar>
        </w:tblPrEx>
        <w:trPr>
          <w:trHeight w:val="562"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112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按照人社部</w:t>
            </w:r>
            <w:r>
              <w:rPr>
                <w:rFonts w:ascii="宋体" w:hAnsi="宋体" w:cs="宋体"/>
                <w:color w:val="000000"/>
                <w:kern w:val="0"/>
                <w:sz w:val="22"/>
                <w:szCs w:val="22"/>
              </w:rPr>
              <w:t>[2016]11</w:t>
            </w:r>
            <w:r>
              <w:rPr>
                <w:rFonts w:hint="eastAsia" w:ascii="宋体" w:hAnsi="宋体" w:cs="宋体"/>
                <w:color w:val="000000"/>
                <w:kern w:val="0"/>
                <w:sz w:val="22"/>
                <w:szCs w:val="22"/>
              </w:rPr>
              <w:t>号规定人民警察警衔津贴自</w:t>
            </w:r>
            <w:r>
              <w:rPr>
                <w:rFonts w:ascii="宋体" w:hAnsi="宋体" w:cs="宋体"/>
                <w:color w:val="000000"/>
                <w:kern w:val="0"/>
                <w:sz w:val="22"/>
                <w:szCs w:val="22"/>
              </w:rPr>
              <w:t>2015</w:t>
            </w:r>
            <w:r>
              <w:rPr>
                <w:rFonts w:hint="eastAsia" w:ascii="宋体" w:hAnsi="宋体" w:cs="宋体"/>
                <w:color w:val="000000"/>
                <w:kern w:val="0"/>
                <w:sz w:val="22"/>
                <w:szCs w:val="22"/>
              </w:rPr>
              <w:t>年</w:t>
            </w:r>
            <w:r>
              <w:rPr>
                <w:rFonts w:ascii="宋体" w:hAnsi="宋体" w:cs="宋体"/>
                <w:color w:val="000000"/>
                <w:kern w:val="0"/>
                <w:sz w:val="22"/>
                <w:szCs w:val="22"/>
              </w:rPr>
              <w:t>1</w:t>
            </w:r>
            <w:r>
              <w:rPr>
                <w:rFonts w:hint="eastAsia" w:ascii="宋体" w:hAnsi="宋体" w:cs="宋体"/>
                <w:color w:val="000000"/>
                <w:kern w:val="0"/>
                <w:sz w:val="22"/>
                <w:szCs w:val="22"/>
              </w:rPr>
              <w:t>月</w:t>
            </w:r>
            <w:r>
              <w:rPr>
                <w:rFonts w:ascii="宋体" w:hAnsi="宋体" w:cs="宋体"/>
                <w:color w:val="000000"/>
                <w:kern w:val="0"/>
                <w:sz w:val="22"/>
                <w:szCs w:val="22"/>
              </w:rPr>
              <w:t>1</w:t>
            </w:r>
            <w:r>
              <w:rPr>
                <w:rFonts w:hint="eastAsia" w:ascii="宋体" w:hAnsi="宋体" w:cs="宋体"/>
                <w:color w:val="000000"/>
                <w:kern w:val="0"/>
                <w:sz w:val="22"/>
                <w:szCs w:val="22"/>
              </w:rPr>
              <w:t>日起调整，</w:t>
            </w:r>
            <w:r>
              <w:rPr>
                <w:rFonts w:ascii="宋体" w:hAnsi="宋体" w:cs="宋体"/>
                <w:color w:val="000000"/>
                <w:kern w:val="0"/>
                <w:sz w:val="22"/>
                <w:szCs w:val="22"/>
              </w:rPr>
              <w:t>2015</w:t>
            </w:r>
            <w:r>
              <w:rPr>
                <w:rFonts w:hint="eastAsia" w:ascii="宋体" w:hAnsi="宋体" w:cs="宋体"/>
                <w:color w:val="000000"/>
                <w:kern w:val="0"/>
                <w:sz w:val="22"/>
                <w:szCs w:val="22"/>
              </w:rPr>
              <w:t>年</w:t>
            </w:r>
            <w:r>
              <w:rPr>
                <w:rFonts w:ascii="宋体" w:hAnsi="宋体" w:cs="宋体"/>
                <w:color w:val="000000"/>
                <w:kern w:val="0"/>
                <w:sz w:val="22"/>
                <w:szCs w:val="22"/>
              </w:rPr>
              <w:t>1</w:t>
            </w:r>
            <w:r>
              <w:rPr>
                <w:rFonts w:hint="eastAsia" w:ascii="宋体" w:hAnsi="宋体" w:cs="宋体"/>
                <w:color w:val="000000"/>
                <w:kern w:val="0"/>
                <w:sz w:val="22"/>
                <w:szCs w:val="22"/>
              </w:rPr>
              <w:t>月至</w:t>
            </w:r>
            <w:r>
              <w:rPr>
                <w:rFonts w:ascii="宋体" w:hAnsi="宋体" w:cs="宋体"/>
                <w:color w:val="000000"/>
                <w:kern w:val="0"/>
                <w:sz w:val="22"/>
                <w:szCs w:val="22"/>
              </w:rPr>
              <w:t>2016</w:t>
            </w:r>
            <w:r>
              <w:rPr>
                <w:rFonts w:hint="eastAsia" w:ascii="宋体" w:hAnsi="宋体" w:cs="宋体"/>
                <w:color w:val="000000"/>
                <w:kern w:val="0"/>
                <w:sz w:val="22"/>
                <w:szCs w:val="22"/>
              </w:rPr>
              <w:t>年</w:t>
            </w:r>
            <w:r>
              <w:rPr>
                <w:rFonts w:ascii="宋体" w:hAnsi="宋体" w:cs="宋体"/>
                <w:color w:val="000000"/>
                <w:kern w:val="0"/>
                <w:sz w:val="22"/>
                <w:szCs w:val="22"/>
              </w:rPr>
              <w:t>6</w:t>
            </w:r>
            <w:r>
              <w:rPr>
                <w:rFonts w:hint="eastAsia" w:ascii="宋体" w:hAnsi="宋体" w:cs="宋体"/>
                <w:color w:val="000000"/>
                <w:kern w:val="0"/>
                <w:sz w:val="22"/>
                <w:szCs w:val="22"/>
              </w:rPr>
              <w:t>月的警衔津贴补发</w:t>
            </w:r>
            <w:r>
              <w:rPr>
                <w:rFonts w:ascii="宋体" w:hAnsi="宋体" w:cs="宋体"/>
                <w:color w:val="000000"/>
                <w:kern w:val="0"/>
                <w:sz w:val="22"/>
                <w:szCs w:val="22"/>
              </w:rPr>
              <w:t>330868</w:t>
            </w:r>
            <w:r>
              <w:rPr>
                <w:rFonts w:hint="eastAsia" w:ascii="宋体" w:hAnsi="宋体" w:cs="宋体"/>
                <w:color w:val="000000"/>
                <w:kern w:val="0"/>
                <w:sz w:val="22"/>
                <w:szCs w:val="22"/>
              </w:rPr>
              <w:t>元，</w:t>
            </w:r>
            <w:r>
              <w:rPr>
                <w:rFonts w:ascii="宋体" w:hAnsi="宋体" w:cs="宋体"/>
                <w:color w:val="000000"/>
                <w:kern w:val="0"/>
                <w:sz w:val="22"/>
                <w:szCs w:val="22"/>
              </w:rPr>
              <w:t>2019</w:t>
            </w:r>
            <w:r>
              <w:rPr>
                <w:rFonts w:hint="eastAsia" w:ascii="宋体" w:hAnsi="宋体" w:cs="宋体"/>
                <w:color w:val="000000"/>
                <w:kern w:val="0"/>
                <w:sz w:val="22"/>
                <w:szCs w:val="22"/>
              </w:rPr>
              <w:t>年已补发</w:t>
            </w:r>
            <w:r>
              <w:rPr>
                <w:rFonts w:ascii="宋体" w:hAnsi="宋体" w:cs="宋体"/>
                <w:color w:val="000000"/>
                <w:kern w:val="0"/>
                <w:sz w:val="22"/>
                <w:szCs w:val="22"/>
              </w:rPr>
              <w:t>50%</w:t>
            </w:r>
            <w:r>
              <w:rPr>
                <w:rFonts w:hint="eastAsia" w:ascii="宋体" w:hAnsi="宋体" w:cs="宋体"/>
                <w:color w:val="000000"/>
                <w:kern w:val="0"/>
                <w:sz w:val="22"/>
                <w:szCs w:val="22"/>
              </w:rPr>
              <w:t>资金，本次补发剩余</w:t>
            </w:r>
            <w:r>
              <w:rPr>
                <w:rFonts w:ascii="宋体" w:hAnsi="宋体" w:cs="宋体"/>
                <w:color w:val="000000"/>
                <w:kern w:val="0"/>
                <w:sz w:val="22"/>
                <w:szCs w:val="22"/>
              </w:rPr>
              <w:t>50%</w:t>
            </w:r>
            <w:r>
              <w:rPr>
                <w:rFonts w:hint="eastAsia" w:ascii="宋体" w:hAnsi="宋体" w:cs="宋体"/>
                <w:color w:val="000000"/>
                <w:kern w:val="0"/>
                <w:sz w:val="22"/>
                <w:szCs w:val="22"/>
              </w:rPr>
              <w:t>资金，经计算应申请</w:t>
            </w:r>
            <w:r>
              <w:rPr>
                <w:rFonts w:ascii="宋体" w:hAnsi="宋体" w:cs="宋体"/>
                <w:color w:val="000000"/>
                <w:kern w:val="0"/>
                <w:sz w:val="22"/>
                <w:szCs w:val="22"/>
              </w:rPr>
              <w:t>165434</w:t>
            </w:r>
            <w:r>
              <w:rPr>
                <w:rFonts w:hint="eastAsia" w:ascii="宋体" w:hAnsi="宋体" w:cs="宋体"/>
                <w:color w:val="000000"/>
                <w:kern w:val="0"/>
                <w:sz w:val="22"/>
                <w:szCs w:val="22"/>
              </w:rPr>
              <w:t>元</w:t>
            </w:r>
            <w:r>
              <w:rPr>
                <w:rFonts w:ascii="宋体" w:cs="宋体"/>
                <w:color w:val="000000"/>
                <w:kern w:val="0"/>
                <w:sz w:val="22"/>
                <w:szCs w:val="22"/>
              </w:rPr>
              <w:t>.</w:t>
            </w:r>
          </w:p>
        </w:tc>
      </w:tr>
      <w:tr>
        <w:tblPrEx>
          <w:tblCellMar>
            <w:top w:w="0" w:type="dxa"/>
            <w:left w:w="108" w:type="dxa"/>
            <w:bottom w:w="0" w:type="dxa"/>
            <w:right w:w="108" w:type="dxa"/>
          </w:tblCellMar>
        </w:tblPrEx>
        <w:trPr>
          <w:trHeight w:val="376"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39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439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977"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rPr>
          <w:trHeight w:val="3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39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439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执勤岗位津贴成本</w:t>
            </w:r>
          </w:p>
        </w:tc>
        <w:tc>
          <w:tcPr>
            <w:tcW w:w="2977"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16.5434</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64"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39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439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发放津贴人数</w:t>
            </w:r>
          </w:p>
        </w:tc>
        <w:tc>
          <w:tcPr>
            <w:tcW w:w="2977"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24</w:t>
            </w:r>
            <w:r>
              <w:rPr>
                <w:rFonts w:hint="eastAsia" w:ascii="宋体" w:hAnsi="宋体" w:cs="宋体"/>
                <w:color w:val="000000"/>
                <w:kern w:val="0"/>
                <w:sz w:val="22"/>
                <w:szCs w:val="22"/>
              </w:rPr>
              <w:t>人</w:t>
            </w:r>
          </w:p>
        </w:tc>
      </w:tr>
      <w:tr>
        <w:tblPrEx>
          <w:tblCellMar>
            <w:top w:w="0" w:type="dxa"/>
            <w:left w:w="108" w:type="dxa"/>
            <w:bottom w:w="0" w:type="dxa"/>
            <w:right w:w="108" w:type="dxa"/>
          </w:tblCellMar>
        </w:tblPrEx>
        <w:trPr>
          <w:trHeight w:val="372"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39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39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津贴发放率（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977"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=100%</w:t>
            </w:r>
          </w:p>
        </w:tc>
      </w:tr>
      <w:tr>
        <w:tblPrEx>
          <w:tblCellMar>
            <w:top w:w="0" w:type="dxa"/>
            <w:left w:w="108" w:type="dxa"/>
            <w:bottom w:w="0" w:type="dxa"/>
            <w:right w:w="108" w:type="dxa"/>
          </w:tblCellMar>
        </w:tblPrEx>
        <w:trPr>
          <w:trHeight w:val="42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39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39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977"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rPr>
          <w:trHeight w:val="364"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39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39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977"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413"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39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439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政法队伍整体素质和工作水平提高程度（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977"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10%</w:t>
            </w:r>
          </w:p>
        </w:tc>
      </w:tr>
      <w:tr>
        <w:tblPrEx>
          <w:tblCellMar>
            <w:top w:w="0" w:type="dxa"/>
            <w:left w:w="108" w:type="dxa"/>
            <w:bottom w:w="0" w:type="dxa"/>
            <w:right w:w="108" w:type="dxa"/>
          </w:tblCellMar>
        </w:tblPrEx>
        <w:trPr>
          <w:trHeight w:val="458"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39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439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民警满意度（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977"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numPr>
          <w:ilvl w:val="0"/>
          <w:numId w:val="2"/>
        </w:numPr>
        <w:jc w:val="left"/>
        <w:outlineLvl w:val="1"/>
        <w:rPr>
          <w:rFonts w:ascii="方正仿宋_GBK" w:eastAsia="方正仿宋_GBK"/>
          <w:b/>
          <w:sz w:val="28"/>
        </w:rPr>
      </w:pPr>
      <w:r>
        <w:rPr>
          <w:rFonts w:hint="eastAsia" w:ascii="方正仿宋_GBK" w:eastAsia="方正仿宋_GBK"/>
          <w:b/>
          <w:sz w:val="28"/>
        </w:rPr>
        <w:t>补发</w:t>
      </w:r>
      <w:r>
        <w:rPr>
          <w:rFonts w:ascii="方正仿宋_GBK" w:eastAsia="方正仿宋_GBK"/>
          <w:b/>
          <w:sz w:val="28"/>
        </w:rPr>
        <w:t>16.17</w:t>
      </w:r>
      <w:r>
        <w:rPr>
          <w:rFonts w:hint="eastAsia" w:ascii="方正仿宋_GBK" w:eastAsia="方正仿宋_GBK"/>
          <w:b/>
          <w:sz w:val="28"/>
        </w:rPr>
        <w:t>年加班执勤岗位津贴绩效目标表</w:t>
      </w:r>
    </w:p>
    <w:tbl>
      <w:tblPr>
        <w:tblStyle w:val="9"/>
        <w:tblW w:w="12210" w:type="dxa"/>
        <w:tblInd w:w="89" w:type="dxa"/>
        <w:tblLayout w:type="autofit"/>
        <w:tblCellMar>
          <w:top w:w="0" w:type="dxa"/>
          <w:left w:w="108" w:type="dxa"/>
          <w:bottom w:w="0" w:type="dxa"/>
          <w:right w:w="108" w:type="dxa"/>
        </w:tblCellMar>
      </w:tblPr>
      <w:tblGrid>
        <w:gridCol w:w="1020"/>
        <w:gridCol w:w="1420"/>
        <w:gridCol w:w="2780"/>
        <w:gridCol w:w="4640"/>
        <w:gridCol w:w="2350"/>
      </w:tblGrid>
      <w:tr>
        <w:tblPrEx>
          <w:tblCellMar>
            <w:top w:w="0" w:type="dxa"/>
            <w:left w:w="108" w:type="dxa"/>
            <w:bottom w:w="0" w:type="dxa"/>
            <w:right w:w="108" w:type="dxa"/>
          </w:tblCellMar>
        </w:tblPrEx>
        <w:trPr>
          <w:trHeight w:val="78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1770"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按照人社部</w:t>
            </w:r>
            <w:r>
              <w:rPr>
                <w:rFonts w:ascii="宋体" w:hAnsi="宋体" w:cs="宋体"/>
                <w:color w:val="000000"/>
                <w:kern w:val="0"/>
                <w:sz w:val="22"/>
                <w:szCs w:val="22"/>
              </w:rPr>
              <w:t>[2017]9</w:t>
            </w:r>
            <w:r>
              <w:rPr>
                <w:rFonts w:hint="eastAsia" w:ascii="宋体" w:hAnsi="宋体" w:cs="宋体"/>
                <w:color w:val="000000"/>
                <w:kern w:val="0"/>
                <w:sz w:val="22"/>
                <w:szCs w:val="22"/>
              </w:rPr>
              <w:t>号规定人民警察法定工作日之外的加班补贴自</w:t>
            </w:r>
            <w:r>
              <w:rPr>
                <w:rFonts w:ascii="宋体" w:hAnsi="宋体" w:cs="宋体"/>
                <w:color w:val="000000"/>
                <w:kern w:val="0"/>
                <w:sz w:val="22"/>
                <w:szCs w:val="22"/>
              </w:rPr>
              <w:t>2017</w:t>
            </w:r>
            <w:r>
              <w:rPr>
                <w:rFonts w:hint="eastAsia" w:ascii="宋体" w:hAnsi="宋体" w:cs="宋体"/>
                <w:color w:val="000000"/>
                <w:kern w:val="0"/>
                <w:sz w:val="22"/>
                <w:szCs w:val="22"/>
              </w:rPr>
              <w:t>年</w:t>
            </w:r>
            <w:r>
              <w:rPr>
                <w:rFonts w:ascii="宋体" w:hAnsi="宋体" w:cs="宋体"/>
                <w:color w:val="000000"/>
                <w:kern w:val="0"/>
                <w:sz w:val="22"/>
                <w:szCs w:val="22"/>
              </w:rPr>
              <w:t>1</w:t>
            </w:r>
            <w:r>
              <w:rPr>
                <w:rFonts w:hint="eastAsia" w:ascii="宋体" w:hAnsi="宋体" w:cs="宋体"/>
                <w:color w:val="000000"/>
                <w:kern w:val="0"/>
                <w:sz w:val="22"/>
                <w:szCs w:val="22"/>
              </w:rPr>
              <w:t>月</w:t>
            </w:r>
            <w:r>
              <w:rPr>
                <w:rFonts w:ascii="宋体" w:hAnsi="宋体" w:cs="宋体"/>
                <w:color w:val="000000"/>
                <w:kern w:val="0"/>
                <w:sz w:val="22"/>
                <w:szCs w:val="22"/>
              </w:rPr>
              <w:t>1</w:t>
            </w:r>
            <w:r>
              <w:rPr>
                <w:rFonts w:hint="eastAsia" w:ascii="宋体" w:hAnsi="宋体" w:cs="宋体"/>
                <w:color w:val="000000"/>
                <w:kern w:val="0"/>
                <w:sz w:val="22"/>
                <w:szCs w:val="22"/>
              </w:rPr>
              <w:t>日起调整，实际执行中</w:t>
            </w:r>
            <w:r>
              <w:rPr>
                <w:rFonts w:ascii="宋体" w:hAnsi="宋体" w:cs="宋体"/>
                <w:color w:val="000000"/>
                <w:kern w:val="0"/>
                <w:sz w:val="22"/>
                <w:szCs w:val="22"/>
              </w:rPr>
              <w:t>2017</w:t>
            </w:r>
            <w:r>
              <w:rPr>
                <w:rFonts w:hint="eastAsia" w:ascii="宋体" w:hAnsi="宋体" w:cs="宋体"/>
                <w:color w:val="000000"/>
                <w:kern w:val="0"/>
                <w:sz w:val="22"/>
                <w:szCs w:val="22"/>
              </w:rPr>
              <w:t>年</w:t>
            </w:r>
            <w:r>
              <w:rPr>
                <w:rFonts w:ascii="宋体" w:hAnsi="宋体" w:cs="宋体"/>
                <w:color w:val="000000"/>
                <w:kern w:val="0"/>
                <w:sz w:val="22"/>
                <w:szCs w:val="22"/>
              </w:rPr>
              <w:t>1</w:t>
            </w:r>
            <w:r>
              <w:rPr>
                <w:rFonts w:hint="eastAsia" w:ascii="宋体" w:hAnsi="宋体" w:cs="宋体"/>
                <w:color w:val="000000"/>
                <w:kern w:val="0"/>
                <w:sz w:val="22"/>
                <w:szCs w:val="22"/>
              </w:rPr>
              <w:t>月</w:t>
            </w:r>
            <w:r>
              <w:rPr>
                <w:rFonts w:ascii="宋体" w:hAnsi="宋体" w:cs="宋体"/>
                <w:color w:val="000000"/>
                <w:kern w:val="0"/>
                <w:sz w:val="22"/>
                <w:szCs w:val="22"/>
              </w:rPr>
              <w:t>1</w:t>
            </w:r>
            <w:r>
              <w:rPr>
                <w:rFonts w:hint="eastAsia" w:ascii="宋体" w:hAnsi="宋体" w:cs="宋体"/>
                <w:color w:val="000000"/>
                <w:kern w:val="0"/>
                <w:sz w:val="22"/>
                <w:szCs w:val="22"/>
              </w:rPr>
              <w:t>日至</w:t>
            </w:r>
            <w:r>
              <w:rPr>
                <w:rFonts w:ascii="宋体" w:hAnsi="宋体" w:cs="宋体"/>
                <w:color w:val="000000"/>
                <w:kern w:val="0"/>
                <w:sz w:val="22"/>
                <w:szCs w:val="22"/>
              </w:rPr>
              <w:t>2017</w:t>
            </w:r>
            <w:r>
              <w:rPr>
                <w:rFonts w:hint="eastAsia" w:ascii="宋体" w:hAnsi="宋体" w:cs="宋体"/>
                <w:color w:val="000000"/>
                <w:kern w:val="0"/>
                <w:sz w:val="22"/>
                <w:szCs w:val="22"/>
              </w:rPr>
              <w:t>年</w:t>
            </w:r>
            <w:r>
              <w:rPr>
                <w:rFonts w:ascii="宋体" w:hAnsi="宋体" w:cs="宋体"/>
                <w:color w:val="000000"/>
                <w:kern w:val="0"/>
                <w:sz w:val="22"/>
                <w:szCs w:val="22"/>
              </w:rPr>
              <w:t>12</w:t>
            </w:r>
            <w:r>
              <w:rPr>
                <w:rFonts w:hint="eastAsia" w:ascii="宋体" w:hAnsi="宋体" w:cs="宋体"/>
                <w:color w:val="000000"/>
                <w:kern w:val="0"/>
                <w:sz w:val="22"/>
                <w:szCs w:val="22"/>
              </w:rPr>
              <w:t>月</w:t>
            </w:r>
            <w:r>
              <w:rPr>
                <w:rFonts w:ascii="宋体" w:hAnsi="宋体" w:cs="宋体"/>
                <w:color w:val="000000"/>
                <w:kern w:val="0"/>
                <w:sz w:val="22"/>
                <w:szCs w:val="22"/>
              </w:rPr>
              <w:t>31</w:t>
            </w:r>
            <w:r>
              <w:rPr>
                <w:rFonts w:hint="eastAsia" w:ascii="宋体" w:hAnsi="宋体" w:cs="宋体"/>
                <w:color w:val="000000"/>
                <w:kern w:val="0"/>
                <w:sz w:val="22"/>
                <w:szCs w:val="22"/>
              </w:rPr>
              <w:t>日扔按老标准发放，需补发</w:t>
            </w:r>
            <w:r>
              <w:rPr>
                <w:rFonts w:ascii="宋体" w:hAnsi="宋体" w:cs="宋体"/>
                <w:color w:val="000000"/>
                <w:kern w:val="0"/>
                <w:sz w:val="22"/>
                <w:szCs w:val="22"/>
              </w:rPr>
              <w:t>60000</w:t>
            </w:r>
            <w:r>
              <w:rPr>
                <w:rFonts w:hint="eastAsia" w:ascii="宋体" w:hAnsi="宋体" w:cs="宋体"/>
                <w:color w:val="000000"/>
                <w:kern w:val="0"/>
                <w:sz w:val="22"/>
                <w:szCs w:val="22"/>
              </w:rPr>
              <w:t>元，本次补发</w:t>
            </w:r>
            <w:r>
              <w:rPr>
                <w:rFonts w:ascii="宋体" w:hAnsi="宋体" w:cs="宋体"/>
                <w:color w:val="000000"/>
                <w:kern w:val="0"/>
                <w:sz w:val="22"/>
                <w:szCs w:val="22"/>
              </w:rPr>
              <w:t>50%</w:t>
            </w:r>
            <w:r>
              <w:rPr>
                <w:rFonts w:hint="eastAsia" w:ascii="宋体" w:hAnsi="宋体" w:cs="宋体"/>
                <w:color w:val="000000"/>
                <w:kern w:val="0"/>
                <w:sz w:val="22"/>
                <w:szCs w:val="22"/>
              </w:rPr>
              <w:t>，经计算应申请</w:t>
            </w:r>
            <w:r>
              <w:rPr>
                <w:rFonts w:ascii="宋体" w:hAnsi="宋体" w:cs="宋体"/>
                <w:color w:val="000000"/>
                <w:kern w:val="0"/>
                <w:sz w:val="22"/>
                <w:szCs w:val="22"/>
              </w:rPr>
              <w:t>30000</w:t>
            </w:r>
            <w:r>
              <w:rPr>
                <w:rFonts w:hint="eastAsia" w:ascii="宋体" w:hAnsi="宋体" w:cs="宋体"/>
                <w:color w:val="000000"/>
                <w:kern w:val="0"/>
                <w:sz w:val="22"/>
                <w:szCs w:val="22"/>
              </w:rPr>
              <w:t>元。</w:t>
            </w:r>
            <w:r>
              <w:rPr>
                <w:rFonts w:ascii="宋体" w:cs="宋体"/>
                <w:color w:val="000000"/>
                <w:kern w:val="0"/>
                <w:sz w:val="22"/>
                <w:szCs w:val="22"/>
              </w:rPr>
              <w:br w:type="textWrapping"/>
            </w:r>
            <w:r>
              <w:rPr>
                <w:rFonts w:hint="eastAsia" w:ascii="宋体" w:hAnsi="宋体" w:cs="宋体"/>
                <w:color w:val="000000"/>
                <w:kern w:val="0"/>
                <w:sz w:val="22"/>
                <w:szCs w:val="22"/>
              </w:rPr>
              <w:t>按照人社部</w:t>
            </w:r>
            <w:r>
              <w:rPr>
                <w:rFonts w:ascii="宋体" w:hAnsi="宋体" w:cs="宋体"/>
                <w:color w:val="000000"/>
                <w:kern w:val="0"/>
                <w:sz w:val="22"/>
                <w:szCs w:val="22"/>
              </w:rPr>
              <w:t>[2017]10</w:t>
            </w:r>
            <w:r>
              <w:rPr>
                <w:rFonts w:hint="eastAsia" w:ascii="宋体" w:hAnsi="宋体" w:cs="宋体"/>
                <w:color w:val="000000"/>
                <w:kern w:val="0"/>
                <w:sz w:val="22"/>
                <w:szCs w:val="22"/>
              </w:rPr>
              <w:t>号规定人民警察执勤岗位津贴自</w:t>
            </w:r>
            <w:r>
              <w:rPr>
                <w:rFonts w:ascii="宋体" w:hAnsi="宋体" w:cs="宋体"/>
                <w:color w:val="000000"/>
                <w:kern w:val="0"/>
                <w:sz w:val="22"/>
                <w:szCs w:val="22"/>
              </w:rPr>
              <w:t>2016</w:t>
            </w:r>
            <w:r>
              <w:rPr>
                <w:rFonts w:hint="eastAsia" w:ascii="宋体" w:hAnsi="宋体" w:cs="宋体"/>
                <w:color w:val="000000"/>
                <w:kern w:val="0"/>
                <w:sz w:val="22"/>
                <w:szCs w:val="22"/>
              </w:rPr>
              <w:t>年</w:t>
            </w:r>
            <w:r>
              <w:rPr>
                <w:rFonts w:ascii="宋体" w:hAnsi="宋体" w:cs="宋体"/>
                <w:color w:val="000000"/>
                <w:kern w:val="0"/>
                <w:sz w:val="22"/>
                <w:szCs w:val="22"/>
              </w:rPr>
              <w:t>7</w:t>
            </w:r>
            <w:r>
              <w:rPr>
                <w:rFonts w:hint="eastAsia" w:ascii="宋体" w:hAnsi="宋体" w:cs="宋体"/>
                <w:color w:val="000000"/>
                <w:kern w:val="0"/>
                <w:sz w:val="22"/>
                <w:szCs w:val="22"/>
              </w:rPr>
              <w:t>月</w:t>
            </w:r>
            <w:r>
              <w:rPr>
                <w:rFonts w:ascii="宋体" w:hAnsi="宋体" w:cs="宋体"/>
                <w:color w:val="000000"/>
                <w:kern w:val="0"/>
                <w:sz w:val="22"/>
                <w:szCs w:val="22"/>
              </w:rPr>
              <w:t>1</w:t>
            </w:r>
            <w:r>
              <w:rPr>
                <w:rFonts w:hint="eastAsia" w:ascii="宋体" w:hAnsi="宋体" w:cs="宋体"/>
                <w:color w:val="000000"/>
                <w:kern w:val="0"/>
                <w:sz w:val="22"/>
                <w:szCs w:val="22"/>
              </w:rPr>
              <w:t>日起调整，</w:t>
            </w:r>
            <w:r>
              <w:rPr>
                <w:rFonts w:ascii="宋体" w:hAnsi="宋体" w:cs="宋体"/>
                <w:color w:val="000000"/>
                <w:kern w:val="0"/>
                <w:sz w:val="22"/>
                <w:szCs w:val="22"/>
              </w:rPr>
              <w:t>2016</w:t>
            </w:r>
            <w:r>
              <w:rPr>
                <w:rFonts w:hint="eastAsia" w:ascii="宋体" w:hAnsi="宋体" w:cs="宋体"/>
                <w:color w:val="000000"/>
                <w:kern w:val="0"/>
                <w:sz w:val="22"/>
                <w:szCs w:val="22"/>
              </w:rPr>
              <w:t>年</w:t>
            </w:r>
            <w:r>
              <w:rPr>
                <w:rFonts w:ascii="宋体" w:hAnsi="宋体" w:cs="宋体"/>
                <w:color w:val="000000"/>
                <w:kern w:val="0"/>
                <w:sz w:val="22"/>
                <w:szCs w:val="22"/>
              </w:rPr>
              <w:t>7</w:t>
            </w:r>
            <w:r>
              <w:rPr>
                <w:rFonts w:hint="eastAsia" w:ascii="宋体" w:hAnsi="宋体" w:cs="宋体"/>
                <w:color w:val="000000"/>
                <w:kern w:val="0"/>
                <w:sz w:val="22"/>
                <w:szCs w:val="22"/>
              </w:rPr>
              <w:t>月至</w:t>
            </w:r>
            <w:r>
              <w:rPr>
                <w:rFonts w:ascii="宋体" w:hAnsi="宋体" w:cs="宋体"/>
                <w:color w:val="000000"/>
                <w:kern w:val="0"/>
                <w:sz w:val="22"/>
                <w:szCs w:val="22"/>
              </w:rPr>
              <w:t>2017</w:t>
            </w:r>
            <w:r>
              <w:rPr>
                <w:rFonts w:hint="eastAsia" w:ascii="宋体" w:hAnsi="宋体" w:cs="宋体"/>
                <w:color w:val="000000"/>
                <w:kern w:val="0"/>
                <w:sz w:val="22"/>
                <w:szCs w:val="22"/>
              </w:rPr>
              <w:t>年</w:t>
            </w:r>
            <w:r>
              <w:rPr>
                <w:rFonts w:ascii="宋体" w:hAnsi="宋体" w:cs="宋体"/>
                <w:color w:val="000000"/>
                <w:kern w:val="0"/>
                <w:sz w:val="22"/>
                <w:szCs w:val="22"/>
              </w:rPr>
              <w:t>12</w:t>
            </w:r>
            <w:r>
              <w:rPr>
                <w:rFonts w:hint="eastAsia" w:ascii="宋体" w:hAnsi="宋体" w:cs="宋体"/>
                <w:color w:val="000000"/>
                <w:kern w:val="0"/>
                <w:sz w:val="22"/>
                <w:szCs w:val="22"/>
              </w:rPr>
              <w:t>月需补发</w:t>
            </w:r>
            <w:r>
              <w:rPr>
                <w:rFonts w:ascii="宋体" w:hAnsi="宋体" w:cs="宋体"/>
                <w:color w:val="000000"/>
                <w:kern w:val="0"/>
                <w:sz w:val="22"/>
                <w:szCs w:val="22"/>
              </w:rPr>
              <w:t>226200</w:t>
            </w:r>
            <w:r>
              <w:rPr>
                <w:rFonts w:hint="eastAsia" w:ascii="宋体" w:hAnsi="宋体" w:cs="宋体"/>
                <w:color w:val="000000"/>
                <w:kern w:val="0"/>
                <w:sz w:val="22"/>
                <w:szCs w:val="22"/>
              </w:rPr>
              <w:t>元，</w:t>
            </w:r>
            <w:r>
              <w:rPr>
                <w:rFonts w:ascii="宋体" w:hAnsi="宋体" w:cs="宋体"/>
                <w:color w:val="000000"/>
                <w:kern w:val="0"/>
                <w:sz w:val="22"/>
                <w:szCs w:val="22"/>
              </w:rPr>
              <w:t>2019</w:t>
            </w:r>
            <w:r>
              <w:rPr>
                <w:rFonts w:hint="eastAsia" w:ascii="宋体" w:hAnsi="宋体" w:cs="宋体"/>
                <w:color w:val="000000"/>
                <w:kern w:val="0"/>
                <w:sz w:val="22"/>
                <w:szCs w:val="22"/>
              </w:rPr>
              <w:t>年已补发</w:t>
            </w:r>
            <w:r>
              <w:rPr>
                <w:rFonts w:ascii="宋体" w:hAnsi="宋体" w:cs="宋体"/>
                <w:color w:val="000000"/>
                <w:kern w:val="0"/>
                <w:sz w:val="22"/>
                <w:szCs w:val="22"/>
              </w:rPr>
              <w:t>50%</w:t>
            </w:r>
            <w:r>
              <w:rPr>
                <w:rFonts w:hint="eastAsia" w:ascii="宋体" w:hAnsi="宋体" w:cs="宋体"/>
                <w:color w:val="000000"/>
                <w:kern w:val="0"/>
                <w:sz w:val="22"/>
                <w:szCs w:val="22"/>
              </w:rPr>
              <w:t>，本次补发剩余</w:t>
            </w:r>
            <w:r>
              <w:rPr>
                <w:rFonts w:ascii="宋体" w:hAnsi="宋体" w:cs="宋体"/>
                <w:color w:val="000000"/>
                <w:kern w:val="0"/>
                <w:sz w:val="22"/>
                <w:szCs w:val="22"/>
              </w:rPr>
              <w:t>50%</w:t>
            </w:r>
            <w:r>
              <w:rPr>
                <w:rFonts w:hint="eastAsia" w:ascii="宋体" w:hAnsi="宋体" w:cs="宋体"/>
                <w:color w:val="000000"/>
                <w:kern w:val="0"/>
                <w:sz w:val="22"/>
                <w:szCs w:val="22"/>
              </w:rPr>
              <w:t>，经计算应申请</w:t>
            </w:r>
            <w:r>
              <w:rPr>
                <w:rFonts w:ascii="宋体" w:hAnsi="宋体" w:cs="宋体"/>
                <w:color w:val="000000"/>
                <w:kern w:val="0"/>
                <w:sz w:val="22"/>
                <w:szCs w:val="22"/>
              </w:rPr>
              <w:t>113100</w:t>
            </w:r>
            <w:r>
              <w:rPr>
                <w:rFonts w:hint="eastAsia" w:ascii="宋体" w:hAnsi="宋体" w:cs="宋体"/>
                <w:color w:val="000000"/>
                <w:kern w:val="0"/>
                <w:sz w:val="22"/>
                <w:szCs w:val="22"/>
              </w:rPr>
              <w:t>元</w:t>
            </w:r>
            <w:r>
              <w:rPr>
                <w:rFonts w:ascii="宋体" w:hAnsi="宋体" w:cs="宋体"/>
                <w:color w:val="000000"/>
                <w:kern w:val="0"/>
                <w:sz w:val="22"/>
                <w:szCs w:val="22"/>
              </w:rPr>
              <w:t xml:space="preserve">. </w:t>
            </w:r>
            <w:r>
              <w:rPr>
                <w:rFonts w:hint="eastAsia" w:ascii="宋体" w:hAnsi="宋体" w:cs="宋体"/>
                <w:color w:val="000000"/>
                <w:kern w:val="0"/>
                <w:sz w:val="22"/>
                <w:szCs w:val="22"/>
              </w:rPr>
              <w:t>共计</w:t>
            </w:r>
            <w:r>
              <w:rPr>
                <w:rFonts w:ascii="宋体" w:hAnsi="宋体" w:cs="宋体"/>
                <w:color w:val="000000"/>
                <w:kern w:val="0"/>
                <w:sz w:val="22"/>
                <w:szCs w:val="22"/>
              </w:rPr>
              <w:t>143100</w:t>
            </w:r>
            <w:r>
              <w:rPr>
                <w:rFonts w:hint="eastAsia" w:ascii="宋体" w:hAnsi="宋体" w:cs="宋体"/>
                <w:color w:val="000000"/>
                <w:kern w:val="0"/>
                <w:sz w:val="22"/>
                <w:szCs w:val="22"/>
              </w:rPr>
              <w:t>元。</w:t>
            </w:r>
          </w:p>
        </w:tc>
      </w:tr>
      <w:tr>
        <w:tblPrEx>
          <w:tblCellMar>
            <w:top w:w="0" w:type="dxa"/>
            <w:left w:w="108" w:type="dxa"/>
            <w:bottom w:w="0" w:type="dxa"/>
            <w:right w:w="108" w:type="dxa"/>
          </w:tblCellMar>
        </w:tblPrEx>
        <w:trPr>
          <w:trHeight w:val="555"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7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46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35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7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46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执勤岗位津贴成本</w:t>
            </w:r>
          </w:p>
        </w:tc>
        <w:tc>
          <w:tcPr>
            <w:tcW w:w="235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14.31</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7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6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津贴发放率（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35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100%</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7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6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35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7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6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35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7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46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政法队伍整体素质和工作水平提高程度（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35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10%</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7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46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民警满意度（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35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numPr>
          <w:ilvl w:val="0"/>
          <w:numId w:val="2"/>
        </w:numPr>
        <w:jc w:val="left"/>
        <w:outlineLvl w:val="1"/>
        <w:rPr>
          <w:rFonts w:ascii="方正仿宋_GBK" w:eastAsia="方正仿宋_GBK"/>
          <w:b/>
          <w:sz w:val="28"/>
        </w:rPr>
      </w:pPr>
      <w:r>
        <w:rPr>
          <w:rFonts w:hint="eastAsia" w:ascii="方正仿宋_GBK" w:eastAsia="方正仿宋_GBK"/>
          <w:b/>
          <w:sz w:val="28"/>
        </w:rPr>
        <w:t>车管所车驾牌证费绩效目标表</w:t>
      </w:r>
    </w:p>
    <w:tbl>
      <w:tblPr>
        <w:tblStyle w:val="9"/>
        <w:tblW w:w="12300" w:type="dxa"/>
        <w:tblInd w:w="89" w:type="dxa"/>
        <w:tblLayout w:type="autofit"/>
        <w:tblCellMar>
          <w:top w:w="0" w:type="dxa"/>
          <w:left w:w="108" w:type="dxa"/>
          <w:bottom w:w="0" w:type="dxa"/>
          <w:right w:w="108" w:type="dxa"/>
        </w:tblCellMar>
      </w:tblPr>
      <w:tblGrid>
        <w:gridCol w:w="1020"/>
        <w:gridCol w:w="1420"/>
        <w:gridCol w:w="2740"/>
        <w:gridCol w:w="5180"/>
        <w:gridCol w:w="1940"/>
      </w:tblGrid>
      <w:tr>
        <w:tblPrEx>
          <w:tblCellMar>
            <w:top w:w="0" w:type="dxa"/>
            <w:left w:w="108" w:type="dxa"/>
            <w:bottom w:w="0" w:type="dxa"/>
            <w:right w:w="108" w:type="dxa"/>
          </w:tblCellMar>
        </w:tblPrEx>
        <w:trPr>
          <w:trHeight w:val="986"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28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112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28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掌握全县各类机动车辆的保有量及车辆技术参数和机动车安全技术检验，加大对二手车和报废车的管控力度，确保无故障车上路行驶。掌握全县各类机动车驾驶人底数，杜绝无证驾驶或不按准驾车型驾驶机动车上路等违规现象的发生。</w:t>
            </w:r>
          </w:p>
        </w:tc>
      </w:tr>
      <w:tr>
        <w:tblPrEx>
          <w:tblCellMar>
            <w:top w:w="0" w:type="dxa"/>
            <w:left w:w="108" w:type="dxa"/>
            <w:bottom w:w="0" w:type="dxa"/>
            <w:right w:w="108" w:type="dxa"/>
          </w:tblCellMar>
        </w:tblPrEx>
        <w:trPr>
          <w:trHeight w:val="375"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7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51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19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7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51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车管所车架牌证费成本</w:t>
            </w:r>
          </w:p>
        </w:tc>
        <w:tc>
          <w:tcPr>
            <w:tcW w:w="19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7</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7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51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各类机动车辆、驾驶员数量指标</w:t>
            </w:r>
          </w:p>
        </w:tc>
        <w:tc>
          <w:tcPr>
            <w:tcW w:w="19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20054</w:t>
            </w:r>
            <w:r>
              <w:rPr>
                <w:rFonts w:hint="eastAsia" w:ascii="宋体" w:hAnsi="宋体" w:cs="宋体"/>
                <w:color w:val="000000"/>
                <w:kern w:val="0"/>
                <w:sz w:val="22"/>
                <w:szCs w:val="22"/>
              </w:rPr>
              <w:t>人</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7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51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纠正异常业务、违规业务率（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7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1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机动车注册、年检遗漏率（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7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51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7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51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驾驶考试中各类违法违纪的现象降低率（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7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7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51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参考学员满意度（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91%</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电动巡逻车绩效目标表</w:t>
      </w:r>
    </w:p>
    <w:tbl>
      <w:tblPr>
        <w:tblStyle w:val="9"/>
        <w:tblW w:w="12352" w:type="dxa"/>
        <w:tblInd w:w="89" w:type="dxa"/>
        <w:tblLayout w:type="autofit"/>
        <w:tblCellMar>
          <w:top w:w="0" w:type="dxa"/>
          <w:left w:w="108" w:type="dxa"/>
          <w:bottom w:w="0" w:type="dxa"/>
          <w:right w:w="108" w:type="dxa"/>
        </w:tblCellMar>
      </w:tblPr>
      <w:tblGrid>
        <w:gridCol w:w="1020"/>
        <w:gridCol w:w="1420"/>
        <w:gridCol w:w="2682"/>
        <w:gridCol w:w="5245"/>
        <w:gridCol w:w="1985"/>
      </w:tblGrid>
      <w:tr>
        <w:tblPrEx>
          <w:tblCellMar>
            <w:top w:w="0" w:type="dxa"/>
            <w:left w:w="108" w:type="dxa"/>
            <w:bottom w:w="0" w:type="dxa"/>
            <w:right w:w="108" w:type="dxa"/>
          </w:tblCellMar>
        </w:tblPrEx>
        <w:trPr>
          <w:trHeight w:val="33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332"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112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332"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维护全县良好的道路交通秩序，缓解城市交通拥堵，提高道路通行能力；加强公路巡警队建设，提升道路交通秩序管理水平。</w:t>
            </w:r>
          </w:p>
        </w:tc>
      </w:tr>
      <w:tr>
        <w:tblPrEx>
          <w:tblCellMar>
            <w:top w:w="0" w:type="dxa"/>
            <w:left w:w="108" w:type="dxa"/>
            <w:bottom w:w="0" w:type="dxa"/>
            <w:right w:w="108" w:type="dxa"/>
          </w:tblCellMar>
        </w:tblPrEx>
        <w:trPr>
          <w:trHeight w:val="285"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68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5245"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1985"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68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电动巡逻车成本</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11</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8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巡警业务保障率（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8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需购置数量</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2</w:t>
            </w:r>
            <w:r>
              <w:rPr>
                <w:rFonts w:hint="eastAsia" w:ascii="宋体" w:hAnsi="宋体" w:cs="宋体"/>
                <w:color w:val="000000"/>
                <w:kern w:val="0"/>
                <w:sz w:val="22"/>
                <w:szCs w:val="22"/>
              </w:rPr>
              <w:t>辆</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8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68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8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68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法定工作日之外加班补贴绩效目标表</w:t>
      </w:r>
    </w:p>
    <w:tbl>
      <w:tblPr>
        <w:tblStyle w:val="9"/>
        <w:tblW w:w="12352" w:type="dxa"/>
        <w:tblInd w:w="89" w:type="dxa"/>
        <w:tblLayout w:type="autofit"/>
        <w:tblCellMar>
          <w:top w:w="0" w:type="dxa"/>
          <w:left w:w="108" w:type="dxa"/>
          <w:bottom w:w="0" w:type="dxa"/>
          <w:right w:w="108" w:type="dxa"/>
        </w:tblCellMar>
      </w:tblPr>
      <w:tblGrid>
        <w:gridCol w:w="1020"/>
        <w:gridCol w:w="1420"/>
        <w:gridCol w:w="2800"/>
        <w:gridCol w:w="4640"/>
        <w:gridCol w:w="2472"/>
      </w:tblGrid>
      <w:tr>
        <w:tblPrEx>
          <w:tblCellMar>
            <w:top w:w="0" w:type="dxa"/>
            <w:left w:w="108" w:type="dxa"/>
            <w:bottom w:w="0" w:type="dxa"/>
            <w:right w:w="108" w:type="dxa"/>
          </w:tblCellMar>
        </w:tblPrEx>
        <w:trPr>
          <w:trHeight w:val="30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332"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300"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332"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为落实国家从优待警政策，保障人民警察合法权益，按文件规定每月发放干警法定工作日之外加班补贴。</w:t>
            </w:r>
          </w:p>
        </w:tc>
      </w:tr>
      <w:tr>
        <w:tblPrEx>
          <w:tblCellMar>
            <w:top w:w="0" w:type="dxa"/>
            <w:left w:w="108" w:type="dxa"/>
            <w:bottom w:w="0" w:type="dxa"/>
            <w:right w:w="108" w:type="dxa"/>
          </w:tblCellMar>
        </w:tblPrEx>
        <w:trPr>
          <w:trHeight w:val="30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8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46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47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8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46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加班补贴发放成本</w:t>
            </w:r>
          </w:p>
        </w:tc>
        <w:tc>
          <w:tcPr>
            <w:tcW w:w="247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17.892</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8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46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发放补贴干警人数</w:t>
            </w:r>
          </w:p>
        </w:tc>
        <w:tc>
          <w:tcPr>
            <w:tcW w:w="247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21</w:t>
            </w:r>
            <w:r>
              <w:rPr>
                <w:rFonts w:hint="eastAsia" w:ascii="宋体" w:hAnsi="宋体" w:cs="宋体"/>
                <w:color w:val="000000"/>
                <w:kern w:val="0"/>
                <w:sz w:val="22"/>
                <w:szCs w:val="22"/>
              </w:rPr>
              <w:t>人</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8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6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加班补贴发放率（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47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8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46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政法队伍整体素质和工作水平提高程度（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47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8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46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干警满意度</w:t>
            </w:r>
            <w:r>
              <w:rPr>
                <w:rFonts w:ascii="宋体" w:hAnsi="宋体" w:cs="宋体"/>
                <w:color w:val="000000"/>
                <w:kern w:val="0"/>
                <w:sz w:val="22"/>
                <w:szCs w:val="22"/>
              </w:rPr>
              <w:t>(%)</w:t>
            </w:r>
          </w:p>
        </w:tc>
        <w:tc>
          <w:tcPr>
            <w:tcW w:w="247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电警监控视频绩效目标表</w:t>
      </w:r>
    </w:p>
    <w:tbl>
      <w:tblPr>
        <w:tblStyle w:val="9"/>
        <w:tblW w:w="12352" w:type="dxa"/>
        <w:tblInd w:w="89" w:type="dxa"/>
        <w:tblLayout w:type="autofit"/>
        <w:tblCellMar>
          <w:top w:w="0" w:type="dxa"/>
          <w:left w:w="108" w:type="dxa"/>
          <w:bottom w:w="0" w:type="dxa"/>
          <w:right w:w="108" w:type="dxa"/>
        </w:tblCellMar>
      </w:tblPr>
      <w:tblGrid>
        <w:gridCol w:w="1020"/>
        <w:gridCol w:w="1420"/>
        <w:gridCol w:w="2824"/>
        <w:gridCol w:w="4678"/>
        <w:gridCol w:w="2410"/>
      </w:tblGrid>
      <w:tr>
        <w:tblPrEx>
          <w:tblCellMar>
            <w:top w:w="0" w:type="dxa"/>
            <w:left w:w="108" w:type="dxa"/>
            <w:bottom w:w="0" w:type="dxa"/>
            <w:right w:w="108" w:type="dxa"/>
          </w:tblCellMar>
        </w:tblPrEx>
        <w:trPr>
          <w:trHeight w:val="435"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332"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rPr>
          <w:trHeight w:val="112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332"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为了规范机动车通行秩序</w:t>
            </w:r>
            <w:r>
              <w:rPr>
                <w:rFonts w:ascii="宋体" w:cs="宋体"/>
                <w:color w:val="000000"/>
                <w:kern w:val="0"/>
                <w:sz w:val="22"/>
                <w:szCs w:val="22"/>
              </w:rPr>
              <w:t>,</w:t>
            </w:r>
            <w:r>
              <w:rPr>
                <w:rFonts w:hint="eastAsia" w:ascii="宋体" w:hAnsi="宋体" w:cs="宋体"/>
                <w:color w:val="000000"/>
                <w:kern w:val="0"/>
                <w:sz w:val="22"/>
                <w:szCs w:val="22"/>
              </w:rPr>
              <w:t>预防和减少交通事故的发生</w:t>
            </w:r>
            <w:r>
              <w:rPr>
                <w:rFonts w:ascii="宋体" w:cs="宋体"/>
                <w:color w:val="000000"/>
                <w:kern w:val="0"/>
                <w:sz w:val="22"/>
                <w:szCs w:val="22"/>
              </w:rPr>
              <w:t>,</w:t>
            </w:r>
            <w:r>
              <w:rPr>
                <w:rFonts w:hint="eastAsia" w:ascii="宋体" w:hAnsi="宋体" w:cs="宋体"/>
                <w:color w:val="000000"/>
                <w:kern w:val="0"/>
                <w:sz w:val="22"/>
                <w:szCs w:val="22"/>
              </w:rPr>
              <w:t>消除道路交通隐患</w:t>
            </w:r>
            <w:r>
              <w:rPr>
                <w:rFonts w:ascii="宋体" w:cs="宋体"/>
                <w:color w:val="000000"/>
                <w:kern w:val="0"/>
                <w:sz w:val="22"/>
                <w:szCs w:val="22"/>
              </w:rPr>
              <w:t>,</w:t>
            </w:r>
            <w:r>
              <w:rPr>
                <w:rFonts w:hint="eastAsia" w:ascii="宋体" w:hAnsi="宋体" w:cs="宋体"/>
                <w:color w:val="000000"/>
                <w:kern w:val="0"/>
                <w:sz w:val="22"/>
                <w:szCs w:val="22"/>
              </w:rPr>
              <w:t>我大队拟在</w:t>
            </w:r>
            <w:r>
              <w:rPr>
                <w:rFonts w:ascii="宋体" w:hAnsi="宋体" w:cs="宋体"/>
                <w:color w:val="000000"/>
                <w:kern w:val="0"/>
                <w:sz w:val="22"/>
                <w:szCs w:val="22"/>
              </w:rPr>
              <w:t>327</w:t>
            </w:r>
            <w:r>
              <w:rPr>
                <w:rFonts w:hint="eastAsia" w:ascii="宋体" w:hAnsi="宋体" w:cs="宋体"/>
                <w:color w:val="000000"/>
                <w:kern w:val="0"/>
                <w:sz w:val="22"/>
                <w:szCs w:val="22"/>
              </w:rPr>
              <w:t>省道张庄路口、德仁路与柴荣交叉口安装电子警察设备</w:t>
            </w:r>
            <w:r>
              <w:rPr>
                <w:rFonts w:ascii="宋体" w:hAnsi="宋体" w:cs="宋体"/>
                <w:color w:val="000000"/>
                <w:kern w:val="0"/>
                <w:sz w:val="22"/>
                <w:szCs w:val="22"/>
              </w:rPr>
              <w:t>3</w:t>
            </w:r>
            <w:r>
              <w:rPr>
                <w:rFonts w:hint="eastAsia" w:ascii="宋体" w:hAnsi="宋体" w:cs="宋体"/>
                <w:color w:val="000000"/>
                <w:kern w:val="0"/>
                <w:sz w:val="22"/>
                <w:szCs w:val="22"/>
              </w:rPr>
              <w:t>套</w:t>
            </w:r>
            <w:r>
              <w:rPr>
                <w:rFonts w:ascii="宋体" w:hAnsi="宋体" w:cs="宋体"/>
                <w:color w:val="000000"/>
                <w:kern w:val="0"/>
                <w:sz w:val="22"/>
                <w:szCs w:val="22"/>
              </w:rPr>
              <w:t>;</w:t>
            </w:r>
            <w:r>
              <w:rPr>
                <w:rFonts w:hint="eastAsia" w:ascii="宋体" w:hAnsi="宋体" w:cs="宋体"/>
                <w:color w:val="000000"/>
                <w:kern w:val="0"/>
                <w:sz w:val="22"/>
                <w:szCs w:val="22"/>
              </w:rPr>
              <w:t>在宁鸡线、赵辛线、太行路等部分重点区域安装监控视频</w:t>
            </w:r>
            <w:r>
              <w:rPr>
                <w:rFonts w:ascii="宋体" w:hAnsi="宋体" w:cs="宋体"/>
                <w:color w:val="000000"/>
                <w:kern w:val="0"/>
                <w:sz w:val="22"/>
                <w:szCs w:val="22"/>
              </w:rPr>
              <w:t>13</w:t>
            </w:r>
            <w:r>
              <w:rPr>
                <w:rFonts w:hint="eastAsia" w:ascii="宋体" w:hAnsi="宋体" w:cs="宋体"/>
                <w:color w:val="000000"/>
                <w:kern w:val="0"/>
                <w:sz w:val="22"/>
                <w:szCs w:val="22"/>
              </w:rPr>
              <w:t>套。</w:t>
            </w:r>
          </w:p>
        </w:tc>
      </w:tr>
      <w:tr>
        <w:tblPrEx>
          <w:tblCellMar>
            <w:top w:w="0" w:type="dxa"/>
            <w:left w:w="108" w:type="dxa"/>
            <w:bottom w:w="0" w:type="dxa"/>
            <w:right w:w="108" w:type="dxa"/>
          </w:tblCellMar>
        </w:tblPrEx>
        <w:trPr>
          <w:trHeight w:val="315"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467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41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467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安装电警监控视频个数</w:t>
            </w:r>
          </w:p>
        </w:tc>
        <w:tc>
          <w:tcPr>
            <w:tcW w:w="24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16</w:t>
            </w:r>
            <w:r>
              <w:rPr>
                <w:rFonts w:hint="eastAsia" w:ascii="宋体" w:hAnsi="宋体" w:cs="宋体"/>
                <w:color w:val="000000"/>
                <w:kern w:val="0"/>
                <w:sz w:val="22"/>
                <w:szCs w:val="22"/>
              </w:rPr>
              <w:t>套</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67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巡警业务保障率</w:t>
            </w:r>
          </w:p>
        </w:tc>
        <w:tc>
          <w:tcPr>
            <w:tcW w:w="24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467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电警监控视频成本</w:t>
            </w:r>
          </w:p>
        </w:tc>
        <w:tc>
          <w:tcPr>
            <w:tcW w:w="24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104</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67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4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67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4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67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4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467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交通监测系统群众满意度（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4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机房服务器存储扩容项目绩效目标表</w:t>
      </w:r>
    </w:p>
    <w:tbl>
      <w:tblPr>
        <w:tblStyle w:val="9"/>
        <w:tblW w:w="12352" w:type="dxa"/>
        <w:tblInd w:w="89" w:type="dxa"/>
        <w:tblLayout w:type="autofit"/>
        <w:tblCellMar>
          <w:top w:w="0" w:type="dxa"/>
          <w:left w:w="108" w:type="dxa"/>
          <w:bottom w:w="0" w:type="dxa"/>
          <w:right w:w="108" w:type="dxa"/>
        </w:tblCellMar>
      </w:tblPr>
      <w:tblGrid>
        <w:gridCol w:w="1020"/>
        <w:gridCol w:w="1420"/>
        <w:gridCol w:w="2824"/>
        <w:gridCol w:w="4820"/>
        <w:gridCol w:w="2268"/>
      </w:tblGrid>
      <w:tr>
        <w:tblPrEx>
          <w:tblCellMar>
            <w:top w:w="0" w:type="dxa"/>
            <w:left w:w="108" w:type="dxa"/>
            <w:bottom w:w="0" w:type="dxa"/>
            <w:right w:w="108" w:type="dxa"/>
          </w:tblCellMar>
        </w:tblPrEx>
        <w:trPr>
          <w:trHeight w:val="315"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332"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85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332"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随着隆尧县电子警察及高清视频数量逐渐增加，图片及视频存储空间需要同步扩容，以达到路防建设要求，图片存储时间要求增加到</w:t>
            </w:r>
            <w:r>
              <w:rPr>
                <w:rFonts w:ascii="宋体" w:hAnsi="宋体" w:cs="宋体"/>
                <w:color w:val="000000"/>
                <w:kern w:val="0"/>
                <w:sz w:val="22"/>
                <w:szCs w:val="22"/>
              </w:rPr>
              <w:t>3</w:t>
            </w:r>
            <w:r>
              <w:rPr>
                <w:rFonts w:hint="eastAsia" w:ascii="宋体" w:hAnsi="宋体" w:cs="宋体"/>
                <w:color w:val="000000"/>
                <w:kern w:val="0"/>
                <w:sz w:val="22"/>
                <w:szCs w:val="22"/>
              </w:rPr>
              <w:t>个月，视频存储要求不少于</w:t>
            </w:r>
            <w:r>
              <w:rPr>
                <w:rFonts w:ascii="宋体" w:hAnsi="宋体" w:cs="宋体"/>
                <w:color w:val="000000"/>
                <w:kern w:val="0"/>
                <w:sz w:val="22"/>
                <w:szCs w:val="22"/>
              </w:rPr>
              <w:t>1</w:t>
            </w:r>
            <w:r>
              <w:rPr>
                <w:rFonts w:hint="eastAsia" w:ascii="宋体" w:hAnsi="宋体" w:cs="宋体"/>
                <w:color w:val="000000"/>
                <w:kern w:val="0"/>
                <w:sz w:val="22"/>
                <w:szCs w:val="22"/>
              </w:rPr>
              <w:t>个月。需扩容设备：两台服务器、一台磁盘阵列、一个交换机、一个服务器机柜及相应辅材。</w:t>
            </w:r>
          </w:p>
        </w:tc>
      </w:tr>
      <w:tr>
        <w:tblPrEx>
          <w:tblCellMar>
            <w:top w:w="0" w:type="dxa"/>
            <w:left w:w="108" w:type="dxa"/>
            <w:bottom w:w="0" w:type="dxa"/>
            <w:right w:w="108" w:type="dxa"/>
          </w:tblCellMar>
        </w:tblPrEx>
        <w:trPr>
          <w:trHeight w:val="555"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48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48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机房服务器存储扩容项目成本</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18</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48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购买服务器数量</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2</w:t>
            </w:r>
            <w:r>
              <w:rPr>
                <w:rFonts w:hint="eastAsia" w:ascii="宋体" w:hAnsi="宋体" w:cs="宋体"/>
                <w:color w:val="000000"/>
                <w:kern w:val="0"/>
                <w:sz w:val="22"/>
                <w:szCs w:val="22"/>
              </w:rPr>
              <w:t>台</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8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指挥中心业务保障率（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8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纠正异常业务、违规路口、主要路段视频监控率（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8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8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48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事故财产损失下降率（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82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48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冀财政法</w:t>
      </w:r>
      <w:r>
        <w:rPr>
          <w:rFonts w:ascii="方正仿宋_GBK" w:eastAsia="方正仿宋_GBK"/>
          <w:b/>
          <w:sz w:val="28"/>
        </w:rPr>
        <w:t>[2019]22</w:t>
      </w:r>
      <w:r>
        <w:rPr>
          <w:rFonts w:hint="eastAsia" w:ascii="方正仿宋_GBK" w:eastAsia="方正仿宋_GBK"/>
          <w:b/>
          <w:sz w:val="28"/>
        </w:rPr>
        <w:t>号</w:t>
      </w:r>
      <w:r>
        <w:rPr>
          <w:rFonts w:ascii="方正仿宋_GBK" w:eastAsia="方正仿宋_GBK"/>
          <w:b/>
          <w:sz w:val="28"/>
        </w:rPr>
        <w:t>/</w:t>
      </w:r>
      <w:r>
        <w:rPr>
          <w:rFonts w:hint="eastAsia" w:ascii="方正仿宋_GBK" w:eastAsia="方正仿宋_GBK"/>
          <w:b/>
          <w:sz w:val="28"/>
        </w:rPr>
        <w:t>提前下达</w:t>
      </w:r>
      <w:r>
        <w:rPr>
          <w:rFonts w:ascii="方正仿宋_GBK" w:eastAsia="方正仿宋_GBK"/>
          <w:b/>
          <w:sz w:val="28"/>
        </w:rPr>
        <w:t>2020</w:t>
      </w:r>
      <w:r>
        <w:rPr>
          <w:rFonts w:hint="eastAsia" w:ascii="方正仿宋_GBK" w:eastAsia="方正仿宋_GBK"/>
          <w:b/>
          <w:sz w:val="28"/>
        </w:rPr>
        <w:t>年中央政法纪检监察转移支付资金</w:t>
      </w:r>
      <w:r>
        <w:rPr>
          <w:rFonts w:ascii="方正仿宋_GBK" w:eastAsia="方正仿宋_GBK"/>
          <w:b/>
          <w:sz w:val="28"/>
        </w:rPr>
        <w:t>/</w:t>
      </w:r>
      <w:r>
        <w:rPr>
          <w:rFonts w:hint="eastAsia" w:ascii="方正仿宋_GBK" w:eastAsia="方正仿宋_GBK"/>
          <w:b/>
          <w:sz w:val="28"/>
        </w:rPr>
        <w:t>装备经费绩效目标表</w:t>
      </w:r>
    </w:p>
    <w:tbl>
      <w:tblPr>
        <w:tblStyle w:val="9"/>
        <w:tblW w:w="12352" w:type="dxa"/>
        <w:tblInd w:w="89" w:type="dxa"/>
        <w:tblLayout w:type="autofit"/>
        <w:tblCellMar>
          <w:top w:w="0" w:type="dxa"/>
          <w:left w:w="108" w:type="dxa"/>
          <w:bottom w:w="0" w:type="dxa"/>
          <w:right w:w="108" w:type="dxa"/>
        </w:tblCellMar>
      </w:tblPr>
      <w:tblGrid>
        <w:gridCol w:w="1020"/>
        <w:gridCol w:w="1420"/>
        <w:gridCol w:w="2600"/>
        <w:gridCol w:w="5044"/>
        <w:gridCol w:w="2268"/>
      </w:tblGrid>
      <w:tr>
        <w:tblPrEx>
          <w:tblCellMar>
            <w:top w:w="0" w:type="dxa"/>
            <w:left w:w="108" w:type="dxa"/>
            <w:bottom w:w="0" w:type="dxa"/>
            <w:right w:w="108" w:type="dxa"/>
          </w:tblCellMar>
        </w:tblPrEx>
        <w:trPr>
          <w:trHeight w:val="45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332"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112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332"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实施新型城镇化建设畅通工程，制定城镇道路中长期发展规划，加大城市道路监控系统和道路安全设施建设，推进公路巡警队建设，执行暑期及两会安保任务。维护全县良好的道路交通秩序，缓解城市交通拥堵，提高道路通行能力；加强公路巡警队建设，提升道路交通秩序管理水平。</w:t>
            </w:r>
          </w:p>
        </w:tc>
      </w:tr>
      <w:tr>
        <w:tblPrEx>
          <w:tblCellMar>
            <w:top w:w="0" w:type="dxa"/>
            <w:left w:w="108" w:type="dxa"/>
            <w:bottom w:w="0" w:type="dxa"/>
            <w:right w:w="108" w:type="dxa"/>
          </w:tblCellMar>
        </w:tblPrEx>
        <w:trPr>
          <w:trHeight w:val="33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6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504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6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50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转移支付装备经费成本</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42.345</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50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购买单警装备数量</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10</w:t>
            </w:r>
            <w:r>
              <w:rPr>
                <w:rFonts w:hint="eastAsia" w:ascii="宋体" w:hAnsi="宋体" w:cs="宋体"/>
                <w:color w:val="000000"/>
                <w:kern w:val="0"/>
                <w:sz w:val="22"/>
                <w:szCs w:val="22"/>
              </w:rPr>
              <w:t>套</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50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购买肩灯数量</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100</w:t>
            </w:r>
            <w:r>
              <w:rPr>
                <w:rFonts w:hint="eastAsia" w:ascii="宋体" w:hAnsi="宋体" w:cs="宋体"/>
                <w:color w:val="000000"/>
                <w:kern w:val="0"/>
                <w:sz w:val="22"/>
                <w:szCs w:val="22"/>
              </w:rPr>
              <w:t>个</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50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购买现场执法记录仪数量</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60</w:t>
            </w:r>
            <w:r>
              <w:rPr>
                <w:rFonts w:hint="eastAsia" w:ascii="宋体" w:hAnsi="宋体" w:cs="宋体"/>
                <w:color w:val="000000"/>
                <w:kern w:val="0"/>
                <w:sz w:val="22"/>
                <w:szCs w:val="22"/>
              </w:rPr>
              <w:t>台</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50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6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0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0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50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事故财产损失下降率（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60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50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交通监测系统群众满意度（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路防工程绩效目标表</w:t>
      </w:r>
    </w:p>
    <w:tbl>
      <w:tblPr>
        <w:tblStyle w:val="9"/>
        <w:tblW w:w="12352" w:type="dxa"/>
        <w:tblInd w:w="89" w:type="dxa"/>
        <w:tblLayout w:type="autofit"/>
        <w:tblCellMar>
          <w:top w:w="0" w:type="dxa"/>
          <w:left w:w="108" w:type="dxa"/>
          <w:bottom w:w="0" w:type="dxa"/>
          <w:right w:w="108" w:type="dxa"/>
        </w:tblCellMar>
      </w:tblPr>
      <w:tblGrid>
        <w:gridCol w:w="1020"/>
        <w:gridCol w:w="1840"/>
        <w:gridCol w:w="2262"/>
        <w:gridCol w:w="4962"/>
        <w:gridCol w:w="2268"/>
      </w:tblGrid>
      <w:tr>
        <w:tblPrEx>
          <w:tblCellMar>
            <w:top w:w="0" w:type="dxa"/>
            <w:left w:w="108" w:type="dxa"/>
            <w:bottom w:w="0" w:type="dxa"/>
            <w:right w:w="108" w:type="dxa"/>
          </w:tblCellMar>
        </w:tblPrEx>
        <w:trPr>
          <w:trHeight w:val="285"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332"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28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332"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为了规范机动车通行秩序</w:t>
            </w:r>
            <w:r>
              <w:rPr>
                <w:rFonts w:ascii="宋体" w:cs="宋体"/>
                <w:color w:val="000000"/>
                <w:kern w:val="0"/>
                <w:sz w:val="22"/>
                <w:szCs w:val="22"/>
              </w:rPr>
              <w:t>,</w:t>
            </w:r>
            <w:r>
              <w:rPr>
                <w:rFonts w:hint="eastAsia" w:ascii="宋体" w:hAnsi="宋体" w:cs="宋体"/>
                <w:color w:val="000000"/>
                <w:kern w:val="0"/>
                <w:sz w:val="22"/>
                <w:szCs w:val="22"/>
              </w:rPr>
              <w:t>预防和减少交通事故的发生</w:t>
            </w:r>
            <w:r>
              <w:rPr>
                <w:rFonts w:ascii="宋体" w:cs="宋体"/>
                <w:color w:val="000000"/>
                <w:kern w:val="0"/>
                <w:sz w:val="22"/>
                <w:szCs w:val="22"/>
              </w:rPr>
              <w:t>,</w:t>
            </w:r>
            <w:r>
              <w:rPr>
                <w:rFonts w:hint="eastAsia" w:ascii="宋体" w:hAnsi="宋体" w:cs="宋体"/>
                <w:color w:val="000000"/>
                <w:kern w:val="0"/>
                <w:sz w:val="22"/>
                <w:szCs w:val="22"/>
              </w:rPr>
              <w:t>消道路交通隐患</w:t>
            </w:r>
            <w:r>
              <w:rPr>
                <w:rFonts w:ascii="宋体" w:cs="宋体"/>
                <w:color w:val="000000"/>
                <w:kern w:val="0"/>
                <w:sz w:val="22"/>
                <w:szCs w:val="22"/>
              </w:rPr>
              <w:t>,</w:t>
            </w:r>
            <w:r>
              <w:rPr>
                <w:rFonts w:hint="eastAsia" w:ascii="宋体" w:hAnsi="宋体" w:cs="宋体"/>
                <w:color w:val="000000"/>
                <w:kern w:val="0"/>
                <w:sz w:val="22"/>
                <w:szCs w:val="22"/>
              </w:rPr>
              <w:t>我大队拟在德仁路与交叉口、康庄路财政局路口、金隆路与昭庆街交叉口安装子警察设备三套</w:t>
            </w:r>
            <w:r>
              <w:rPr>
                <w:rFonts w:ascii="宋体" w:hAnsi="宋体" w:cs="宋体"/>
                <w:color w:val="000000"/>
                <w:kern w:val="0"/>
                <w:sz w:val="22"/>
                <w:szCs w:val="22"/>
              </w:rPr>
              <w:t>;</w:t>
            </w:r>
            <w:r>
              <w:rPr>
                <w:rFonts w:hint="eastAsia" w:ascii="宋体" w:hAnsi="宋体" w:cs="宋体"/>
                <w:color w:val="000000"/>
                <w:kern w:val="0"/>
                <w:sz w:val="22"/>
                <w:szCs w:val="22"/>
              </w:rPr>
              <w:t>在</w:t>
            </w:r>
            <w:r>
              <w:rPr>
                <w:rFonts w:ascii="宋体" w:hAnsi="宋体" w:cs="宋体"/>
                <w:color w:val="000000"/>
                <w:kern w:val="0"/>
                <w:sz w:val="22"/>
                <w:szCs w:val="22"/>
              </w:rPr>
              <w:t>327</w:t>
            </w:r>
            <w:r>
              <w:rPr>
                <w:rFonts w:hint="eastAsia" w:ascii="宋体" w:hAnsi="宋体" w:cs="宋体"/>
                <w:color w:val="000000"/>
                <w:kern w:val="0"/>
                <w:sz w:val="22"/>
                <w:szCs w:val="22"/>
              </w:rPr>
              <w:t>省道、</w:t>
            </w:r>
            <w:r>
              <w:rPr>
                <w:rFonts w:ascii="宋体" w:hAnsi="宋体" w:cs="宋体"/>
                <w:color w:val="000000"/>
                <w:kern w:val="0"/>
                <w:sz w:val="22"/>
                <w:szCs w:val="22"/>
              </w:rPr>
              <w:t>328</w:t>
            </w:r>
            <w:r>
              <w:rPr>
                <w:rFonts w:hint="eastAsia" w:ascii="宋体" w:hAnsi="宋体" w:cs="宋体"/>
                <w:color w:val="000000"/>
                <w:kern w:val="0"/>
                <w:sz w:val="22"/>
                <w:szCs w:val="22"/>
              </w:rPr>
              <w:t>省道、县城部分重点区域安装监控视频九套。</w:t>
            </w:r>
          </w:p>
        </w:tc>
      </w:tr>
      <w:tr>
        <w:tblPrEx>
          <w:tblCellMar>
            <w:top w:w="0" w:type="dxa"/>
            <w:left w:w="108" w:type="dxa"/>
            <w:bottom w:w="0" w:type="dxa"/>
            <w:right w:w="108" w:type="dxa"/>
          </w:tblCellMar>
        </w:tblPrEx>
        <w:trPr>
          <w:trHeight w:val="285"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84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26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496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40" w:type="dxa"/>
            <w:vMerge w:val="restart"/>
            <w:tcBorders>
              <w:top w:val="nil"/>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26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路防工程成本</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100</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226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安装监控视频数量</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12</w:t>
            </w:r>
            <w:r>
              <w:rPr>
                <w:rFonts w:hint="eastAsia" w:ascii="宋体" w:hAnsi="宋体" w:cs="宋体"/>
                <w:color w:val="000000"/>
                <w:kern w:val="0"/>
                <w:sz w:val="22"/>
                <w:szCs w:val="22"/>
              </w:rPr>
              <w:t>套</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226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巡警业务保障率（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226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路段视频监控率（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226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4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26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26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4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26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人民警察执勤岗位津贴绩效目标表</w:t>
      </w:r>
    </w:p>
    <w:tbl>
      <w:tblPr>
        <w:tblStyle w:val="9"/>
        <w:tblW w:w="12352" w:type="dxa"/>
        <w:tblInd w:w="89" w:type="dxa"/>
        <w:tblLayout w:type="autofit"/>
        <w:tblCellMar>
          <w:top w:w="0" w:type="dxa"/>
          <w:left w:w="108" w:type="dxa"/>
          <w:bottom w:w="0" w:type="dxa"/>
          <w:right w:w="108" w:type="dxa"/>
        </w:tblCellMar>
      </w:tblPr>
      <w:tblGrid>
        <w:gridCol w:w="1020"/>
        <w:gridCol w:w="1834"/>
        <w:gridCol w:w="2268"/>
        <w:gridCol w:w="4962"/>
        <w:gridCol w:w="2268"/>
      </w:tblGrid>
      <w:tr>
        <w:tblPrEx>
          <w:tblCellMar>
            <w:top w:w="0" w:type="dxa"/>
            <w:left w:w="108" w:type="dxa"/>
            <w:bottom w:w="0" w:type="dxa"/>
            <w:right w:w="108" w:type="dxa"/>
          </w:tblCellMar>
        </w:tblPrEx>
        <w:trPr>
          <w:trHeight w:val="33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332"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330"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332"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按照《人力资源社会保障部</w:t>
            </w:r>
            <w:r>
              <w:rPr>
                <w:rFonts w:ascii="宋体" w:hAnsi="宋体" w:cs="宋体"/>
                <w:color w:val="000000"/>
                <w:kern w:val="0"/>
                <w:sz w:val="22"/>
                <w:szCs w:val="22"/>
              </w:rPr>
              <w:t xml:space="preserve"> </w:t>
            </w:r>
            <w:r>
              <w:rPr>
                <w:rFonts w:hint="eastAsia" w:ascii="宋体" w:hAnsi="宋体" w:cs="宋体"/>
                <w:color w:val="000000"/>
                <w:kern w:val="0"/>
                <w:sz w:val="22"/>
                <w:szCs w:val="22"/>
              </w:rPr>
              <w:t>财政部关于执行人民警察值勤岗位津贴有关问题的通知》人社部规【</w:t>
            </w:r>
            <w:r>
              <w:rPr>
                <w:rFonts w:ascii="宋体" w:hAnsi="宋体" w:cs="宋体"/>
                <w:color w:val="000000"/>
                <w:kern w:val="0"/>
                <w:sz w:val="22"/>
                <w:szCs w:val="22"/>
              </w:rPr>
              <w:t>2017</w:t>
            </w:r>
            <w:r>
              <w:rPr>
                <w:rFonts w:hint="eastAsia" w:ascii="宋体" w:hAnsi="宋体" w:cs="宋体"/>
                <w:color w:val="000000"/>
                <w:kern w:val="0"/>
                <w:sz w:val="22"/>
                <w:szCs w:val="22"/>
              </w:rPr>
              <w:t>】</w:t>
            </w:r>
            <w:r>
              <w:rPr>
                <w:rFonts w:ascii="宋体" w:hAnsi="宋体" w:cs="宋体"/>
                <w:color w:val="000000"/>
                <w:kern w:val="0"/>
                <w:sz w:val="22"/>
                <w:szCs w:val="22"/>
              </w:rPr>
              <w:t>10</w:t>
            </w:r>
            <w:r>
              <w:rPr>
                <w:rFonts w:hint="eastAsia" w:ascii="宋体" w:hAnsi="宋体" w:cs="宋体"/>
                <w:color w:val="000000"/>
                <w:kern w:val="0"/>
                <w:sz w:val="22"/>
                <w:szCs w:val="22"/>
              </w:rPr>
              <w:t>号及冀人社字【</w:t>
            </w:r>
            <w:r>
              <w:rPr>
                <w:rFonts w:ascii="宋体" w:hAnsi="宋体" w:cs="宋体"/>
                <w:color w:val="000000"/>
                <w:kern w:val="0"/>
                <w:sz w:val="22"/>
                <w:szCs w:val="22"/>
              </w:rPr>
              <w:t>2017</w:t>
            </w:r>
            <w:r>
              <w:rPr>
                <w:rFonts w:hint="eastAsia" w:ascii="宋体" w:hAnsi="宋体" w:cs="宋体"/>
                <w:color w:val="000000"/>
                <w:kern w:val="0"/>
                <w:sz w:val="22"/>
                <w:szCs w:val="22"/>
              </w:rPr>
              <w:t>】</w:t>
            </w:r>
            <w:r>
              <w:rPr>
                <w:rFonts w:ascii="宋体" w:hAnsi="宋体" w:cs="宋体"/>
                <w:color w:val="000000"/>
                <w:kern w:val="0"/>
                <w:sz w:val="22"/>
                <w:szCs w:val="22"/>
              </w:rPr>
              <w:t>177</w:t>
            </w:r>
            <w:r>
              <w:rPr>
                <w:rFonts w:hint="eastAsia" w:ascii="宋体" w:hAnsi="宋体" w:cs="宋体"/>
                <w:color w:val="000000"/>
                <w:kern w:val="0"/>
                <w:sz w:val="22"/>
                <w:szCs w:val="22"/>
              </w:rPr>
              <w:t>号、邢人社发【</w:t>
            </w:r>
            <w:r>
              <w:rPr>
                <w:rFonts w:ascii="宋体" w:hAnsi="宋体" w:cs="宋体"/>
                <w:color w:val="000000"/>
                <w:kern w:val="0"/>
                <w:sz w:val="22"/>
                <w:szCs w:val="22"/>
              </w:rPr>
              <w:t>2017</w:t>
            </w:r>
            <w:r>
              <w:rPr>
                <w:rFonts w:hint="eastAsia" w:ascii="宋体" w:hAnsi="宋体" w:cs="宋体"/>
                <w:color w:val="000000"/>
                <w:kern w:val="0"/>
                <w:sz w:val="22"/>
                <w:szCs w:val="22"/>
              </w:rPr>
              <w:t>】</w:t>
            </w:r>
            <w:r>
              <w:rPr>
                <w:rFonts w:ascii="宋体" w:hAnsi="宋体" w:cs="宋体"/>
                <w:color w:val="000000"/>
                <w:kern w:val="0"/>
                <w:sz w:val="22"/>
                <w:szCs w:val="22"/>
              </w:rPr>
              <w:t>40</w:t>
            </w:r>
            <w:r>
              <w:rPr>
                <w:rFonts w:hint="eastAsia" w:ascii="宋体" w:hAnsi="宋体" w:cs="宋体"/>
                <w:color w:val="000000"/>
                <w:kern w:val="0"/>
                <w:sz w:val="22"/>
                <w:szCs w:val="22"/>
              </w:rPr>
              <w:t>号文件要求从</w:t>
            </w:r>
            <w:r>
              <w:rPr>
                <w:rFonts w:ascii="宋体" w:hAnsi="宋体" w:cs="宋体"/>
                <w:color w:val="000000"/>
                <w:kern w:val="0"/>
                <w:sz w:val="22"/>
                <w:szCs w:val="22"/>
              </w:rPr>
              <w:t>2016</w:t>
            </w:r>
            <w:r>
              <w:rPr>
                <w:rFonts w:hint="eastAsia" w:ascii="宋体" w:hAnsi="宋体" w:cs="宋体"/>
                <w:color w:val="000000"/>
                <w:kern w:val="0"/>
                <w:sz w:val="22"/>
                <w:szCs w:val="22"/>
              </w:rPr>
              <w:t>年</w:t>
            </w:r>
            <w:r>
              <w:rPr>
                <w:rFonts w:ascii="宋体" w:hAnsi="宋体" w:cs="宋体"/>
                <w:color w:val="000000"/>
                <w:kern w:val="0"/>
                <w:sz w:val="22"/>
                <w:szCs w:val="22"/>
              </w:rPr>
              <w:t>7</w:t>
            </w:r>
            <w:r>
              <w:rPr>
                <w:rFonts w:hint="eastAsia" w:ascii="宋体" w:hAnsi="宋体" w:cs="宋体"/>
                <w:color w:val="000000"/>
                <w:kern w:val="0"/>
                <w:sz w:val="22"/>
                <w:szCs w:val="22"/>
              </w:rPr>
              <w:t>月</w:t>
            </w:r>
            <w:r>
              <w:rPr>
                <w:rFonts w:ascii="宋体" w:hAnsi="宋体" w:cs="宋体"/>
                <w:color w:val="000000"/>
                <w:kern w:val="0"/>
                <w:sz w:val="22"/>
                <w:szCs w:val="22"/>
              </w:rPr>
              <w:t>1</w:t>
            </w:r>
            <w:r>
              <w:rPr>
                <w:rFonts w:hint="eastAsia" w:ascii="宋体" w:hAnsi="宋体" w:cs="宋体"/>
                <w:color w:val="000000"/>
                <w:kern w:val="0"/>
                <w:sz w:val="22"/>
                <w:szCs w:val="22"/>
              </w:rPr>
              <w:t>日起调整人民警察值勤岗位津贴。列入国家政法专项编制且执行公务员工资制度的人民警察，县级公安机关交警部门值勤岗位津贴标准为：二类津贴每人每天</w:t>
            </w:r>
            <w:r>
              <w:rPr>
                <w:rFonts w:ascii="宋体" w:hAnsi="宋体" w:cs="宋体"/>
                <w:color w:val="000000"/>
                <w:kern w:val="0"/>
                <w:sz w:val="22"/>
                <w:szCs w:val="22"/>
              </w:rPr>
              <w:t>40</w:t>
            </w:r>
            <w:r>
              <w:rPr>
                <w:rFonts w:hint="eastAsia" w:ascii="宋体" w:hAnsi="宋体" w:cs="宋体"/>
                <w:color w:val="000000"/>
                <w:kern w:val="0"/>
                <w:sz w:val="22"/>
                <w:szCs w:val="22"/>
              </w:rPr>
              <w:t>元共</w:t>
            </w:r>
            <w:r>
              <w:rPr>
                <w:rFonts w:ascii="宋体" w:hAnsi="宋体" w:cs="宋体"/>
                <w:color w:val="000000"/>
                <w:kern w:val="0"/>
                <w:sz w:val="22"/>
                <w:szCs w:val="22"/>
              </w:rPr>
              <w:t>21</w:t>
            </w:r>
            <w:r>
              <w:rPr>
                <w:rFonts w:hint="eastAsia" w:ascii="宋体" w:hAnsi="宋体" w:cs="宋体"/>
                <w:color w:val="000000"/>
                <w:kern w:val="0"/>
                <w:sz w:val="22"/>
                <w:szCs w:val="22"/>
              </w:rPr>
              <w:t>人。</w:t>
            </w:r>
          </w:p>
        </w:tc>
      </w:tr>
      <w:tr>
        <w:tblPrEx>
          <w:tblCellMar>
            <w:top w:w="0" w:type="dxa"/>
            <w:left w:w="108" w:type="dxa"/>
            <w:bottom w:w="0" w:type="dxa"/>
            <w:right w:w="108" w:type="dxa"/>
          </w:tblCellMar>
        </w:tblPrEx>
        <w:trPr>
          <w:trHeight w:val="33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83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496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34"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执勤岗位津贴成本</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22.176</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3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发放津贴人数</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21</w:t>
            </w:r>
            <w:r>
              <w:rPr>
                <w:rFonts w:hint="eastAsia" w:ascii="宋体" w:hAnsi="宋体" w:cs="宋体"/>
                <w:color w:val="000000"/>
                <w:kern w:val="0"/>
                <w:sz w:val="22"/>
                <w:szCs w:val="22"/>
              </w:rPr>
              <w:t>人</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3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津贴发放率（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=100%</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34"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3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3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政法队伍整体素质和工作水平提高程度（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10%</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83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4962"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民警满意度（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扫黑除恶专项资金绩效目标表</w:t>
      </w:r>
    </w:p>
    <w:tbl>
      <w:tblPr>
        <w:tblStyle w:val="9"/>
        <w:tblW w:w="12352" w:type="dxa"/>
        <w:tblInd w:w="89" w:type="dxa"/>
        <w:tblLayout w:type="autofit"/>
        <w:tblCellMar>
          <w:top w:w="0" w:type="dxa"/>
          <w:left w:w="108" w:type="dxa"/>
          <w:bottom w:w="0" w:type="dxa"/>
          <w:right w:w="108" w:type="dxa"/>
        </w:tblCellMar>
      </w:tblPr>
      <w:tblGrid>
        <w:gridCol w:w="1020"/>
        <w:gridCol w:w="1420"/>
        <w:gridCol w:w="2520"/>
        <w:gridCol w:w="4220"/>
        <w:gridCol w:w="3172"/>
      </w:tblGrid>
      <w:tr>
        <w:tblPrEx>
          <w:tblCellMar>
            <w:top w:w="0" w:type="dxa"/>
            <w:left w:w="108" w:type="dxa"/>
            <w:bottom w:w="0" w:type="dxa"/>
            <w:right w:w="108" w:type="dxa"/>
          </w:tblCellMar>
        </w:tblPrEx>
        <w:trPr>
          <w:trHeight w:val="33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332"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330"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332"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全面排查与机动车上户过户、驾驶员考试、事故处理、违章处罚等公安交警涉及业务有关的各类黑恶势力线索，认真改进管理漏洞和问题，积极配合有关单位开展调查取证工作。坚决打击大货车闯卡、故意冲撞民警等黑恶势力违法犯罪，要进一步规范执勤执法行为，做到严格、公正、文明、执法，杜绝为运输车队提供非法便利条件或充当“保护伞”。</w:t>
            </w:r>
          </w:p>
        </w:tc>
      </w:tr>
      <w:tr>
        <w:tblPrEx>
          <w:tblCellMar>
            <w:top w:w="0" w:type="dxa"/>
            <w:left w:w="108" w:type="dxa"/>
            <w:bottom w:w="0" w:type="dxa"/>
            <w:right w:w="108" w:type="dxa"/>
          </w:tblCellMar>
        </w:tblPrEx>
        <w:trPr>
          <w:trHeight w:val="33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5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42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317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　</w:t>
            </w:r>
          </w:p>
        </w:tc>
        <w:tc>
          <w:tcPr>
            <w:tcW w:w="25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42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扫黑除恶专项资金成本</w:t>
            </w:r>
          </w:p>
        </w:tc>
        <w:tc>
          <w:tcPr>
            <w:tcW w:w="317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ascii="宋体" w:hAnsi="宋体" w:cs="宋体"/>
                <w:color w:val="000000"/>
                <w:kern w:val="0"/>
                <w:sz w:val="22"/>
                <w:szCs w:val="22"/>
              </w:rPr>
              <w:t>0.3</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42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印刷宣传页份数</w:t>
            </w:r>
          </w:p>
        </w:tc>
        <w:tc>
          <w:tcPr>
            <w:tcW w:w="317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ascii="宋体" w:hAnsi="宋体" w:cs="宋体"/>
                <w:color w:val="000000"/>
                <w:kern w:val="0"/>
                <w:sz w:val="22"/>
                <w:szCs w:val="22"/>
              </w:rPr>
              <w:t>3000</w:t>
            </w:r>
            <w:r>
              <w:rPr>
                <w:rFonts w:hint="eastAsia" w:ascii="宋体" w:hAnsi="宋体" w:cs="宋体"/>
                <w:color w:val="000000"/>
                <w:kern w:val="0"/>
                <w:sz w:val="22"/>
                <w:szCs w:val="22"/>
              </w:rPr>
              <w:t>份</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2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巡警业务保障率（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317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2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317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5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2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违法行为下降率（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317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2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317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5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42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3172"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tabs>
          <w:tab w:val="left" w:pos="9214"/>
        </w:tabs>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事故科停车场、车管所办案业务场所租赁费绩效目标表</w:t>
      </w:r>
    </w:p>
    <w:tbl>
      <w:tblPr>
        <w:tblStyle w:val="9"/>
        <w:tblW w:w="12210" w:type="dxa"/>
        <w:tblInd w:w="89" w:type="dxa"/>
        <w:tblLayout w:type="autofit"/>
        <w:tblCellMar>
          <w:top w:w="0" w:type="dxa"/>
          <w:left w:w="108" w:type="dxa"/>
          <w:bottom w:w="0" w:type="dxa"/>
          <w:right w:w="108" w:type="dxa"/>
        </w:tblCellMar>
      </w:tblPr>
      <w:tblGrid>
        <w:gridCol w:w="1020"/>
        <w:gridCol w:w="1420"/>
        <w:gridCol w:w="3280"/>
        <w:gridCol w:w="3780"/>
        <w:gridCol w:w="2710"/>
      </w:tblGrid>
      <w:tr>
        <w:tblPrEx>
          <w:tblCellMar>
            <w:top w:w="0" w:type="dxa"/>
            <w:left w:w="108" w:type="dxa"/>
            <w:bottom w:w="0" w:type="dxa"/>
            <w:right w:w="108" w:type="dxa"/>
          </w:tblCellMar>
        </w:tblPrEx>
        <w:trPr>
          <w:trHeight w:val="27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270"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根据《中华人</w:t>
            </w:r>
            <w:r>
              <w:rPr>
                <w:rFonts w:hint="eastAsia" w:ascii="宋体" w:hAnsi="宋体" w:cs="宋体"/>
                <w:color w:val="000000"/>
                <w:kern w:val="0"/>
                <w:sz w:val="22"/>
                <w:szCs w:val="22"/>
                <w:lang w:eastAsia="zh-CN"/>
              </w:rPr>
              <w:t>民</w:t>
            </w:r>
            <w:bookmarkStart w:id="7" w:name="_GoBack"/>
            <w:bookmarkEnd w:id="7"/>
            <w:r>
              <w:rPr>
                <w:rFonts w:hint="eastAsia" w:ascii="宋体" w:hAnsi="宋体" w:cs="宋体"/>
                <w:color w:val="000000"/>
                <w:kern w:val="0"/>
                <w:sz w:val="22"/>
                <w:szCs w:val="22"/>
              </w:rPr>
              <w:t>共和国行政强制法》，河北省物价局、河北省交通运输厅、河北省公安厅（冀价经费【</w:t>
            </w:r>
            <w:r>
              <w:rPr>
                <w:rFonts w:ascii="宋体" w:hAnsi="宋体" w:cs="宋体"/>
                <w:color w:val="000000"/>
                <w:kern w:val="0"/>
                <w:sz w:val="22"/>
                <w:szCs w:val="22"/>
              </w:rPr>
              <w:t>2013</w:t>
            </w:r>
            <w:r>
              <w:rPr>
                <w:rFonts w:hint="eastAsia" w:ascii="宋体" w:hAnsi="宋体" w:cs="宋体"/>
                <w:color w:val="000000"/>
                <w:kern w:val="0"/>
                <w:sz w:val="22"/>
                <w:szCs w:val="22"/>
              </w:rPr>
              <w:t>】</w:t>
            </w:r>
            <w:r>
              <w:rPr>
                <w:rFonts w:ascii="宋体" w:hAnsi="宋体" w:cs="宋体"/>
                <w:color w:val="000000"/>
                <w:kern w:val="0"/>
                <w:sz w:val="22"/>
                <w:szCs w:val="22"/>
              </w:rPr>
              <w:t>26</w:t>
            </w:r>
            <w:r>
              <w:rPr>
                <w:rFonts w:hint="eastAsia" w:ascii="宋体" w:hAnsi="宋体" w:cs="宋体"/>
                <w:color w:val="000000"/>
                <w:kern w:val="0"/>
                <w:sz w:val="22"/>
                <w:szCs w:val="22"/>
              </w:rPr>
              <w:t>号）第三条“交通事故处理期间的车辆停放费由执法单位承担，不得向当事人收取”之规定，我大队拟租用隆尧镇西关停车场（含事故中队业务用房），免费停放事故车辆。真正做到便民、利民，稳定社会秩序，为全县经济社会发展提供良好的交通安全环境。</w:t>
            </w:r>
          </w:p>
        </w:tc>
      </w:tr>
      <w:tr>
        <w:tblPrEx>
          <w:tblCellMar>
            <w:top w:w="0" w:type="dxa"/>
            <w:left w:w="108" w:type="dxa"/>
            <w:bottom w:w="0" w:type="dxa"/>
            <w:right w:w="108" w:type="dxa"/>
          </w:tblCellMar>
        </w:tblPrEx>
        <w:trPr>
          <w:trHeight w:val="27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32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37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71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32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37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租赁费成本</w:t>
            </w:r>
          </w:p>
        </w:tc>
        <w:tc>
          <w:tcPr>
            <w:tcW w:w="27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31.8</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37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交通事故处理办结率（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7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37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交通肇事逃逸案件侦破率（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7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32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37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7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37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7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37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事故财产损失下降率（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7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32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378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71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天一路口违停抓拍绩效目标表</w:t>
      </w:r>
    </w:p>
    <w:tbl>
      <w:tblPr>
        <w:tblStyle w:val="9"/>
        <w:tblW w:w="12352" w:type="dxa"/>
        <w:tblInd w:w="89" w:type="dxa"/>
        <w:tblLayout w:type="autofit"/>
        <w:tblCellMar>
          <w:top w:w="0" w:type="dxa"/>
          <w:left w:w="108" w:type="dxa"/>
          <w:bottom w:w="0" w:type="dxa"/>
          <w:right w:w="108" w:type="dxa"/>
        </w:tblCellMar>
      </w:tblPr>
      <w:tblGrid>
        <w:gridCol w:w="1020"/>
        <w:gridCol w:w="1420"/>
        <w:gridCol w:w="3249"/>
        <w:gridCol w:w="3828"/>
        <w:gridCol w:w="2835"/>
      </w:tblGrid>
      <w:tr>
        <w:tblPrEx>
          <w:tblCellMar>
            <w:top w:w="0" w:type="dxa"/>
            <w:left w:w="108" w:type="dxa"/>
            <w:bottom w:w="0" w:type="dxa"/>
            <w:right w:w="108" w:type="dxa"/>
          </w:tblCellMar>
        </w:tblPrEx>
        <w:trPr>
          <w:trHeight w:val="27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332"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rPr>
          <w:trHeight w:val="270"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332"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为了保证县城天一路口车辆行驶安全，保障天一路口车辆停放规范，安装电子监控违章停车抓拍系统一套。</w:t>
            </w:r>
          </w:p>
        </w:tc>
      </w:tr>
      <w:tr>
        <w:tblPrEx>
          <w:tblCellMar>
            <w:top w:w="0" w:type="dxa"/>
            <w:left w:w="108" w:type="dxa"/>
            <w:bottom w:w="0" w:type="dxa"/>
            <w:right w:w="108" w:type="dxa"/>
          </w:tblCellMar>
        </w:tblPrEx>
        <w:trPr>
          <w:trHeight w:val="27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382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835"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违停抓拍设备成本</w:t>
            </w:r>
          </w:p>
        </w:tc>
        <w:tc>
          <w:tcPr>
            <w:tcW w:w="283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10</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新增抓拍监控数量</w:t>
            </w:r>
          </w:p>
        </w:tc>
        <w:tc>
          <w:tcPr>
            <w:tcW w:w="283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w:t>
            </w:r>
            <w:r>
              <w:rPr>
                <w:rFonts w:hint="eastAsia" w:ascii="宋体" w:hAnsi="宋体" w:cs="宋体"/>
                <w:color w:val="000000"/>
                <w:kern w:val="0"/>
                <w:sz w:val="22"/>
                <w:szCs w:val="22"/>
              </w:rPr>
              <w:t>套</w:t>
            </w:r>
          </w:p>
        </w:tc>
      </w:tr>
      <w:tr>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巡警业务保障率（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83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路段视频监控率（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83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83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83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83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27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交通监测系统群众满意度（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83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冀财政法</w:t>
      </w:r>
      <w:r>
        <w:rPr>
          <w:rFonts w:ascii="方正仿宋_GBK" w:eastAsia="方正仿宋_GBK"/>
          <w:b/>
          <w:sz w:val="28"/>
        </w:rPr>
        <w:t>[2019]22</w:t>
      </w:r>
      <w:r>
        <w:rPr>
          <w:rFonts w:hint="eastAsia" w:ascii="方正仿宋_GBK" w:eastAsia="方正仿宋_GBK"/>
          <w:b/>
          <w:sz w:val="28"/>
        </w:rPr>
        <w:t>号</w:t>
      </w:r>
      <w:r>
        <w:rPr>
          <w:rFonts w:ascii="方正仿宋_GBK" w:eastAsia="方正仿宋_GBK"/>
          <w:b/>
          <w:sz w:val="28"/>
        </w:rPr>
        <w:t>/</w:t>
      </w:r>
      <w:r>
        <w:rPr>
          <w:rFonts w:hint="eastAsia" w:ascii="方正仿宋_GBK" w:eastAsia="方正仿宋_GBK"/>
          <w:b/>
          <w:sz w:val="28"/>
        </w:rPr>
        <w:t>提前下达</w:t>
      </w:r>
      <w:r>
        <w:rPr>
          <w:rFonts w:ascii="方正仿宋_GBK" w:eastAsia="方正仿宋_GBK"/>
          <w:b/>
          <w:sz w:val="28"/>
        </w:rPr>
        <w:t>2020</w:t>
      </w:r>
      <w:r>
        <w:rPr>
          <w:rFonts w:hint="eastAsia" w:ascii="方正仿宋_GBK" w:eastAsia="方正仿宋_GBK"/>
          <w:b/>
          <w:sz w:val="28"/>
        </w:rPr>
        <w:t>年中央政法纪检监察转移支付资金</w:t>
      </w:r>
      <w:r>
        <w:rPr>
          <w:rFonts w:ascii="方正仿宋_GBK" w:eastAsia="方正仿宋_GBK"/>
          <w:b/>
          <w:sz w:val="28"/>
        </w:rPr>
        <w:t>/</w:t>
      </w:r>
      <w:r>
        <w:rPr>
          <w:rFonts w:hint="eastAsia" w:ascii="方正仿宋_GBK" w:eastAsia="方正仿宋_GBK"/>
          <w:b/>
          <w:sz w:val="28"/>
        </w:rPr>
        <w:t>业务经费绩效目标表</w:t>
      </w:r>
    </w:p>
    <w:tbl>
      <w:tblPr>
        <w:tblStyle w:val="9"/>
        <w:tblW w:w="12210" w:type="dxa"/>
        <w:tblInd w:w="89" w:type="dxa"/>
        <w:tblLayout w:type="autofit"/>
        <w:tblCellMar>
          <w:top w:w="0" w:type="dxa"/>
          <w:left w:w="108" w:type="dxa"/>
          <w:bottom w:w="0" w:type="dxa"/>
          <w:right w:w="108" w:type="dxa"/>
        </w:tblCellMar>
      </w:tblPr>
      <w:tblGrid>
        <w:gridCol w:w="1020"/>
        <w:gridCol w:w="1420"/>
        <w:gridCol w:w="3249"/>
        <w:gridCol w:w="3828"/>
        <w:gridCol w:w="2693"/>
      </w:tblGrid>
      <w:tr>
        <w:tblPrEx>
          <w:tblCellMar>
            <w:top w:w="0" w:type="dxa"/>
            <w:left w:w="108" w:type="dxa"/>
            <w:bottom w:w="0" w:type="dxa"/>
            <w:right w:w="108" w:type="dxa"/>
          </w:tblCellMar>
        </w:tblPrEx>
        <w:trPr>
          <w:trHeight w:val="78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112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实施新型城镇化建设畅通工程，制定城镇道路中长期发展规划，加大城市道路监控系统和道路安全设施建设，推进公路巡警队建设，执行暑期及两会安保任务。维护全县良好的道路交通秩序，缓解城市交通拥堵，提高道路通行能力；加强公路巡警队建设，提升道路交通秩序管理水平。</w:t>
            </w:r>
          </w:p>
        </w:tc>
      </w:tr>
      <w:tr>
        <w:tblPrEx>
          <w:tblCellMar>
            <w:top w:w="0" w:type="dxa"/>
            <w:left w:w="108" w:type="dxa"/>
            <w:bottom w:w="0" w:type="dxa"/>
            <w:right w:w="108" w:type="dxa"/>
          </w:tblCellMar>
        </w:tblPrEx>
        <w:trPr>
          <w:trHeight w:val="30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382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693"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转移支付业务经费成本</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8.655</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年度印刷次数</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20</w:t>
            </w:r>
            <w:r>
              <w:rPr>
                <w:rFonts w:hint="eastAsia" w:ascii="宋体" w:hAnsi="宋体" w:cs="宋体"/>
                <w:color w:val="000000"/>
                <w:kern w:val="0"/>
                <w:sz w:val="22"/>
                <w:szCs w:val="22"/>
              </w:rPr>
              <w:t>次</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事故财产损失下降率（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土地出让金</w:t>
      </w:r>
      <w:r>
        <w:rPr>
          <w:rFonts w:ascii="方正仿宋_GBK" w:eastAsia="方正仿宋_GBK"/>
          <w:b/>
          <w:sz w:val="28"/>
        </w:rPr>
        <w:t>/</w:t>
      </w:r>
      <w:r>
        <w:rPr>
          <w:rFonts w:hint="eastAsia" w:ascii="方正仿宋_GBK" w:eastAsia="方正仿宋_GBK"/>
          <w:b/>
          <w:sz w:val="28"/>
        </w:rPr>
        <w:t>县城标线施划工程绩效目标表</w:t>
      </w:r>
    </w:p>
    <w:tbl>
      <w:tblPr>
        <w:tblStyle w:val="9"/>
        <w:tblW w:w="12210" w:type="dxa"/>
        <w:tblInd w:w="89" w:type="dxa"/>
        <w:tblLayout w:type="autofit"/>
        <w:tblCellMar>
          <w:top w:w="0" w:type="dxa"/>
          <w:left w:w="108" w:type="dxa"/>
          <w:bottom w:w="0" w:type="dxa"/>
          <w:right w:w="108" w:type="dxa"/>
        </w:tblCellMar>
      </w:tblPr>
      <w:tblGrid>
        <w:gridCol w:w="1020"/>
        <w:gridCol w:w="1420"/>
        <w:gridCol w:w="3249"/>
        <w:gridCol w:w="3828"/>
        <w:gridCol w:w="2693"/>
      </w:tblGrid>
      <w:tr>
        <w:tblPrEx>
          <w:tblCellMar>
            <w:top w:w="0" w:type="dxa"/>
            <w:left w:w="108" w:type="dxa"/>
            <w:bottom w:w="0" w:type="dxa"/>
            <w:right w:w="108" w:type="dxa"/>
          </w:tblCellMar>
        </w:tblPrEx>
        <w:trPr>
          <w:trHeight w:val="30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300"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为了维护县城的交通秩序</w:t>
            </w:r>
            <w:r>
              <w:rPr>
                <w:rFonts w:ascii="宋体" w:cs="宋体"/>
                <w:color w:val="000000"/>
                <w:kern w:val="0"/>
                <w:sz w:val="22"/>
                <w:szCs w:val="22"/>
              </w:rPr>
              <w:t>,</w:t>
            </w:r>
            <w:r>
              <w:rPr>
                <w:rFonts w:hint="eastAsia" w:ascii="宋体" w:hAnsi="宋体" w:cs="宋体"/>
                <w:color w:val="000000"/>
                <w:kern w:val="0"/>
                <w:sz w:val="22"/>
                <w:szCs w:val="22"/>
              </w:rPr>
              <w:t>更好的渠化交通</w:t>
            </w:r>
            <w:r>
              <w:rPr>
                <w:rFonts w:ascii="宋体" w:cs="宋体"/>
                <w:color w:val="000000"/>
                <w:kern w:val="0"/>
                <w:sz w:val="22"/>
                <w:szCs w:val="22"/>
              </w:rPr>
              <w:t>,</w:t>
            </w:r>
            <w:r>
              <w:rPr>
                <w:rFonts w:hint="eastAsia" w:ascii="宋体" w:hAnsi="宋体" w:cs="宋体"/>
                <w:color w:val="000000"/>
                <w:kern w:val="0"/>
                <w:sz w:val="22"/>
                <w:szCs w:val="22"/>
              </w:rPr>
              <w:t>提高车辆行人通行率</w:t>
            </w:r>
            <w:r>
              <w:rPr>
                <w:rFonts w:ascii="宋体" w:cs="宋体"/>
                <w:color w:val="000000"/>
                <w:kern w:val="0"/>
                <w:sz w:val="22"/>
                <w:szCs w:val="22"/>
              </w:rPr>
              <w:t>,</w:t>
            </w:r>
            <w:r>
              <w:rPr>
                <w:rFonts w:hint="eastAsia" w:ascii="宋体" w:hAnsi="宋体" w:cs="宋体"/>
                <w:color w:val="000000"/>
                <w:kern w:val="0"/>
                <w:sz w:val="22"/>
                <w:szCs w:val="22"/>
              </w:rPr>
              <w:t>有效减少交通事故的发生</w:t>
            </w:r>
            <w:r>
              <w:rPr>
                <w:rFonts w:ascii="宋体" w:cs="宋体"/>
                <w:color w:val="000000"/>
                <w:kern w:val="0"/>
                <w:sz w:val="22"/>
                <w:szCs w:val="22"/>
              </w:rPr>
              <w:t>,</w:t>
            </w:r>
            <w:r>
              <w:rPr>
                <w:rFonts w:hint="eastAsia" w:ascii="宋体" w:hAnsi="宋体" w:cs="宋体"/>
                <w:color w:val="000000"/>
                <w:kern w:val="0"/>
                <w:sz w:val="22"/>
                <w:szCs w:val="22"/>
              </w:rPr>
              <w:t>现拟对县城道路标线进行施划改造。</w:t>
            </w:r>
          </w:p>
        </w:tc>
      </w:tr>
      <w:tr>
        <w:tblPrEx>
          <w:tblCellMar>
            <w:top w:w="0" w:type="dxa"/>
            <w:left w:w="108" w:type="dxa"/>
            <w:bottom w:w="0" w:type="dxa"/>
            <w:right w:w="108" w:type="dxa"/>
          </w:tblCellMar>
        </w:tblPrEx>
        <w:trPr>
          <w:trHeight w:val="30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382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693"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隆尧县城交通标线施划工程成本</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74</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施划标线面积</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11301.32</w:t>
            </w:r>
            <w:r>
              <w:rPr>
                <w:rFonts w:hint="eastAsia" w:ascii="宋体" w:hAnsi="宋体" w:cs="宋体"/>
                <w:color w:val="000000"/>
                <w:kern w:val="0"/>
                <w:sz w:val="22"/>
                <w:szCs w:val="22"/>
              </w:rPr>
              <w:t>㎡</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巡警业务保障率（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土地出让金</w:t>
      </w:r>
      <w:r>
        <w:rPr>
          <w:rFonts w:ascii="方正仿宋_GBK" w:eastAsia="方正仿宋_GBK"/>
          <w:b/>
          <w:sz w:val="28"/>
        </w:rPr>
        <w:t>/</w:t>
      </w:r>
      <w:r>
        <w:rPr>
          <w:rFonts w:hint="eastAsia" w:ascii="方正仿宋_GBK" w:eastAsia="方正仿宋_GBK"/>
          <w:b/>
          <w:sz w:val="28"/>
        </w:rPr>
        <w:t>红绿灯安装绩效目标表</w:t>
      </w:r>
    </w:p>
    <w:tbl>
      <w:tblPr>
        <w:tblStyle w:val="9"/>
        <w:tblW w:w="12210" w:type="dxa"/>
        <w:tblInd w:w="89" w:type="dxa"/>
        <w:tblLayout w:type="autofit"/>
        <w:tblCellMar>
          <w:top w:w="0" w:type="dxa"/>
          <w:left w:w="108" w:type="dxa"/>
          <w:bottom w:w="0" w:type="dxa"/>
          <w:right w:w="108" w:type="dxa"/>
        </w:tblCellMar>
      </w:tblPr>
      <w:tblGrid>
        <w:gridCol w:w="1020"/>
        <w:gridCol w:w="1420"/>
        <w:gridCol w:w="3249"/>
        <w:gridCol w:w="3828"/>
        <w:gridCol w:w="2693"/>
      </w:tblGrid>
      <w:tr>
        <w:tblPrEx>
          <w:tblCellMar>
            <w:top w:w="0" w:type="dxa"/>
            <w:left w:w="108" w:type="dxa"/>
            <w:bottom w:w="0" w:type="dxa"/>
            <w:right w:w="108" w:type="dxa"/>
          </w:tblCellMar>
        </w:tblPrEx>
        <w:trPr>
          <w:trHeight w:val="78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112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为了保障道路交通安全畅通</w:t>
            </w:r>
            <w:r>
              <w:rPr>
                <w:rFonts w:ascii="宋体" w:cs="宋体"/>
                <w:color w:val="000000"/>
                <w:kern w:val="0"/>
                <w:sz w:val="22"/>
                <w:szCs w:val="22"/>
              </w:rPr>
              <w:t>,</w:t>
            </w:r>
            <w:r>
              <w:rPr>
                <w:rFonts w:hint="eastAsia" w:ascii="宋体" w:hAnsi="宋体" w:cs="宋体"/>
                <w:color w:val="000000"/>
                <w:kern w:val="0"/>
                <w:sz w:val="22"/>
                <w:szCs w:val="22"/>
              </w:rPr>
              <w:t>预防和减少道路交通事故</w:t>
            </w:r>
            <w:r>
              <w:rPr>
                <w:rFonts w:ascii="宋体" w:cs="宋体"/>
                <w:color w:val="000000"/>
                <w:kern w:val="0"/>
                <w:sz w:val="22"/>
                <w:szCs w:val="22"/>
              </w:rPr>
              <w:t>,</w:t>
            </w:r>
            <w:r>
              <w:rPr>
                <w:rFonts w:hint="eastAsia" w:ascii="宋体" w:hAnsi="宋体" w:cs="宋体"/>
                <w:color w:val="000000"/>
                <w:kern w:val="0"/>
                <w:sz w:val="22"/>
                <w:szCs w:val="22"/>
              </w:rPr>
              <w:t>提升隆尧县道路交通通行能力</w:t>
            </w:r>
            <w:r>
              <w:rPr>
                <w:rFonts w:ascii="宋体" w:cs="宋体"/>
                <w:color w:val="000000"/>
                <w:kern w:val="0"/>
                <w:sz w:val="22"/>
                <w:szCs w:val="22"/>
              </w:rPr>
              <w:t>,</w:t>
            </w:r>
            <w:r>
              <w:rPr>
                <w:rFonts w:hint="eastAsia" w:ascii="宋体" w:hAnsi="宋体" w:cs="宋体"/>
                <w:color w:val="000000"/>
                <w:kern w:val="0"/>
                <w:sz w:val="22"/>
                <w:szCs w:val="22"/>
              </w:rPr>
              <w:t>消除交通安全隐患</w:t>
            </w:r>
            <w:r>
              <w:rPr>
                <w:rFonts w:ascii="宋体" w:cs="宋体"/>
                <w:color w:val="000000"/>
                <w:kern w:val="0"/>
                <w:sz w:val="22"/>
                <w:szCs w:val="22"/>
              </w:rPr>
              <w:t>,</w:t>
            </w:r>
            <w:r>
              <w:rPr>
                <w:rFonts w:hint="eastAsia" w:ascii="宋体" w:hAnsi="宋体" w:cs="宋体"/>
                <w:color w:val="000000"/>
                <w:kern w:val="0"/>
                <w:sz w:val="22"/>
                <w:szCs w:val="22"/>
              </w:rPr>
              <w:t>拟在康庄路财政局路口、</w:t>
            </w:r>
            <w:r>
              <w:rPr>
                <w:rFonts w:ascii="宋体" w:hAnsi="宋体" w:cs="宋体"/>
                <w:color w:val="000000"/>
                <w:kern w:val="0"/>
                <w:sz w:val="22"/>
                <w:szCs w:val="22"/>
              </w:rPr>
              <w:t>327</w:t>
            </w:r>
            <w:r>
              <w:rPr>
                <w:rFonts w:hint="eastAsia" w:ascii="宋体" w:hAnsi="宋体" w:cs="宋体"/>
                <w:color w:val="000000"/>
                <w:kern w:val="0"/>
                <w:sz w:val="22"/>
                <w:szCs w:val="22"/>
              </w:rPr>
              <w:t>省道柏乡路口、</w:t>
            </w:r>
            <w:r>
              <w:rPr>
                <w:rFonts w:ascii="宋体" w:hAnsi="宋体" w:cs="宋体"/>
                <w:color w:val="000000"/>
                <w:kern w:val="0"/>
                <w:sz w:val="22"/>
                <w:szCs w:val="22"/>
              </w:rPr>
              <w:t>328</w:t>
            </w:r>
            <w:r>
              <w:rPr>
                <w:rFonts w:hint="eastAsia" w:ascii="宋体" w:hAnsi="宋体" w:cs="宋体"/>
                <w:color w:val="000000"/>
                <w:kern w:val="0"/>
                <w:sz w:val="22"/>
                <w:szCs w:val="22"/>
              </w:rPr>
              <w:t>省道周村路口</w:t>
            </w:r>
            <w:r>
              <w:rPr>
                <w:rFonts w:ascii="宋体" w:hAnsi="宋体" w:cs="宋体"/>
                <w:color w:val="000000"/>
                <w:kern w:val="0"/>
                <w:sz w:val="22"/>
                <w:szCs w:val="22"/>
              </w:rPr>
              <w:t>(</w:t>
            </w:r>
            <w:r>
              <w:rPr>
                <w:rFonts w:hint="eastAsia" w:ascii="宋体" w:hAnsi="宋体" w:cs="宋体"/>
                <w:color w:val="000000"/>
                <w:kern w:val="0"/>
                <w:sz w:val="22"/>
                <w:szCs w:val="22"/>
              </w:rPr>
              <w:t>南北方向</w:t>
            </w:r>
            <w:r>
              <w:rPr>
                <w:rFonts w:ascii="宋体" w:hAnsi="宋体" w:cs="宋体"/>
                <w:color w:val="000000"/>
                <w:kern w:val="0"/>
                <w:sz w:val="22"/>
                <w:szCs w:val="22"/>
              </w:rPr>
              <w:t>)</w:t>
            </w:r>
            <w:r>
              <w:rPr>
                <w:rFonts w:hint="eastAsia" w:ascii="宋体" w:hAnsi="宋体" w:cs="宋体"/>
                <w:color w:val="000000"/>
                <w:kern w:val="0"/>
                <w:sz w:val="22"/>
                <w:szCs w:val="22"/>
              </w:rPr>
              <w:t>安装红绿灯设备。</w:t>
            </w:r>
          </w:p>
        </w:tc>
      </w:tr>
      <w:tr>
        <w:tblPrEx>
          <w:tblCellMar>
            <w:top w:w="0" w:type="dxa"/>
            <w:left w:w="108" w:type="dxa"/>
            <w:bottom w:w="0" w:type="dxa"/>
            <w:right w:w="108" w:type="dxa"/>
          </w:tblCellMar>
        </w:tblPrEx>
        <w:trPr>
          <w:trHeight w:val="315"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382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693"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红绿灯设备安装成本</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55</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新增红绿灯设备数量</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3</w:t>
            </w:r>
            <w:r>
              <w:rPr>
                <w:rFonts w:hint="eastAsia" w:ascii="宋体" w:hAnsi="宋体" w:cs="宋体"/>
                <w:color w:val="000000"/>
                <w:kern w:val="0"/>
                <w:sz w:val="22"/>
                <w:szCs w:val="22"/>
              </w:rPr>
              <w:t>套</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巡警业务保障率（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路段视频监控率（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382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69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土地出让金</w:t>
      </w:r>
      <w:r>
        <w:rPr>
          <w:rFonts w:ascii="方正仿宋_GBK" w:eastAsia="方正仿宋_GBK"/>
          <w:b/>
          <w:sz w:val="28"/>
        </w:rPr>
        <w:t>/</w:t>
      </w:r>
      <w:r>
        <w:rPr>
          <w:rFonts w:hint="eastAsia" w:ascii="方正仿宋_GBK" w:eastAsia="方正仿宋_GBK"/>
          <w:b/>
          <w:sz w:val="28"/>
        </w:rPr>
        <w:t>红绿灯安装绩效目标表</w:t>
      </w:r>
    </w:p>
    <w:tbl>
      <w:tblPr>
        <w:tblStyle w:val="9"/>
        <w:tblW w:w="12210" w:type="dxa"/>
        <w:tblInd w:w="89" w:type="dxa"/>
        <w:tblLayout w:type="autofit"/>
        <w:tblCellMar>
          <w:top w:w="0" w:type="dxa"/>
          <w:left w:w="108" w:type="dxa"/>
          <w:bottom w:w="0" w:type="dxa"/>
          <w:right w:w="108" w:type="dxa"/>
        </w:tblCellMar>
      </w:tblPr>
      <w:tblGrid>
        <w:gridCol w:w="1020"/>
        <w:gridCol w:w="1420"/>
        <w:gridCol w:w="3249"/>
        <w:gridCol w:w="4253"/>
        <w:gridCol w:w="2268"/>
      </w:tblGrid>
      <w:tr>
        <w:tblPrEx>
          <w:tblCellMar>
            <w:top w:w="0" w:type="dxa"/>
            <w:left w:w="108" w:type="dxa"/>
            <w:bottom w:w="0" w:type="dxa"/>
            <w:right w:w="108" w:type="dxa"/>
          </w:tblCellMar>
        </w:tblPrEx>
        <w:trPr>
          <w:trHeight w:val="645"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112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为了保障道路交通安全畅通</w:t>
            </w:r>
            <w:r>
              <w:rPr>
                <w:rFonts w:ascii="宋体" w:cs="宋体"/>
                <w:color w:val="000000"/>
                <w:kern w:val="0"/>
                <w:sz w:val="22"/>
                <w:szCs w:val="22"/>
              </w:rPr>
              <w:t>,</w:t>
            </w:r>
            <w:r>
              <w:rPr>
                <w:rFonts w:hint="eastAsia" w:ascii="宋体" w:hAnsi="宋体" w:cs="宋体"/>
                <w:color w:val="000000"/>
                <w:kern w:val="0"/>
                <w:sz w:val="22"/>
                <w:szCs w:val="22"/>
              </w:rPr>
              <w:t>提升隆尧县道路交通通行能力</w:t>
            </w:r>
            <w:r>
              <w:rPr>
                <w:rFonts w:ascii="宋体" w:cs="宋体"/>
                <w:color w:val="000000"/>
                <w:kern w:val="0"/>
                <w:sz w:val="22"/>
                <w:szCs w:val="22"/>
              </w:rPr>
              <w:t>,</w:t>
            </w:r>
            <w:r>
              <w:rPr>
                <w:rFonts w:hint="eastAsia" w:ascii="宋体" w:hAnsi="宋体" w:cs="宋体"/>
                <w:color w:val="000000"/>
                <w:kern w:val="0"/>
                <w:sz w:val="22"/>
                <w:szCs w:val="22"/>
              </w:rPr>
              <w:t>预防和减少道路交通事故</w:t>
            </w:r>
            <w:r>
              <w:rPr>
                <w:rFonts w:ascii="宋体" w:cs="宋体"/>
                <w:color w:val="000000"/>
                <w:kern w:val="0"/>
                <w:sz w:val="22"/>
                <w:szCs w:val="22"/>
              </w:rPr>
              <w:t>,</w:t>
            </w:r>
            <w:r>
              <w:rPr>
                <w:rFonts w:hint="eastAsia" w:ascii="宋体" w:hAnsi="宋体" w:cs="宋体"/>
                <w:color w:val="000000"/>
                <w:kern w:val="0"/>
                <w:sz w:val="22"/>
                <w:szCs w:val="22"/>
              </w:rPr>
              <w:t>消除交通安全隐患</w:t>
            </w:r>
            <w:r>
              <w:rPr>
                <w:rFonts w:ascii="宋体" w:cs="宋体"/>
                <w:color w:val="000000"/>
                <w:kern w:val="0"/>
                <w:sz w:val="22"/>
                <w:szCs w:val="22"/>
              </w:rPr>
              <w:t>,</w:t>
            </w:r>
            <w:r>
              <w:rPr>
                <w:rFonts w:hint="eastAsia" w:ascii="宋体" w:hAnsi="宋体" w:cs="宋体"/>
                <w:color w:val="000000"/>
                <w:kern w:val="0"/>
                <w:sz w:val="22"/>
                <w:szCs w:val="22"/>
              </w:rPr>
              <w:t>拟在德仁路与唐尧街交叉口安装红绿灯设备</w:t>
            </w:r>
            <w:r>
              <w:rPr>
                <w:rFonts w:ascii="宋体" w:hAnsi="宋体" w:cs="宋体"/>
                <w:color w:val="000000"/>
                <w:kern w:val="0"/>
                <w:sz w:val="22"/>
                <w:szCs w:val="22"/>
              </w:rPr>
              <w:t>1</w:t>
            </w:r>
            <w:r>
              <w:rPr>
                <w:rFonts w:hint="eastAsia" w:ascii="宋体" w:hAnsi="宋体" w:cs="宋体"/>
                <w:color w:val="000000"/>
                <w:kern w:val="0"/>
                <w:sz w:val="22"/>
                <w:szCs w:val="22"/>
              </w:rPr>
              <w:t>套。</w:t>
            </w:r>
          </w:p>
        </w:tc>
      </w:tr>
      <w:tr>
        <w:tblPrEx>
          <w:tblCellMar>
            <w:top w:w="0" w:type="dxa"/>
            <w:left w:w="108" w:type="dxa"/>
            <w:bottom w:w="0" w:type="dxa"/>
            <w:right w:w="108" w:type="dxa"/>
          </w:tblCellMar>
        </w:tblPrEx>
        <w:trPr>
          <w:trHeight w:val="30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4253"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425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红绿灯设备安装成本</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18</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425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新增红绿灯设备数量</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w:t>
            </w:r>
            <w:r>
              <w:rPr>
                <w:rFonts w:hint="eastAsia" w:ascii="宋体" w:hAnsi="宋体" w:cs="宋体"/>
                <w:color w:val="000000"/>
                <w:kern w:val="0"/>
                <w:sz w:val="22"/>
                <w:szCs w:val="22"/>
              </w:rPr>
              <w:t>套</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25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巡警业务保障率（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25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路段视频监控率（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25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25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25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4253"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土地出让金</w:t>
      </w:r>
      <w:r>
        <w:rPr>
          <w:rFonts w:ascii="方正仿宋_GBK" w:eastAsia="方正仿宋_GBK"/>
          <w:b/>
          <w:sz w:val="28"/>
        </w:rPr>
        <w:t>/</w:t>
      </w:r>
      <w:r>
        <w:rPr>
          <w:rFonts w:hint="eastAsia" w:ascii="方正仿宋_GBK" w:eastAsia="方正仿宋_GBK"/>
          <w:b/>
          <w:sz w:val="28"/>
        </w:rPr>
        <w:t>隆尧县城交通标线施划工程绩效目标表</w:t>
      </w:r>
    </w:p>
    <w:tbl>
      <w:tblPr>
        <w:tblStyle w:val="9"/>
        <w:tblW w:w="12210" w:type="dxa"/>
        <w:tblInd w:w="89" w:type="dxa"/>
        <w:tblLayout w:type="autofit"/>
        <w:tblCellMar>
          <w:top w:w="0" w:type="dxa"/>
          <w:left w:w="108" w:type="dxa"/>
          <w:bottom w:w="0" w:type="dxa"/>
          <w:right w:w="108" w:type="dxa"/>
        </w:tblCellMar>
      </w:tblPr>
      <w:tblGrid>
        <w:gridCol w:w="1020"/>
        <w:gridCol w:w="1420"/>
        <w:gridCol w:w="3249"/>
        <w:gridCol w:w="4536"/>
        <w:gridCol w:w="1985"/>
      </w:tblGrid>
      <w:tr>
        <w:tblPrEx>
          <w:tblCellMar>
            <w:top w:w="0" w:type="dxa"/>
            <w:left w:w="108" w:type="dxa"/>
            <w:bottom w:w="0" w:type="dxa"/>
            <w:right w:w="108" w:type="dxa"/>
          </w:tblCellMar>
        </w:tblPrEx>
        <w:trPr>
          <w:trHeight w:val="30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300"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为了维护县城的交通秩序</w:t>
            </w:r>
            <w:r>
              <w:rPr>
                <w:rFonts w:ascii="宋体" w:cs="宋体"/>
                <w:color w:val="000000"/>
                <w:kern w:val="0"/>
                <w:sz w:val="22"/>
                <w:szCs w:val="22"/>
              </w:rPr>
              <w:t>,</w:t>
            </w:r>
            <w:r>
              <w:rPr>
                <w:rFonts w:hint="eastAsia" w:ascii="宋体" w:hAnsi="宋体" w:cs="宋体"/>
                <w:color w:val="000000"/>
                <w:kern w:val="0"/>
                <w:sz w:val="22"/>
                <w:szCs w:val="22"/>
              </w:rPr>
              <w:t>更好渠化交通</w:t>
            </w:r>
            <w:r>
              <w:rPr>
                <w:rFonts w:ascii="宋体" w:cs="宋体"/>
                <w:color w:val="000000"/>
                <w:kern w:val="0"/>
                <w:sz w:val="22"/>
                <w:szCs w:val="22"/>
              </w:rPr>
              <w:t>,</w:t>
            </w:r>
            <w:r>
              <w:rPr>
                <w:rFonts w:hint="eastAsia" w:ascii="宋体" w:hAnsi="宋体" w:cs="宋体"/>
                <w:color w:val="000000"/>
                <w:kern w:val="0"/>
                <w:sz w:val="22"/>
                <w:szCs w:val="22"/>
              </w:rPr>
              <w:t>提高车辆、行人通行率</w:t>
            </w:r>
            <w:r>
              <w:rPr>
                <w:rFonts w:ascii="宋体" w:cs="宋体"/>
                <w:color w:val="000000"/>
                <w:kern w:val="0"/>
                <w:sz w:val="22"/>
                <w:szCs w:val="22"/>
              </w:rPr>
              <w:t>,</w:t>
            </w:r>
            <w:r>
              <w:rPr>
                <w:rFonts w:hint="eastAsia" w:ascii="宋体" w:hAnsi="宋体" w:cs="宋体"/>
                <w:color w:val="000000"/>
                <w:kern w:val="0"/>
                <w:sz w:val="22"/>
                <w:szCs w:val="22"/>
              </w:rPr>
              <w:t>有效减少交通事故。</w:t>
            </w:r>
            <w:r>
              <w:rPr>
                <w:rFonts w:ascii="宋体" w:hAnsi="宋体" w:cs="宋体"/>
                <w:color w:val="000000"/>
                <w:kern w:val="0"/>
                <w:sz w:val="22"/>
                <w:szCs w:val="22"/>
              </w:rPr>
              <w:t>1</w:t>
            </w:r>
            <w:r>
              <w:rPr>
                <w:rFonts w:hint="eastAsia" w:ascii="宋体" w:hAnsi="宋体" w:cs="宋体"/>
                <w:color w:val="000000"/>
                <w:kern w:val="0"/>
                <w:sz w:val="22"/>
                <w:szCs w:val="22"/>
              </w:rPr>
              <w:t>、对县城老山口路上官庄桥至尧帝雕像段道路标线预以施划。</w:t>
            </w:r>
            <w:r>
              <w:rPr>
                <w:rFonts w:ascii="宋体" w:hAnsi="宋体" w:cs="宋体"/>
                <w:color w:val="000000"/>
                <w:kern w:val="0"/>
                <w:sz w:val="22"/>
                <w:szCs w:val="22"/>
              </w:rPr>
              <w:t>2</w:t>
            </w:r>
            <w:r>
              <w:rPr>
                <w:rFonts w:hint="eastAsia" w:ascii="宋体" w:hAnsi="宋体" w:cs="宋体"/>
                <w:color w:val="000000"/>
                <w:kern w:val="0"/>
                <w:sz w:val="22"/>
                <w:szCs w:val="22"/>
              </w:rPr>
              <w:t>、为对县城道路标线预以提升改造。</w:t>
            </w:r>
            <w:r>
              <w:rPr>
                <w:rFonts w:ascii="宋体" w:hAnsi="宋体" w:cs="宋体"/>
                <w:color w:val="000000"/>
                <w:kern w:val="0"/>
                <w:sz w:val="22"/>
                <w:szCs w:val="22"/>
              </w:rPr>
              <w:t>3</w:t>
            </w:r>
            <w:r>
              <w:rPr>
                <w:rFonts w:hint="eastAsia" w:ascii="宋体" w:hAnsi="宋体" w:cs="宋体"/>
                <w:color w:val="000000"/>
                <w:kern w:val="0"/>
                <w:sz w:val="22"/>
                <w:szCs w:val="22"/>
              </w:rPr>
              <w:t>、对县城主干道交通标线进行复化，并对设置不规范、不合理的标线进行清除和整改。</w:t>
            </w:r>
          </w:p>
        </w:tc>
      </w:tr>
      <w:tr>
        <w:tblPrEx>
          <w:tblCellMar>
            <w:top w:w="0" w:type="dxa"/>
            <w:left w:w="108" w:type="dxa"/>
            <w:bottom w:w="0" w:type="dxa"/>
            <w:right w:w="108" w:type="dxa"/>
          </w:tblCellMar>
        </w:tblPrEx>
        <w:trPr>
          <w:trHeight w:val="30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4536"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1985"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4536"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隆尧县城交通标线施划工程成本</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89.046</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4536"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施划标线面积</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4500</w:t>
            </w:r>
            <w:r>
              <w:rPr>
                <w:rFonts w:hint="eastAsia" w:ascii="宋体" w:hAnsi="宋体" w:cs="宋体"/>
                <w:color w:val="000000"/>
                <w:kern w:val="0"/>
                <w:sz w:val="22"/>
                <w:szCs w:val="22"/>
              </w:rPr>
              <w:t>㎡</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536"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巡警业务保障率（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4536"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536"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4536"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3249"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4536"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土地出让金</w:t>
      </w:r>
      <w:r>
        <w:rPr>
          <w:rFonts w:ascii="方正仿宋_GBK" w:eastAsia="方正仿宋_GBK"/>
          <w:b/>
          <w:sz w:val="28"/>
        </w:rPr>
        <w:t>/</w:t>
      </w:r>
      <w:r>
        <w:rPr>
          <w:rFonts w:hint="eastAsia" w:ascii="方正仿宋_GBK" w:eastAsia="方正仿宋_GBK"/>
          <w:b/>
          <w:sz w:val="28"/>
        </w:rPr>
        <w:t>指挥中心升级改造绩效目标表</w:t>
      </w:r>
    </w:p>
    <w:tbl>
      <w:tblPr>
        <w:tblStyle w:val="9"/>
        <w:tblW w:w="12210" w:type="dxa"/>
        <w:tblInd w:w="89" w:type="dxa"/>
        <w:tblLayout w:type="autofit"/>
        <w:tblCellMar>
          <w:top w:w="0" w:type="dxa"/>
          <w:left w:w="108" w:type="dxa"/>
          <w:bottom w:w="0" w:type="dxa"/>
          <w:right w:w="108" w:type="dxa"/>
        </w:tblCellMar>
      </w:tblPr>
      <w:tblGrid>
        <w:gridCol w:w="1020"/>
        <w:gridCol w:w="1420"/>
        <w:gridCol w:w="2541"/>
        <w:gridCol w:w="5244"/>
        <w:gridCol w:w="1985"/>
      </w:tblGrid>
      <w:tr>
        <w:tblPrEx>
          <w:tblCellMar>
            <w:top w:w="0" w:type="dxa"/>
            <w:left w:w="108" w:type="dxa"/>
            <w:bottom w:w="0" w:type="dxa"/>
            <w:right w:w="108" w:type="dxa"/>
          </w:tblCellMar>
        </w:tblPrEx>
        <w:trPr>
          <w:trHeight w:val="30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300"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为了适应新时期交警大队指挥中心的工作需要</w:t>
            </w:r>
            <w:r>
              <w:rPr>
                <w:rFonts w:ascii="宋体" w:cs="宋体"/>
                <w:color w:val="000000"/>
                <w:kern w:val="0"/>
                <w:sz w:val="22"/>
                <w:szCs w:val="22"/>
              </w:rPr>
              <w:t>,</w:t>
            </w:r>
            <w:r>
              <w:rPr>
                <w:rFonts w:hint="eastAsia" w:ascii="宋体" w:hAnsi="宋体" w:cs="宋体"/>
                <w:color w:val="000000"/>
                <w:kern w:val="0"/>
                <w:sz w:val="22"/>
                <w:szCs w:val="22"/>
              </w:rPr>
              <w:t>强化交警大队指挥中心工作职能</w:t>
            </w:r>
            <w:r>
              <w:rPr>
                <w:rFonts w:ascii="宋体" w:cs="宋体"/>
                <w:color w:val="000000"/>
                <w:kern w:val="0"/>
                <w:sz w:val="22"/>
                <w:szCs w:val="22"/>
              </w:rPr>
              <w:t>,</w:t>
            </w:r>
            <w:r>
              <w:rPr>
                <w:rFonts w:hint="eastAsia" w:ascii="宋体" w:hAnsi="宋体" w:cs="宋体"/>
                <w:color w:val="000000"/>
                <w:kern w:val="0"/>
                <w:sz w:val="22"/>
                <w:szCs w:val="22"/>
              </w:rPr>
              <w:t>提升交警大队应对突发事件、恶劣天气等方面的工作能力</w:t>
            </w:r>
            <w:r>
              <w:rPr>
                <w:rFonts w:ascii="宋体" w:cs="宋体"/>
                <w:color w:val="000000"/>
                <w:kern w:val="0"/>
                <w:sz w:val="22"/>
                <w:szCs w:val="22"/>
              </w:rPr>
              <w:t>,</w:t>
            </w:r>
            <w:r>
              <w:rPr>
                <w:rFonts w:hint="eastAsia" w:ascii="宋体" w:hAnsi="宋体" w:cs="宋体"/>
                <w:color w:val="000000"/>
                <w:kern w:val="0"/>
                <w:sz w:val="22"/>
                <w:szCs w:val="22"/>
              </w:rPr>
              <w:t>拟对交警大队指挥中心进行提升改造。</w:t>
            </w:r>
          </w:p>
        </w:tc>
      </w:tr>
      <w:tr>
        <w:tblPrEx>
          <w:tblCellMar>
            <w:top w:w="0" w:type="dxa"/>
            <w:left w:w="108" w:type="dxa"/>
            <w:bottom w:w="0" w:type="dxa"/>
            <w:right w:w="108" w:type="dxa"/>
          </w:tblCellMar>
        </w:tblPrEx>
        <w:trPr>
          <w:trHeight w:val="30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541"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5244"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1985"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541"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52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指挥中心升级改造成本</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50</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41"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52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指挥中心业务保障率（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41"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52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纠正异常业务、违规路口、主要路段视频监控率（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541"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2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41"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2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41"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52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事故财产损失下降率（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57"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541"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5244"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numPr>
          <w:ilvl w:val="0"/>
          <w:numId w:val="2"/>
        </w:numPr>
        <w:jc w:val="left"/>
        <w:outlineLvl w:val="1"/>
        <w:rPr>
          <w:rFonts w:ascii="方正仿宋_GBK" w:eastAsia="方正仿宋_GBK"/>
          <w:b/>
          <w:sz w:val="28"/>
        </w:rPr>
      </w:pPr>
      <w:r>
        <w:rPr>
          <w:rFonts w:hint="eastAsia" w:ascii="方正仿宋_GBK" w:eastAsia="方正仿宋_GBK"/>
          <w:b/>
          <w:sz w:val="28"/>
        </w:rPr>
        <w:t>协勤人员工资及保险费用绩效目标表</w:t>
      </w:r>
    </w:p>
    <w:tbl>
      <w:tblPr>
        <w:tblStyle w:val="9"/>
        <w:tblW w:w="12210" w:type="dxa"/>
        <w:tblInd w:w="89" w:type="dxa"/>
        <w:tblLayout w:type="autofit"/>
        <w:tblCellMar>
          <w:top w:w="0" w:type="dxa"/>
          <w:left w:w="108" w:type="dxa"/>
          <w:bottom w:w="0" w:type="dxa"/>
          <w:right w:w="108" w:type="dxa"/>
        </w:tblCellMar>
      </w:tblPr>
      <w:tblGrid>
        <w:gridCol w:w="1020"/>
        <w:gridCol w:w="1420"/>
        <w:gridCol w:w="2660"/>
        <w:gridCol w:w="5125"/>
        <w:gridCol w:w="1985"/>
      </w:tblGrid>
      <w:tr>
        <w:tblPrEx>
          <w:tblCellMar>
            <w:top w:w="0" w:type="dxa"/>
            <w:left w:w="108" w:type="dxa"/>
            <w:bottom w:w="0" w:type="dxa"/>
            <w:right w:w="108" w:type="dxa"/>
          </w:tblCellMar>
        </w:tblPrEx>
        <w:trPr>
          <w:trHeight w:val="285"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28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发放协勤人员每月工资及缴纳协勤人员每月医疗保险、养老保险和工伤保险。</w:t>
            </w:r>
          </w:p>
        </w:tc>
      </w:tr>
      <w:tr>
        <w:tblPrEx>
          <w:tblCellMar>
            <w:top w:w="0" w:type="dxa"/>
            <w:left w:w="108" w:type="dxa"/>
            <w:bottom w:w="0" w:type="dxa"/>
            <w:right w:w="108" w:type="dxa"/>
          </w:tblCellMar>
        </w:tblPrEx>
        <w:trPr>
          <w:trHeight w:val="285"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66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5125"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1985"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66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512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协勤人员劳务费成本</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278.62</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6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512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协勤人员人数</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105</w:t>
            </w:r>
            <w:r>
              <w:rPr>
                <w:rFonts w:hint="eastAsia" w:ascii="宋体" w:hAnsi="宋体" w:cs="宋体"/>
                <w:color w:val="000000"/>
                <w:kern w:val="0"/>
                <w:sz w:val="22"/>
                <w:szCs w:val="22"/>
              </w:rPr>
              <w:t>人</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6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时效指标</w:t>
            </w:r>
          </w:p>
        </w:tc>
        <w:tc>
          <w:tcPr>
            <w:tcW w:w="512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协勤人员出勤率（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66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12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协勤人员发放工资及时率</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66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512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年度重点工作完成率（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28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66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512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协勤人员满意度（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91%</w:t>
            </w:r>
          </w:p>
        </w:tc>
      </w:tr>
    </w:tbl>
    <w:p>
      <w:pPr>
        <w:ind w:left="1724"/>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信号灯维修维护费绩效目标表</w:t>
      </w:r>
    </w:p>
    <w:tbl>
      <w:tblPr>
        <w:tblStyle w:val="9"/>
        <w:tblW w:w="12210" w:type="dxa"/>
        <w:tblInd w:w="89" w:type="dxa"/>
        <w:tblLayout w:type="autofit"/>
        <w:tblCellMar>
          <w:top w:w="0" w:type="dxa"/>
          <w:left w:w="108" w:type="dxa"/>
          <w:bottom w:w="0" w:type="dxa"/>
          <w:right w:w="108" w:type="dxa"/>
        </w:tblCellMar>
      </w:tblPr>
      <w:tblGrid>
        <w:gridCol w:w="1020"/>
        <w:gridCol w:w="1420"/>
        <w:gridCol w:w="2580"/>
        <w:gridCol w:w="5205"/>
        <w:gridCol w:w="1985"/>
      </w:tblGrid>
      <w:tr>
        <w:tblPrEx>
          <w:tblCellMar>
            <w:top w:w="0" w:type="dxa"/>
            <w:left w:w="108" w:type="dxa"/>
            <w:bottom w:w="0" w:type="dxa"/>
            <w:right w:w="108" w:type="dxa"/>
          </w:tblCellMar>
        </w:tblPrEx>
        <w:trPr>
          <w:trHeight w:val="315"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315"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维护全县良好的道路交通秩序，缓解城市交通拥堵，提高道路通行能力；加强公路巡警队建设，提升道路交通秩序管理水平。</w:t>
            </w:r>
          </w:p>
        </w:tc>
      </w:tr>
      <w:tr>
        <w:tblPrEx>
          <w:tblCellMar>
            <w:top w:w="0" w:type="dxa"/>
            <w:left w:w="108" w:type="dxa"/>
            <w:bottom w:w="0" w:type="dxa"/>
            <w:right w:w="108" w:type="dxa"/>
          </w:tblCellMar>
        </w:tblPrEx>
        <w:trPr>
          <w:trHeight w:val="315"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5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5205"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1985"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　</w:t>
            </w:r>
          </w:p>
        </w:tc>
        <w:tc>
          <w:tcPr>
            <w:tcW w:w="25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520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信号灯维修成本</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18</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520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路口主要路段信号灯数量</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42</w:t>
            </w:r>
            <w:r>
              <w:rPr>
                <w:rFonts w:hint="eastAsia" w:ascii="宋体" w:hAnsi="宋体" w:cs="宋体"/>
                <w:color w:val="000000"/>
                <w:kern w:val="0"/>
                <w:sz w:val="22"/>
                <w:szCs w:val="22"/>
              </w:rPr>
              <w:t>套</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520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巡警业务保障率（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520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5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20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5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20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1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58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520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交通监测系统群众满意度（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198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numPr>
          <w:ilvl w:val="0"/>
          <w:numId w:val="2"/>
        </w:numPr>
        <w:jc w:val="left"/>
        <w:outlineLvl w:val="1"/>
        <w:rPr>
          <w:rFonts w:ascii="方正仿宋_GBK" w:eastAsia="方正仿宋_GBK"/>
          <w:b/>
          <w:sz w:val="28"/>
        </w:rPr>
      </w:pPr>
      <w:r>
        <w:rPr>
          <w:rFonts w:hint="eastAsia" w:ascii="方正仿宋_GBK" w:eastAsia="方正仿宋_GBK"/>
          <w:b/>
          <w:sz w:val="28"/>
        </w:rPr>
        <w:t>专项业务费绩效目标表</w:t>
      </w:r>
    </w:p>
    <w:tbl>
      <w:tblPr>
        <w:tblStyle w:val="9"/>
        <w:tblW w:w="12210" w:type="dxa"/>
        <w:tblInd w:w="89" w:type="dxa"/>
        <w:tblLayout w:type="autofit"/>
        <w:tblCellMar>
          <w:top w:w="0" w:type="dxa"/>
          <w:left w:w="108" w:type="dxa"/>
          <w:bottom w:w="0" w:type="dxa"/>
          <w:right w:w="108" w:type="dxa"/>
        </w:tblCellMar>
      </w:tblPr>
      <w:tblGrid>
        <w:gridCol w:w="1020"/>
        <w:gridCol w:w="1420"/>
        <w:gridCol w:w="2257"/>
        <w:gridCol w:w="5245"/>
        <w:gridCol w:w="2268"/>
      </w:tblGrid>
      <w:tr>
        <w:tblPrEx>
          <w:tblCellMar>
            <w:top w:w="0" w:type="dxa"/>
            <w:left w:w="108" w:type="dxa"/>
            <w:bottom w:w="0" w:type="dxa"/>
            <w:right w:w="108" w:type="dxa"/>
          </w:tblCellMar>
        </w:tblPrEx>
        <w:trPr>
          <w:trHeight w:val="330" w:hRule="atLeast"/>
        </w:trPr>
        <w:tc>
          <w:tcPr>
            <w:tcW w:w="1020" w:type="dxa"/>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w:t>
            </w:r>
            <w:r>
              <w:rPr>
                <w:rFonts w:ascii="宋体" w:hAnsi="宋体" w:cs="宋体"/>
                <w:color w:val="000000"/>
                <w:kern w:val="0"/>
                <w:sz w:val="22"/>
                <w:szCs w:val="22"/>
              </w:rPr>
              <w:t xml:space="preserve">     </w:t>
            </w:r>
            <w:r>
              <w:rPr>
                <w:rFonts w:hint="eastAsia" w:ascii="宋体" w:hAnsi="宋体" w:cs="宋体"/>
                <w:color w:val="000000"/>
                <w:kern w:val="0"/>
                <w:sz w:val="22"/>
                <w:szCs w:val="22"/>
              </w:rPr>
              <w:t>度</w:t>
            </w:r>
            <w:r>
              <w:rPr>
                <w:rFonts w:ascii="宋体" w:hAnsi="宋体" w:cs="宋体"/>
                <w:color w:val="000000"/>
                <w:kern w:val="0"/>
                <w:sz w:val="22"/>
                <w:szCs w:val="22"/>
              </w:rPr>
              <w:t xml:space="preserve">     </w:t>
            </w:r>
            <w:r>
              <w:rPr>
                <w:rFonts w:hint="eastAsia" w:ascii="宋体" w:hAnsi="宋体" w:cs="宋体"/>
                <w:color w:val="000000"/>
                <w:kern w:val="0"/>
                <w:sz w:val="22"/>
                <w:szCs w:val="22"/>
              </w:rPr>
              <w:t>总</w:t>
            </w:r>
            <w:r>
              <w:rPr>
                <w:rFonts w:ascii="宋体" w:hAnsi="宋体" w:cs="宋体"/>
                <w:color w:val="000000"/>
                <w:kern w:val="0"/>
                <w:sz w:val="22"/>
                <w:szCs w:val="22"/>
              </w:rPr>
              <w:t xml:space="preserve">     </w:t>
            </w:r>
            <w:r>
              <w:rPr>
                <w:rFonts w:hint="eastAsia" w:ascii="宋体" w:hAnsi="宋体" w:cs="宋体"/>
                <w:color w:val="000000"/>
                <w:kern w:val="0"/>
                <w:sz w:val="22"/>
                <w:szCs w:val="22"/>
              </w:rPr>
              <w:t>体</w:t>
            </w:r>
            <w:r>
              <w:rPr>
                <w:rFonts w:ascii="宋体" w:hAnsi="宋体" w:cs="宋体"/>
                <w:color w:val="000000"/>
                <w:kern w:val="0"/>
                <w:sz w:val="22"/>
                <w:szCs w:val="22"/>
              </w:rPr>
              <w:t xml:space="preserve">     </w:t>
            </w:r>
            <w:r>
              <w:rPr>
                <w:rFonts w:hint="eastAsia" w:ascii="宋体" w:hAnsi="宋体" w:cs="宋体"/>
                <w:color w:val="000000"/>
                <w:kern w:val="0"/>
                <w:sz w:val="22"/>
                <w:szCs w:val="22"/>
              </w:rPr>
              <w:t>目</w:t>
            </w:r>
            <w:r>
              <w:rPr>
                <w:rFonts w:ascii="宋体" w:hAnsi="宋体" w:cs="宋体"/>
                <w:color w:val="000000"/>
                <w:kern w:val="0"/>
                <w:sz w:val="22"/>
                <w:szCs w:val="22"/>
              </w:rPr>
              <w:t xml:space="preserve">     </w:t>
            </w:r>
            <w:r>
              <w:rPr>
                <w:rFonts w:hint="eastAsia" w:ascii="宋体" w:hAnsi="宋体" w:cs="宋体"/>
                <w:color w:val="000000"/>
                <w:kern w:val="0"/>
                <w:sz w:val="22"/>
                <w:szCs w:val="22"/>
              </w:rPr>
              <w:t>标</w:t>
            </w:r>
          </w:p>
        </w:tc>
        <w:tc>
          <w:tcPr>
            <w:tcW w:w="11190" w:type="dxa"/>
            <w:gridSpan w:val="4"/>
            <w:tcBorders>
              <w:top w:val="single" w:color="auto" w:sz="4" w:space="0"/>
              <w:left w:val="nil"/>
              <w:bottom w:val="single" w:color="auto" w:sz="4" w:space="0"/>
              <w:right w:val="single" w:color="000000"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年度目标</w:t>
            </w:r>
          </w:p>
        </w:tc>
      </w:tr>
      <w:tr>
        <w:tblPrEx>
          <w:tblCellMar>
            <w:top w:w="0" w:type="dxa"/>
            <w:left w:w="108" w:type="dxa"/>
            <w:bottom w:w="0" w:type="dxa"/>
            <w:right w:w="108" w:type="dxa"/>
          </w:tblCellMar>
        </w:tblPrEx>
        <w:trPr>
          <w:trHeight w:val="330" w:hRule="atLeast"/>
        </w:trPr>
        <w:tc>
          <w:tcPr>
            <w:tcW w:w="1020"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color w:val="000000"/>
                <w:kern w:val="0"/>
                <w:sz w:val="22"/>
              </w:rPr>
            </w:pPr>
          </w:p>
        </w:tc>
        <w:tc>
          <w:tcPr>
            <w:tcW w:w="11190" w:type="dxa"/>
            <w:gridSpan w:val="4"/>
            <w:tcBorders>
              <w:top w:val="single" w:color="auto" w:sz="4" w:space="0"/>
              <w:left w:val="nil"/>
              <w:bottom w:val="single" w:color="auto" w:sz="4" w:space="0"/>
              <w:right w:val="single" w:color="000000"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实施新型城镇化建设畅通工程，制定城镇道路中长期发展规划，加大城市道路监控系统和道路安全设施建设，推进公路巡警队建设，执行暑期及两会安保任务。维护全县良好的道路交通秩序，缓解城市交通拥堵，提高道路通行能力；加强公路巡警队建设，提升道路交通秩序管理水平。</w:t>
            </w:r>
          </w:p>
        </w:tc>
      </w:tr>
      <w:tr>
        <w:tblPrEx>
          <w:tblCellMar>
            <w:top w:w="0" w:type="dxa"/>
            <w:left w:w="108" w:type="dxa"/>
            <w:bottom w:w="0" w:type="dxa"/>
            <w:right w:w="108" w:type="dxa"/>
          </w:tblCellMar>
        </w:tblPrEx>
        <w:trPr>
          <w:trHeight w:val="330" w:hRule="atLeast"/>
        </w:trPr>
        <w:tc>
          <w:tcPr>
            <w:tcW w:w="10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32"/>
                <w:szCs w:val="32"/>
              </w:rPr>
            </w:pPr>
            <w:r>
              <w:rPr>
                <w:rFonts w:hint="eastAsia" w:ascii="宋体" w:hAnsi="宋体" w:cs="宋体"/>
                <w:color w:val="000000"/>
                <w:kern w:val="0"/>
                <w:sz w:val="32"/>
                <w:szCs w:val="32"/>
              </w:rPr>
              <w:t>绩</w:t>
            </w:r>
            <w:r>
              <w:rPr>
                <w:rFonts w:ascii="宋体" w:hAnsi="宋体" w:cs="宋体"/>
                <w:color w:val="000000"/>
                <w:kern w:val="0"/>
                <w:sz w:val="32"/>
                <w:szCs w:val="32"/>
              </w:rPr>
              <w:t xml:space="preserve">     </w:t>
            </w:r>
            <w:r>
              <w:rPr>
                <w:rFonts w:hint="eastAsia" w:ascii="宋体" w:hAnsi="宋体" w:cs="宋体"/>
                <w:color w:val="000000"/>
                <w:kern w:val="0"/>
                <w:sz w:val="32"/>
                <w:szCs w:val="32"/>
              </w:rPr>
              <w:t>效</w:t>
            </w:r>
            <w:r>
              <w:rPr>
                <w:rFonts w:ascii="宋体" w:hAnsi="宋体" w:cs="宋体"/>
                <w:color w:val="000000"/>
                <w:kern w:val="0"/>
                <w:sz w:val="32"/>
                <w:szCs w:val="32"/>
              </w:rPr>
              <w:t xml:space="preserve">     </w:t>
            </w:r>
            <w:r>
              <w:rPr>
                <w:rFonts w:hint="eastAsia" w:ascii="宋体" w:hAnsi="宋体" w:cs="宋体"/>
                <w:color w:val="000000"/>
                <w:kern w:val="0"/>
                <w:sz w:val="32"/>
                <w:szCs w:val="32"/>
              </w:rPr>
              <w:t>指</w:t>
            </w:r>
            <w:r>
              <w:rPr>
                <w:rFonts w:ascii="宋体" w:hAnsi="宋体" w:cs="宋体"/>
                <w:color w:val="000000"/>
                <w:kern w:val="0"/>
                <w:sz w:val="32"/>
                <w:szCs w:val="32"/>
              </w:rPr>
              <w:t xml:space="preserve">      </w:t>
            </w:r>
            <w:r>
              <w:rPr>
                <w:rFonts w:hint="eastAsia" w:ascii="宋体" w:hAnsi="宋体" w:cs="宋体"/>
                <w:color w:val="000000"/>
                <w:kern w:val="0"/>
                <w:sz w:val="32"/>
                <w:szCs w:val="32"/>
              </w:rPr>
              <w:t>标</w:t>
            </w:r>
          </w:p>
        </w:tc>
        <w:tc>
          <w:tcPr>
            <w:tcW w:w="1420"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一级指标</w:t>
            </w:r>
          </w:p>
        </w:tc>
        <w:tc>
          <w:tcPr>
            <w:tcW w:w="2257"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二级指标</w:t>
            </w:r>
          </w:p>
        </w:tc>
        <w:tc>
          <w:tcPr>
            <w:tcW w:w="5245"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三级指标</w:t>
            </w:r>
          </w:p>
        </w:tc>
        <w:tc>
          <w:tcPr>
            <w:tcW w:w="2268"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指标值</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产出指标</w:t>
            </w:r>
          </w:p>
        </w:tc>
        <w:tc>
          <w:tcPr>
            <w:tcW w:w="2257"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成本指标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业务经费成本</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287.28</w:t>
            </w:r>
            <w:r>
              <w:rPr>
                <w:rFonts w:hint="eastAsia" w:ascii="宋体" w:hAnsi="宋体" w:cs="宋体"/>
                <w:color w:val="000000"/>
                <w:kern w:val="0"/>
                <w:sz w:val="22"/>
                <w:szCs w:val="22"/>
              </w:rPr>
              <w:t>万元</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257"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数量指标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执法执勤车辆数量</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ascii="宋体" w:hAnsi="宋体" w:cs="宋体"/>
                <w:color w:val="000000"/>
                <w:kern w:val="0"/>
                <w:sz w:val="22"/>
                <w:szCs w:val="22"/>
              </w:rPr>
              <w:t>10</w:t>
            </w:r>
            <w:r>
              <w:rPr>
                <w:rFonts w:hint="eastAsia" w:ascii="宋体" w:hAnsi="宋体" w:cs="宋体"/>
                <w:color w:val="000000"/>
                <w:kern w:val="0"/>
                <w:sz w:val="22"/>
                <w:szCs w:val="22"/>
              </w:rPr>
              <w:t>辆</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257"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巡警警力覆盖率（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257"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质量指标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纠正异常业务、违规路口、主要路段视频监控率（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效益指标</w:t>
            </w:r>
          </w:p>
        </w:tc>
        <w:tc>
          <w:tcPr>
            <w:tcW w:w="2257"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交通事故下降率（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257"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社会效益指标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车辆违法下降率（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22"/>
              </w:rPr>
            </w:pPr>
          </w:p>
        </w:tc>
        <w:tc>
          <w:tcPr>
            <w:tcW w:w="2257"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经济效益指标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事故财产损失下降率（</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5%</w:t>
            </w:r>
          </w:p>
        </w:tc>
      </w:tr>
      <w:tr>
        <w:tblPrEx>
          <w:tblCellMar>
            <w:top w:w="0" w:type="dxa"/>
            <w:left w:w="108" w:type="dxa"/>
            <w:bottom w:w="0" w:type="dxa"/>
            <w:right w:w="108" w:type="dxa"/>
          </w:tblCellMar>
        </w:tblPrEx>
        <w:trPr>
          <w:trHeight w:val="33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cs="宋体"/>
                <w:color w:val="000000"/>
                <w:kern w:val="0"/>
                <w:sz w:val="32"/>
                <w:szCs w:val="32"/>
              </w:rPr>
            </w:pPr>
          </w:p>
        </w:tc>
        <w:tc>
          <w:tcPr>
            <w:tcW w:w="1420"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满意度指标</w:t>
            </w:r>
          </w:p>
        </w:tc>
        <w:tc>
          <w:tcPr>
            <w:tcW w:w="2257" w:type="dxa"/>
            <w:tcBorders>
              <w:top w:val="nil"/>
              <w:left w:val="nil"/>
              <w:bottom w:val="single" w:color="auto" w:sz="4" w:space="0"/>
              <w:right w:val="single" w:color="auto" w:sz="4" w:space="0"/>
            </w:tcBorders>
            <w:vAlign w:val="center"/>
          </w:tcPr>
          <w:p>
            <w:pPr>
              <w:widowControl/>
              <w:jc w:val="center"/>
              <w:rPr>
                <w:rFonts w:ascii="宋体" w:cs="宋体"/>
                <w:color w:val="000000"/>
                <w:kern w:val="0"/>
                <w:sz w:val="22"/>
              </w:rPr>
            </w:pPr>
            <w:r>
              <w:rPr>
                <w:rFonts w:hint="eastAsia" w:ascii="宋体" w:hAnsi="宋体" w:cs="宋体"/>
                <w:color w:val="000000"/>
                <w:kern w:val="0"/>
                <w:sz w:val="22"/>
                <w:szCs w:val="22"/>
              </w:rPr>
              <w:t>服务对象满意度指标</w:t>
            </w:r>
          </w:p>
        </w:tc>
        <w:tc>
          <w:tcPr>
            <w:tcW w:w="5245"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群众满意度（</w:t>
            </w:r>
            <w:r>
              <w:rPr>
                <w:rFonts w:ascii="宋体" w:hAnsi="宋体" w:cs="宋体"/>
                <w:color w:val="000000"/>
                <w:kern w:val="0"/>
                <w:sz w:val="22"/>
                <w:szCs w:val="22"/>
              </w:rPr>
              <w:t>%</w:t>
            </w:r>
            <w:r>
              <w:rPr>
                <w:rFonts w:hint="eastAsia" w:ascii="宋体" w:hAnsi="宋体" w:cs="宋体"/>
                <w:color w:val="000000"/>
                <w:kern w:val="0"/>
                <w:sz w:val="22"/>
                <w:szCs w:val="22"/>
              </w:rPr>
              <w:t>）</w:t>
            </w:r>
          </w:p>
        </w:tc>
        <w:tc>
          <w:tcPr>
            <w:tcW w:w="2268" w:type="dxa"/>
            <w:tcBorders>
              <w:top w:val="nil"/>
              <w:left w:val="nil"/>
              <w:bottom w:val="single" w:color="auto" w:sz="4" w:space="0"/>
              <w:right w:val="single" w:color="auto" w:sz="4" w:space="0"/>
            </w:tcBorders>
            <w:vAlign w:val="center"/>
          </w:tcPr>
          <w:p>
            <w:pPr>
              <w:widowControl/>
              <w:jc w:val="left"/>
              <w:rPr>
                <w:rFonts w:ascii="宋体" w:cs="宋体"/>
                <w:color w:val="000000"/>
                <w:kern w:val="0"/>
                <w:sz w:val="22"/>
              </w:rPr>
            </w:pPr>
            <w:r>
              <w:rPr>
                <w:rFonts w:hint="eastAsia" w:ascii="宋体" w:hAnsi="宋体" w:cs="宋体"/>
                <w:color w:val="000000"/>
                <w:kern w:val="0"/>
                <w:sz w:val="22"/>
                <w:szCs w:val="22"/>
              </w:rPr>
              <w:t>≥</w:t>
            </w:r>
            <w:r>
              <w:rPr>
                <w:rFonts w:ascii="宋体" w:hAnsi="宋体" w:cs="宋体"/>
                <w:color w:val="000000"/>
                <w:kern w:val="0"/>
                <w:sz w:val="22"/>
                <w:szCs w:val="22"/>
              </w:rPr>
              <w:t>90%</w:t>
            </w:r>
          </w:p>
        </w:tc>
      </w:tr>
    </w:tbl>
    <w:p>
      <w:pPr>
        <w:ind w:left="1724"/>
        <w:jc w:val="left"/>
        <w:outlineLvl w:val="1"/>
        <w:rPr>
          <w:rFonts w:ascii="方正仿宋_GBK" w:eastAsia="方正仿宋_GBK"/>
          <w:b/>
          <w:sz w:val="28"/>
        </w:rPr>
      </w:pPr>
    </w:p>
    <w:p>
      <w:pPr>
        <w:ind w:left="1004"/>
        <w:jc w:val="left"/>
        <w:outlineLvl w:val="1"/>
        <w:rPr>
          <w:rFonts w:ascii="方正仿宋_GBK" w:eastAsia="方正仿宋_GBK"/>
          <w:b/>
          <w:sz w:val="28"/>
        </w:rPr>
      </w:pPr>
    </w:p>
    <w:p>
      <w:pPr>
        <w:jc w:val="left"/>
        <w:outlineLvl w:val="1"/>
        <w:rPr>
          <w:rFonts w:ascii="方正仿宋_GBK" w:eastAsia="方正仿宋_GBK"/>
          <w:b/>
          <w:sz w:val="28"/>
        </w:rPr>
      </w:pPr>
    </w:p>
    <w:p>
      <w:pPr>
        <w:ind w:left="1004"/>
        <w:jc w:val="left"/>
        <w:outlineLvl w:val="1"/>
        <w:rPr>
          <w:rFonts w:ascii="Times New Roman" w:hAnsi="宋体"/>
          <w:b/>
          <w:sz w:val="28"/>
        </w:rPr>
      </w:pPr>
      <w:r>
        <w:rPr>
          <w:rFonts w:ascii="方正仿宋_GBK" w:eastAsia="方正仿宋_GBK"/>
          <w:b/>
          <w:sz w:val="28"/>
        </w:rPr>
        <w:fldChar w:fldCharType="begin"/>
      </w:r>
      <w:r>
        <w:rPr>
          <w:rFonts w:ascii="方正仿宋_GBK" w:eastAsia="方正仿宋_GBK"/>
          <w:b/>
          <w:sz w:val="28"/>
        </w:rPr>
        <w:instrText xml:space="preserve">tc "3</w:instrText>
      </w:r>
      <w:r>
        <w:rPr>
          <w:rFonts w:hint="eastAsia" w:ascii="方正仿宋_GBK" w:eastAsia="方正仿宋_GBK"/>
          <w:b/>
          <w:sz w:val="28"/>
        </w:rPr>
        <w:instrText xml:space="preserve">、第三方评价工作经费绩效目标表</w:instrText>
      </w:r>
      <w:r>
        <w:rPr>
          <w:rFonts w:ascii="方正仿宋_GBK" w:eastAsia="方正仿宋_GBK"/>
          <w:b/>
          <w:sz w:val="28"/>
        </w:rPr>
        <w:instrText xml:space="preserve">" \f C \l 01</w:instrText>
      </w:r>
      <w:r>
        <w:rPr>
          <w:rFonts w:ascii="方正仿宋_GBK" w:eastAsia="方正仿宋_GBK"/>
          <w:b/>
          <w:sz w:val="28"/>
        </w:rPr>
        <w:fldChar w:fldCharType="end"/>
      </w:r>
    </w:p>
    <w:p>
      <w:pPr>
        <w:autoSpaceDE w:val="0"/>
        <w:autoSpaceDN w:val="0"/>
        <w:adjustRightInd w:val="0"/>
        <w:jc w:val="left"/>
        <w:rPr>
          <w:rFonts w:ascii="黑体" w:hAnsi="黑体" w:eastAsia="黑体" w:cs="黑体"/>
          <w:sz w:val="32"/>
          <w:szCs w:val="32"/>
        </w:rPr>
      </w:pPr>
    </w:p>
    <w:p>
      <w:pPr>
        <w:autoSpaceDE w:val="0"/>
        <w:autoSpaceDN w:val="0"/>
        <w:adjustRightInd w:val="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bookmarkStart w:id="5"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ascii="Times New Roman" w:hAnsi="Times New Roman" w:eastAsia="仿宋" w:cs="Times New Roman"/>
          <w:sz w:val="32"/>
          <w:szCs w:val="32"/>
        </w:rPr>
        <w:t>595.52</w:t>
      </w:r>
      <w:r>
        <w:rPr>
          <w:rFonts w:hint="eastAsia" w:ascii="Times New Roman" w:hAnsi="Times New Roman" w:eastAsia="仿宋" w:cs="仿宋"/>
          <w:sz w:val="32"/>
          <w:szCs w:val="32"/>
        </w:rPr>
        <w:t>万元。具体内容见下表。</w:t>
      </w:r>
      <w:bookmarkEnd w:id="5"/>
    </w:p>
    <w:p>
      <w:pPr>
        <w:jc w:val="center"/>
        <w:outlineLvl w:val="0"/>
        <w:rPr>
          <w:rFonts w:ascii="方正小标宋_GBK" w:eastAsia="方正小标宋_GBK" w:cs="Times New Roman"/>
          <w:sz w:val="32"/>
          <w:szCs w:val="32"/>
        </w:rPr>
      </w:pPr>
      <w:bookmarkStart w:id="6" w:name="_Toc535404684"/>
      <w:r>
        <w:rPr>
          <w:rFonts w:hint="eastAsia" w:ascii="方正小标宋_GBK" w:eastAsia="方正小标宋_GBK" w:cs="方正小标宋_GBK"/>
          <w:sz w:val="32"/>
          <w:szCs w:val="32"/>
        </w:rPr>
        <w:t>部门政府采购预算</w:t>
      </w:r>
      <w:bookmarkEnd w:id="6"/>
    </w:p>
    <w:tbl>
      <w:tblPr>
        <w:tblStyle w:val="9"/>
        <w:tblW w:w="141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56"/>
        <w:gridCol w:w="850"/>
        <w:gridCol w:w="1418"/>
        <w:gridCol w:w="959"/>
        <w:gridCol w:w="512"/>
        <w:gridCol w:w="772"/>
        <w:gridCol w:w="1017"/>
        <w:gridCol w:w="1059"/>
        <w:gridCol w:w="1179"/>
        <w:gridCol w:w="1236"/>
        <w:gridCol w:w="1169"/>
        <w:gridCol w:w="439"/>
        <w:gridCol w:w="426"/>
        <w:gridCol w:w="4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184"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hint="eastAsia" w:ascii="Times New Roman" w:hAnsi="Times New Roman" w:eastAsia="仿宋" w:cs="仿宋"/>
                <w:color w:val="000000"/>
                <w:sz w:val="32"/>
                <w:szCs w:val="32"/>
              </w:rPr>
              <w:t>隆尧县公安局交通警察大队</w:t>
            </w:r>
          </w:p>
        </w:tc>
        <w:tc>
          <w:tcPr>
            <w:tcW w:w="5933" w:type="dxa"/>
            <w:gridSpan w:val="7"/>
            <w:tcBorders>
              <w:top w:val="single" w:color="FFFFFF" w:sz="6" w:space="0"/>
              <w:left w:val="single" w:color="FFFFFF" w:sz="6" w:space="0"/>
              <w:right w:val="single" w:color="FFFFFF" w:sz="6" w:space="0"/>
            </w:tcBorders>
            <w:vAlign w:val="center"/>
          </w:tcPr>
          <w:p>
            <w:pPr>
              <w:spacing w:line="300" w:lineRule="exact"/>
              <w:jc w:val="right"/>
              <w:rPr>
                <w:rFonts w:cs="Times New Roman"/>
                <w:sz w:val="18"/>
                <w:szCs w:val="18"/>
              </w:rPr>
            </w:pPr>
            <w:r>
              <w:rPr>
                <w:rFonts w:hint="eastAsia" w:cs="宋体"/>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06" w:type="dxa"/>
            <w:gridSpan w:val="2"/>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政府采购项目来源</w:t>
            </w:r>
          </w:p>
        </w:tc>
        <w:tc>
          <w:tcPr>
            <w:tcW w:w="1418" w:type="dxa"/>
            <w:vMerge w:val="restart"/>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采购物品名称</w:t>
            </w:r>
          </w:p>
        </w:tc>
        <w:tc>
          <w:tcPr>
            <w:tcW w:w="959" w:type="dxa"/>
            <w:vMerge w:val="restart"/>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政府采购目录序号</w:t>
            </w:r>
          </w:p>
        </w:tc>
        <w:tc>
          <w:tcPr>
            <w:tcW w:w="512" w:type="dxa"/>
            <w:vMerge w:val="restart"/>
            <w:vAlign w:val="center"/>
          </w:tcPr>
          <w:p>
            <w:pPr>
              <w:spacing w:line="300" w:lineRule="exact"/>
              <w:jc w:val="center"/>
              <w:rPr>
                <w:rFonts w:ascii="Times New Roman" w:hAnsi="Times New Roman" w:eastAsia="仿宋" w:cs="仿宋"/>
                <w:sz w:val="28"/>
                <w:szCs w:val="28"/>
              </w:rPr>
            </w:pPr>
            <w:r>
              <w:rPr>
                <w:rFonts w:hint="eastAsia" w:ascii="Times New Roman" w:hAnsi="Times New Roman" w:eastAsia="仿宋" w:cs="仿宋"/>
                <w:sz w:val="28"/>
                <w:szCs w:val="28"/>
              </w:rPr>
              <w:t>计量</w:t>
            </w:r>
            <w:r>
              <w:rPr>
                <w:rFonts w:ascii="Times New Roman" w:hAnsi="Times New Roman" w:eastAsia="仿宋" w:cs="仿宋"/>
                <w:sz w:val="28"/>
                <w:szCs w:val="28"/>
              </w:rPr>
              <w:t xml:space="preserve">  </w:t>
            </w:r>
            <w:r>
              <w:rPr>
                <w:rFonts w:hint="eastAsia" w:ascii="Times New Roman" w:hAnsi="Times New Roman" w:eastAsia="仿宋" w:cs="仿宋"/>
                <w:sz w:val="28"/>
                <w:szCs w:val="28"/>
              </w:rPr>
              <w:t>单位</w:t>
            </w:r>
          </w:p>
        </w:tc>
        <w:tc>
          <w:tcPr>
            <w:tcW w:w="772" w:type="dxa"/>
            <w:vMerge w:val="restart"/>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数量</w:t>
            </w:r>
          </w:p>
        </w:tc>
        <w:tc>
          <w:tcPr>
            <w:tcW w:w="1017" w:type="dxa"/>
            <w:vMerge w:val="restart"/>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单价</w:t>
            </w:r>
          </w:p>
        </w:tc>
        <w:tc>
          <w:tcPr>
            <w:tcW w:w="5933" w:type="dxa"/>
            <w:gridSpan w:val="7"/>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56" w:type="dxa"/>
            <w:vMerge w:val="restart"/>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项目名称</w:t>
            </w:r>
          </w:p>
        </w:tc>
        <w:tc>
          <w:tcPr>
            <w:tcW w:w="850" w:type="dxa"/>
            <w:vMerge w:val="restart"/>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预算资金</w:t>
            </w:r>
          </w:p>
        </w:tc>
        <w:tc>
          <w:tcPr>
            <w:tcW w:w="1418" w:type="dxa"/>
            <w:vMerge w:val="continue"/>
            <w:vAlign w:val="center"/>
          </w:tcPr>
          <w:p>
            <w:pPr>
              <w:spacing w:line="300" w:lineRule="exact"/>
              <w:jc w:val="left"/>
              <w:outlineLvl w:val="0"/>
              <w:rPr>
                <w:rFonts w:ascii="Times New Roman" w:hAnsi="Times New Roman" w:eastAsia="仿宋" w:cs="Times New Roman"/>
                <w:sz w:val="28"/>
                <w:szCs w:val="28"/>
              </w:rPr>
            </w:pPr>
          </w:p>
        </w:tc>
        <w:tc>
          <w:tcPr>
            <w:tcW w:w="959" w:type="dxa"/>
            <w:vMerge w:val="continue"/>
            <w:vAlign w:val="center"/>
          </w:tcPr>
          <w:p>
            <w:pPr>
              <w:spacing w:line="300" w:lineRule="exact"/>
              <w:jc w:val="left"/>
              <w:outlineLvl w:val="0"/>
              <w:rPr>
                <w:rFonts w:ascii="Times New Roman" w:hAnsi="Times New Roman" w:eastAsia="仿宋" w:cs="Times New Roman"/>
                <w:sz w:val="28"/>
                <w:szCs w:val="28"/>
              </w:rPr>
            </w:pPr>
          </w:p>
        </w:tc>
        <w:tc>
          <w:tcPr>
            <w:tcW w:w="512" w:type="dxa"/>
            <w:vMerge w:val="continue"/>
            <w:vAlign w:val="center"/>
          </w:tcPr>
          <w:p>
            <w:pPr>
              <w:spacing w:line="300" w:lineRule="exact"/>
              <w:jc w:val="left"/>
              <w:outlineLvl w:val="0"/>
              <w:rPr>
                <w:rFonts w:ascii="Times New Roman" w:hAnsi="Times New Roman" w:eastAsia="仿宋" w:cs="Times New Roman"/>
                <w:sz w:val="28"/>
                <w:szCs w:val="28"/>
              </w:rPr>
            </w:pPr>
          </w:p>
        </w:tc>
        <w:tc>
          <w:tcPr>
            <w:tcW w:w="772" w:type="dxa"/>
            <w:vMerge w:val="continue"/>
            <w:vAlign w:val="center"/>
          </w:tcPr>
          <w:p>
            <w:pPr>
              <w:spacing w:line="300" w:lineRule="exact"/>
              <w:jc w:val="left"/>
              <w:outlineLvl w:val="0"/>
              <w:rPr>
                <w:rFonts w:ascii="Times New Roman" w:hAnsi="Times New Roman" w:eastAsia="仿宋" w:cs="Times New Roman"/>
                <w:sz w:val="28"/>
                <w:szCs w:val="28"/>
              </w:rPr>
            </w:pPr>
          </w:p>
        </w:tc>
        <w:tc>
          <w:tcPr>
            <w:tcW w:w="1017" w:type="dxa"/>
            <w:vMerge w:val="continue"/>
            <w:vAlign w:val="center"/>
          </w:tcPr>
          <w:p>
            <w:pPr>
              <w:spacing w:line="300" w:lineRule="exact"/>
              <w:jc w:val="left"/>
              <w:outlineLvl w:val="0"/>
              <w:rPr>
                <w:rFonts w:ascii="Times New Roman" w:hAnsi="Times New Roman" w:eastAsia="仿宋" w:cs="Times New Roman"/>
                <w:sz w:val="28"/>
                <w:szCs w:val="28"/>
              </w:rPr>
            </w:pPr>
          </w:p>
        </w:tc>
        <w:tc>
          <w:tcPr>
            <w:tcW w:w="1059" w:type="dxa"/>
            <w:vMerge w:val="restart"/>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总计</w:t>
            </w:r>
          </w:p>
        </w:tc>
        <w:tc>
          <w:tcPr>
            <w:tcW w:w="4449" w:type="dxa"/>
            <w:gridSpan w:val="5"/>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当年部门预算安排资金</w:t>
            </w:r>
          </w:p>
        </w:tc>
        <w:tc>
          <w:tcPr>
            <w:tcW w:w="425" w:type="dxa"/>
            <w:vMerge w:val="restart"/>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84" w:hRule="atLeast"/>
          <w:tblHeader/>
          <w:jc w:val="center"/>
        </w:trPr>
        <w:tc>
          <w:tcPr>
            <w:tcW w:w="2656" w:type="dxa"/>
            <w:vMerge w:val="continue"/>
            <w:vAlign w:val="center"/>
          </w:tcPr>
          <w:p>
            <w:pPr>
              <w:spacing w:line="300" w:lineRule="exact"/>
              <w:jc w:val="left"/>
              <w:outlineLvl w:val="0"/>
              <w:rPr>
                <w:rFonts w:ascii="Times New Roman" w:hAnsi="Times New Roman" w:eastAsia="仿宋" w:cs="Times New Roman"/>
                <w:sz w:val="28"/>
                <w:szCs w:val="28"/>
              </w:rPr>
            </w:pPr>
          </w:p>
        </w:tc>
        <w:tc>
          <w:tcPr>
            <w:tcW w:w="850" w:type="dxa"/>
            <w:vMerge w:val="continue"/>
            <w:vAlign w:val="center"/>
          </w:tcPr>
          <w:p>
            <w:pPr>
              <w:spacing w:line="300" w:lineRule="exact"/>
              <w:jc w:val="left"/>
              <w:outlineLvl w:val="0"/>
              <w:rPr>
                <w:rFonts w:ascii="Times New Roman" w:hAnsi="Times New Roman" w:eastAsia="仿宋" w:cs="Times New Roman"/>
                <w:sz w:val="28"/>
                <w:szCs w:val="28"/>
              </w:rPr>
            </w:pPr>
          </w:p>
        </w:tc>
        <w:tc>
          <w:tcPr>
            <w:tcW w:w="1418" w:type="dxa"/>
            <w:vMerge w:val="continue"/>
            <w:vAlign w:val="center"/>
          </w:tcPr>
          <w:p>
            <w:pPr>
              <w:spacing w:line="300" w:lineRule="exact"/>
              <w:jc w:val="left"/>
              <w:outlineLvl w:val="0"/>
              <w:rPr>
                <w:rFonts w:ascii="Times New Roman" w:hAnsi="Times New Roman" w:eastAsia="仿宋" w:cs="Times New Roman"/>
                <w:sz w:val="28"/>
                <w:szCs w:val="28"/>
              </w:rPr>
            </w:pPr>
          </w:p>
        </w:tc>
        <w:tc>
          <w:tcPr>
            <w:tcW w:w="959" w:type="dxa"/>
            <w:vMerge w:val="continue"/>
            <w:vAlign w:val="center"/>
          </w:tcPr>
          <w:p>
            <w:pPr>
              <w:spacing w:line="300" w:lineRule="exact"/>
              <w:jc w:val="left"/>
              <w:outlineLvl w:val="0"/>
              <w:rPr>
                <w:rFonts w:ascii="Times New Roman" w:hAnsi="Times New Roman" w:eastAsia="仿宋" w:cs="Times New Roman"/>
                <w:sz w:val="28"/>
                <w:szCs w:val="28"/>
              </w:rPr>
            </w:pPr>
          </w:p>
        </w:tc>
        <w:tc>
          <w:tcPr>
            <w:tcW w:w="512" w:type="dxa"/>
            <w:vMerge w:val="continue"/>
            <w:vAlign w:val="center"/>
          </w:tcPr>
          <w:p>
            <w:pPr>
              <w:spacing w:line="300" w:lineRule="exact"/>
              <w:jc w:val="left"/>
              <w:outlineLvl w:val="0"/>
              <w:rPr>
                <w:rFonts w:ascii="Times New Roman" w:hAnsi="Times New Roman" w:eastAsia="仿宋" w:cs="Times New Roman"/>
                <w:sz w:val="28"/>
                <w:szCs w:val="28"/>
              </w:rPr>
            </w:pPr>
          </w:p>
        </w:tc>
        <w:tc>
          <w:tcPr>
            <w:tcW w:w="772" w:type="dxa"/>
            <w:vMerge w:val="continue"/>
            <w:vAlign w:val="center"/>
          </w:tcPr>
          <w:p>
            <w:pPr>
              <w:spacing w:line="300" w:lineRule="exact"/>
              <w:jc w:val="left"/>
              <w:outlineLvl w:val="0"/>
              <w:rPr>
                <w:rFonts w:ascii="Times New Roman" w:hAnsi="Times New Roman" w:eastAsia="仿宋" w:cs="Times New Roman"/>
                <w:sz w:val="28"/>
                <w:szCs w:val="28"/>
              </w:rPr>
            </w:pPr>
          </w:p>
        </w:tc>
        <w:tc>
          <w:tcPr>
            <w:tcW w:w="1017" w:type="dxa"/>
            <w:vMerge w:val="continue"/>
            <w:vAlign w:val="center"/>
          </w:tcPr>
          <w:p>
            <w:pPr>
              <w:spacing w:line="300" w:lineRule="exact"/>
              <w:jc w:val="left"/>
              <w:outlineLvl w:val="0"/>
              <w:rPr>
                <w:rFonts w:ascii="Times New Roman" w:hAnsi="Times New Roman" w:eastAsia="仿宋" w:cs="Times New Roman"/>
                <w:sz w:val="28"/>
                <w:szCs w:val="28"/>
              </w:rPr>
            </w:pPr>
          </w:p>
        </w:tc>
        <w:tc>
          <w:tcPr>
            <w:tcW w:w="1059" w:type="dxa"/>
            <w:vMerge w:val="continue"/>
            <w:vAlign w:val="center"/>
          </w:tcPr>
          <w:p>
            <w:pPr>
              <w:spacing w:line="300" w:lineRule="exact"/>
              <w:jc w:val="left"/>
              <w:outlineLvl w:val="0"/>
              <w:rPr>
                <w:rFonts w:ascii="Times New Roman" w:hAnsi="Times New Roman" w:eastAsia="仿宋" w:cs="Times New Roman"/>
                <w:sz w:val="28"/>
                <w:szCs w:val="28"/>
              </w:rPr>
            </w:pPr>
          </w:p>
        </w:tc>
        <w:tc>
          <w:tcPr>
            <w:tcW w:w="1179" w:type="dxa"/>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合计</w:t>
            </w:r>
          </w:p>
        </w:tc>
        <w:tc>
          <w:tcPr>
            <w:tcW w:w="1236" w:type="dxa"/>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一般公共预算拨款</w:t>
            </w:r>
          </w:p>
        </w:tc>
        <w:tc>
          <w:tcPr>
            <w:tcW w:w="1169" w:type="dxa"/>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基金预算拨款</w:t>
            </w:r>
          </w:p>
        </w:tc>
        <w:tc>
          <w:tcPr>
            <w:tcW w:w="439" w:type="dxa"/>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财政专户核拨</w:t>
            </w:r>
          </w:p>
        </w:tc>
        <w:tc>
          <w:tcPr>
            <w:tcW w:w="426" w:type="dxa"/>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其他来源收入</w:t>
            </w:r>
          </w:p>
        </w:tc>
        <w:tc>
          <w:tcPr>
            <w:tcW w:w="425" w:type="dxa"/>
            <w:vMerge w:val="continue"/>
            <w:vAlign w:val="center"/>
          </w:tcPr>
          <w:p>
            <w:pPr>
              <w:spacing w:line="300" w:lineRule="exact"/>
              <w:jc w:val="left"/>
              <w:outlineLvl w:val="0"/>
              <w:rPr>
                <w:rFonts w:ascii="Times New Roman" w:hAnsi="Times New Roman" w:eastAsia="仿宋" w:cs="Times New Roman"/>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56" w:type="dxa"/>
            <w:vAlign w:val="center"/>
          </w:tcPr>
          <w:p>
            <w:pPr>
              <w:spacing w:line="300" w:lineRule="exact"/>
              <w:jc w:val="center"/>
              <w:rPr>
                <w:rFonts w:ascii="Times New Roman" w:hAnsi="Times New Roman" w:eastAsia="仿宋" w:cs="Times New Roman"/>
                <w:sz w:val="28"/>
                <w:szCs w:val="28"/>
              </w:rPr>
            </w:pPr>
            <w:r>
              <w:rPr>
                <w:rFonts w:hint="eastAsia" w:ascii="Times New Roman" w:hAnsi="Times New Roman" w:eastAsia="仿宋" w:cs="仿宋"/>
                <w:sz w:val="28"/>
                <w:szCs w:val="28"/>
              </w:rPr>
              <w:t>合　计</w:t>
            </w:r>
          </w:p>
        </w:tc>
        <w:tc>
          <w:tcPr>
            <w:tcW w:w="850" w:type="dxa"/>
            <w:vAlign w:val="center"/>
          </w:tcPr>
          <w:p>
            <w:pPr>
              <w:jc w:val="right"/>
              <w:rPr>
                <w:sz w:val="18"/>
                <w:szCs w:val="18"/>
              </w:rPr>
            </w:pPr>
            <w:r>
              <w:rPr>
                <w:sz w:val="18"/>
                <w:szCs w:val="18"/>
              </w:rPr>
              <w:t>416.52</w:t>
            </w:r>
          </w:p>
        </w:tc>
        <w:tc>
          <w:tcPr>
            <w:tcW w:w="1418" w:type="dxa"/>
            <w:vAlign w:val="center"/>
          </w:tcPr>
          <w:p>
            <w:pPr>
              <w:spacing w:line="300" w:lineRule="exact"/>
              <w:jc w:val="left"/>
              <w:rPr>
                <w:rFonts w:cs="Times New Roman"/>
                <w:sz w:val="18"/>
                <w:szCs w:val="18"/>
              </w:rPr>
            </w:pPr>
          </w:p>
        </w:tc>
        <w:tc>
          <w:tcPr>
            <w:tcW w:w="959" w:type="dxa"/>
            <w:vAlign w:val="center"/>
          </w:tcPr>
          <w:p>
            <w:pPr>
              <w:spacing w:line="300" w:lineRule="exact"/>
              <w:jc w:val="left"/>
              <w:rPr>
                <w:rFonts w:cs="Times New Roman"/>
                <w:sz w:val="18"/>
                <w:szCs w:val="18"/>
              </w:rPr>
            </w:pPr>
          </w:p>
        </w:tc>
        <w:tc>
          <w:tcPr>
            <w:tcW w:w="512" w:type="dxa"/>
            <w:vAlign w:val="center"/>
          </w:tcPr>
          <w:p>
            <w:pPr>
              <w:spacing w:line="300" w:lineRule="exact"/>
              <w:jc w:val="left"/>
              <w:rPr>
                <w:rFonts w:cs="Times New Roman"/>
                <w:sz w:val="18"/>
                <w:szCs w:val="18"/>
              </w:rPr>
            </w:pPr>
          </w:p>
        </w:tc>
        <w:tc>
          <w:tcPr>
            <w:tcW w:w="772" w:type="dxa"/>
            <w:vAlign w:val="center"/>
          </w:tcPr>
          <w:p>
            <w:pPr>
              <w:spacing w:line="300" w:lineRule="exact"/>
              <w:jc w:val="right"/>
              <w:rPr>
                <w:rFonts w:cs="Times New Roman"/>
                <w:sz w:val="18"/>
                <w:szCs w:val="18"/>
              </w:rPr>
            </w:pPr>
          </w:p>
        </w:tc>
        <w:tc>
          <w:tcPr>
            <w:tcW w:w="1017" w:type="dxa"/>
            <w:vAlign w:val="center"/>
          </w:tcPr>
          <w:p>
            <w:pPr>
              <w:spacing w:line="300" w:lineRule="exact"/>
              <w:jc w:val="right"/>
              <w:rPr>
                <w:rFonts w:cs="Times New Roman"/>
                <w:sz w:val="18"/>
                <w:szCs w:val="18"/>
              </w:rPr>
            </w:pPr>
          </w:p>
        </w:tc>
        <w:tc>
          <w:tcPr>
            <w:tcW w:w="1059" w:type="dxa"/>
            <w:vAlign w:val="center"/>
          </w:tcPr>
          <w:p>
            <w:pPr>
              <w:jc w:val="right"/>
              <w:rPr>
                <w:rFonts w:ascii="宋体" w:cs="宋体"/>
                <w:sz w:val="18"/>
                <w:szCs w:val="18"/>
              </w:rPr>
            </w:pPr>
            <w:r>
              <w:rPr>
                <w:sz w:val="18"/>
                <w:szCs w:val="18"/>
              </w:rPr>
              <w:t>595.52</w:t>
            </w:r>
          </w:p>
        </w:tc>
        <w:tc>
          <w:tcPr>
            <w:tcW w:w="1179" w:type="dxa"/>
            <w:vAlign w:val="center"/>
          </w:tcPr>
          <w:p>
            <w:pPr>
              <w:jc w:val="right"/>
              <w:rPr>
                <w:sz w:val="18"/>
                <w:szCs w:val="18"/>
              </w:rPr>
            </w:pPr>
            <w:r>
              <w:rPr>
                <w:sz w:val="18"/>
                <w:szCs w:val="18"/>
              </w:rPr>
              <w:t>595.52</w:t>
            </w:r>
          </w:p>
        </w:tc>
        <w:tc>
          <w:tcPr>
            <w:tcW w:w="1236" w:type="dxa"/>
            <w:vAlign w:val="center"/>
          </w:tcPr>
          <w:p>
            <w:pPr>
              <w:jc w:val="right"/>
              <w:rPr>
                <w:rFonts w:ascii="宋体" w:cs="宋体"/>
                <w:sz w:val="18"/>
                <w:szCs w:val="18"/>
              </w:rPr>
            </w:pPr>
            <w:r>
              <w:rPr>
                <w:sz w:val="18"/>
                <w:szCs w:val="18"/>
              </w:rPr>
              <w:t>416.52</w:t>
            </w:r>
          </w:p>
        </w:tc>
        <w:tc>
          <w:tcPr>
            <w:tcW w:w="1169" w:type="dxa"/>
            <w:vAlign w:val="center"/>
          </w:tcPr>
          <w:p>
            <w:pPr>
              <w:spacing w:line="300" w:lineRule="exact"/>
              <w:jc w:val="right"/>
              <w:rPr>
                <w:sz w:val="18"/>
                <w:szCs w:val="18"/>
              </w:rPr>
            </w:pPr>
            <w:r>
              <w:rPr>
                <w:sz w:val="18"/>
                <w:szCs w:val="18"/>
              </w:rPr>
              <w:t>179</w:t>
            </w:r>
          </w:p>
        </w:tc>
        <w:tc>
          <w:tcPr>
            <w:tcW w:w="439" w:type="dxa"/>
            <w:vAlign w:val="center"/>
          </w:tcPr>
          <w:p>
            <w:pPr>
              <w:spacing w:line="300" w:lineRule="exact"/>
              <w:jc w:val="right"/>
              <w:rPr>
                <w:rFonts w:ascii="Times New Roman" w:hAnsi="Times New Roman" w:eastAsia="仿宋" w:cs="Times New Roman"/>
                <w:sz w:val="28"/>
                <w:szCs w:val="28"/>
              </w:rPr>
            </w:pPr>
          </w:p>
        </w:tc>
        <w:tc>
          <w:tcPr>
            <w:tcW w:w="426" w:type="dxa"/>
            <w:vAlign w:val="center"/>
          </w:tcPr>
          <w:p>
            <w:pPr>
              <w:spacing w:line="300" w:lineRule="exact"/>
              <w:jc w:val="right"/>
              <w:rPr>
                <w:rFonts w:ascii="Times New Roman" w:hAnsi="Times New Roman" w:eastAsia="仿宋" w:cs="Times New Roman"/>
                <w:sz w:val="28"/>
                <w:szCs w:val="28"/>
              </w:rPr>
            </w:pPr>
          </w:p>
        </w:tc>
        <w:tc>
          <w:tcPr>
            <w:tcW w:w="425" w:type="dxa"/>
            <w:vAlign w:val="center"/>
          </w:tcPr>
          <w:p>
            <w:pPr>
              <w:spacing w:line="300" w:lineRule="exact"/>
              <w:jc w:val="right"/>
              <w:rPr>
                <w:rFonts w:ascii="Times New Roman" w:hAnsi="Times New Roman" w:eastAsia="仿宋" w:cs="Times New Roman"/>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56" w:type="dxa"/>
            <w:vAlign w:val="center"/>
          </w:tcPr>
          <w:p>
            <w:pPr>
              <w:rPr>
                <w:rFonts w:ascii="宋体" w:cs="宋体"/>
                <w:sz w:val="18"/>
                <w:szCs w:val="18"/>
              </w:rPr>
            </w:pPr>
            <w:r>
              <w:rPr>
                <w:rFonts w:hint="eastAsia"/>
                <w:sz w:val="18"/>
                <w:szCs w:val="18"/>
              </w:rPr>
              <w:t>土地出让金</w:t>
            </w:r>
            <w:r>
              <w:rPr>
                <w:sz w:val="18"/>
                <w:szCs w:val="18"/>
              </w:rPr>
              <w:t>/</w:t>
            </w:r>
            <w:r>
              <w:rPr>
                <w:rFonts w:hint="eastAsia"/>
                <w:sz w:val="18"/>
                <w:szCs w:val="18"/>
              </w:rPr>
              <w:t>指挥中心升级改造</w:t>
            </w:r>
          </w:p>
        </w:tc>
        <w:tc>
          <w:tcPr>
            <w:tcW w:w="850" w:type="dxa"/>
            <w:vAlign w:val="center"/>
          </w:tcPr>
          <w:p>
            <w:pPr>
              <w:jc w:val="right"/>
              <w:rPr>
                <w:rFonts w:ascii="宋体" w:cs="宋体"/>
                <w:sz w:val="18"/>
                <w:szCs w:val="18"/>
              </w:rPr>
            </w:pPr>
            <w:r>
              <w:rPr>
                <w:sz w:val="18"/>
                <w:szCs w:val="18"/>
              </w:rPr>
              <w:t>50</w:t>
            </w:r>
          </w:p>
        </w:tc>
        <w:tc>
          <w:tcPr>
            <w:tcW w:w="1418" w:type="dxa"/>
            <w:vAlign w:val="center"/>
          </w:tcPr>
          <w:p>
            <w:pPr>
              <w:rPr>
                <w:rFonts w:ascii="宋体" w:cs="宋体"/>
                <w:sz w:val="18"/>
                <w:szCs w:val="18"/>
              </w:rPr>
            </w:pPr>
            <w:r>
              <w:rPr>
                <w:rFonts w:hint="eastAsia"/>
                <w:sz w:val="18"/>
                <w:szCs w:val="18"/>
              </w:rPr>
              <w:t>通信网络维护和管理系统</w:t>
            </w:r>
          </w:p>
        </w:tc>
        <w:tc>
          <w:tcPr>
            <w:tcW w:w="959" w:type="dxa"/>
            <w:vAlign w:val="center"/>
          </w:tcPr>
          <w:p>
            <w:pPr>
              <w:rPr>
                <w:rFonts w:ascii="宋体" w:cs="宋体"/>
                <w:sz w:val="18"/>
                <w:szCs w:val="18"/>
              </w:rPr>
            </w:pPr>
            <w:r>
              <w:rPr>
                <w:sz w:val="18"/>
                <w:szCs w:val="18"/>
              </w:rPr>
              <w:t>A020816</w:t>
            </w:r>
          </w:p>
        </w:tc>
        <w:tc>
          <w:tcPr>
            <w:tcW w:w="512" w:type="dxa"/>
            <w:vAlign w:val="center"/>
          </w:tcPr>
          <w:p>
            <w:pPr>
              <w:rPr>
                <w:rFonts w:ascii="宋体" w:cs="宋体"/>
                <w:sz w:val="18"/>
                <w:szCs w:val="18"/>
              </w:rPr>
            </w:pPr>
            <w:r>
              <w:rPr>
                <w:rFonts w:hint="eastAsia"/>
                <w:sz w:val="18"/>
                <w:szCs w:val="18"/>
              </w:rPr>
              <w:t>套</w:t>
            </w:r>
          </w:p>
        </w:tc>
        <w:tc>
          <w:tcPr>
            <w:tcW w:w="772" w:type="dxa"/>
            <w:vAlign w:val="center"/>
          </w:tcPr>
          <w:p>
            <w:pPr>
              <w:jc w:val="right"/>
              <w:rPr>
                <w:rFonts w:ascii="宋体" w:cs="Times New Roman"/>
                <w:sz w:val="18"/>
                <w:szCs w:val="18"/>
              </w:rPr>
            </w:pPr>
            <w:r>
              <w:rPr>
                <w:sz w:val="18"/>
                <w:szCs w:val="18"/>
              </w:rPr>
              <w:t>20.00</w:t>
            </w:r>
          </w:p>
        </w:tc>
        <w:tc>
          <w:tcPr>
            <w:tcW w:w="1017" w:type="dxa"/>
            <w:vAlign w:val="center"/>
          </w:tcPr>
          <w:p>
            <w:pPr>
              <w:jc w:val="right"/>
              <w:rPr>
                <w:rFonts w:ascii="宋体" w:cs="宋体"/>
                <w:sz w:val="18"/>
                <w:szCs w:val="18"/>
              </w:rPr>
            </w:pPr>
            <w:r>
              <w:rPr>
                <w:sz w:val="18"/>
                <w:szCs w:val="18"/>
              </w:rPr>
              <w:t>50</w:t>
            </w:r>
          </w:p>
        </w:tc>
        <w:tc>
          <w:tcPr>
            <w:tcW w:w="1059" w:type="dxa"/>
            <w:vAlign w:val="center"/>
          </w:tcPr>
          <w:p>
            <w:pPr>
              <w:jc w:val="right"/>
              <w:rPr>
                <w:rFonts w:ascii="宋体" w:cs="宋体"/>
                <w:sz w:val="18"/>
                <w:szCs w:val="18"/>
              </w:rPr>
            </w:pPr>
            <w:r>
              <w:rPr>
                <w:sz w:val="18"/>
                <w:szCs w:val="18"/>
              </w:rPr>
              <w:t>50</w:t>
            </w:r>
          </w:p>
        </w:tc>
        <w:tc>
          <w:tcPr>
            <w:tcW w:w="1179" w:type="dxa"/>
            <w:vAlign w:val="center"/>
          </w:tcPr>
          <w:p>
            <w:pPr>
              <w:jc w:val="right"/>
              <w:rPr>
                <w:rFonts w:ascii="宋体" w:cs="宋体"/>
                <w:sz w:val="18"/>
                <w:szCs w:val="18"/>
              </w:rPr>
            </w:pPr>
            <w:r>
              <w:rPr>
                <w:sz w:val="18"/>
                <w:szCs w:val="18"/>
              </w:rPr>
              <w:t>50</w:t>
            </w:r>
          </w:p>
        </w:tc>
        <w:tc>
          <w:tcPr>
            <w:tcW w:w="1236" w:type="dxa"/>
            <w:vAlign w:val="center"/>
          </w:tcPr>
          <w:p>
            <w:pPr>
              <w:jc w:val="right"/>
              <w:rPr>
                <w:rFonts w:ascii="宋体" w:cs="宋体"/>
                <w:sz w:val="18"/>
                <w:szCs w:val="18"/>
              </w:rPr>
            </w:pPr>
          </w:p>
        </w:tc>
        <w:tc>
          <w:tcPr>
            <w:tcW w:w="1169" w:type="dxa"/>
            <w:vAlign w:val="center"/>
          </w:tcPr>
          <w:p>
            <w:pPr>
              <w:spacing w:line="300" w:lineRule="exact"/>
              <w:jc w:val="right"/>
              <w:rPr>
                <w:rFonts w:ascii="方正书宋_GBK" w:eastAsia="方正书宋_GBK" w:cs="Times New Roman"/>
              </w:rPr>
            </w:pPr>
            <w:r>
              <w:rPr>
                <w:rFonts w:ascii="方正书宋_GBK" w:eastAsia="方正书宋_GBK" w:cs="Times New Roman"/>
              </w:rPr>
              <w:t>50</w:t>
            </w:r>
          </w:p>
        </w:tc>
        <w:tc>
          <w:tcPr>
            <w:tcW w:w="439" w:type="dxa"/>
            <w:vAlign w:val="center"/>
          </w:tcPr>
          <w:p>
            <w:pPr>
              <w:spacing w:line="300" w:lineRule="exact"/>
              <w:jc w:val="right"/>
              <w:rPr>
                <w:rFonts w:ascii="方正书宋_GBK" w:eastAsia="方正书宋_GBK" w:cs="Times New Roman"/>
              </w:rPr>
            </w:pPr>
          </w:p>
        </w:tc>
        <w:tc>
          <w:tcPr>
            <w:tcW w:w="426" w:type="dxa"/>
            <w:vAlign w:val="center"/>
          </w:tcPr>
          <w:p>
            <w:pPr>
              <w:spacing w:line="300" w:lineRule="exact"/>
              <w:jc w:val="right"/>
              <w:rPr>
                <w:rFonts w:ascii="方正书宋_GBK" w:eastAsia="方正书宋_GBK" w:cs="Times New Roman"/>
              </w:rPr>
            </w:pPr>
          </w:p>
        </w:tc>
        <w:tc>
          <w:tcPr>
            <w:tcW w:w="425" w:type="dxa"/>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56" w:type="dxa"/>
            <w:vAlign w:val="center"/>
          </w:tcPr>
          <w:p>
            <w:pPr>
              <w:rPr>
                <w:rFonts w:ascii="宋体" w:cs="宋体"/>
                <w:sz w:val="18"/>
                <w:szCs w:val="18"/>
              </w:rPr>
            </w:pPr>
            <w:r>
              <w:rPr>
                <w:rFonts w:hint="eastAsia"/>
                <w:sz w:val="18"/>
                <w:szCs w:val="18"/>
              </w:rPr>
              <w:t>路防工程</w:t>
            </w:r>
          </w:p>
        </w:tc>
        <w:tc>
          <w:tcPr>
            <w:tcW w:w="850" w:type="dxa"/>
            <w:vAlign w:val="center"/>
          </w:tcPr>
          <w:p>
            <w:pPr>
              <w:ind w:right="90"/>
              <w:jc w:val="right"/>
              <w:rPr>
                <w:rFonts w:ascii="宋体" w:cs="宋体"/>
                <w:sz w:val="18"/>
                <w:szCs w:val="18"/>
              </w:rPr>
            </w:pPr>
            <w:r>
              <w:rPr>
                <w:sz w:val="18"/>
                <w:szCs w:val="18"/>
              </w:rPr>
              <w:t>100</w:t>
            </w:r>
          </w:p>
        </w:tc>
        <w:tc>
          <w:tcPr>
            <w:tcW w:w="1418" w:type="dxa"/>
            <w:vAlign w:val="center"/>
          </w:tcPr>
          <w:p>
            <w:pPr>
              <w:rPr>
                <w:rFonts w:ascii="宋体" w:cs="宋体"/>
                <w:sz w:val="18"/>
                <w:szCs w:val="18"/>
              </w:rPr>
            </w:pPr>
            <w:r>
              <w:rPr>
                <w:rFonts w:hint="eastAsia"/>
                <w:sz w:val="18"/>
                <w:szCs w:val="18"/>
              </w:rPr>
              <w:t>交通管理设备</w:t>
            </w:r>
          </w:p>
        </w:tc>
        <w:tc>
          <w:tcPr>
            <w:tcW w:w="959" w:type="dxa"/>
            <w:vAlign w:val="center"/>
          </w:tcPr>
          <w:p>
            <w:pPr>
              <w:rPr>
                <w:rFonts w:ascii="宋体" w:cs="宋体"/>
                <w:sz w:val="18"/>
                <w:szCs w:val="18"/>
              </w:rPr>
            </w:pPr>
            <w:r>
              <w:rPr>
                <w:sz w:val="18"/>
                <w:szCs w:val="18"/>
              </w:rPr>
              <w:t>A032502</w:t>
            </w:r>
          </w:p>
        </w:tc>
        <w:tc>
          <w:tcPr>
            <w:tcW w:w="512" w:type="dxa"/>
            <w:vAlign w:val="center"/>
          </w:tcPr>
          <w:p>
            <w:pPr>
              <w:rPr>
                <w:rFonts w:ascii="宋体" w:cs="宋体"/>
                <w:sz w:val="18"/>
                <w:szCs w:val="18"/>
              </w:rPr>
            </w:pPr>
            <w:r>
              <w:rPr>
                <w:rFonts w:hint="eastAsia"/>
                <w:sz w:val="18"/>
                <w:szCs w:val="18"/>
              </w:rPr>
              <w:t>套</w:t>
            </w:r>
          </w:p>
        </w:tc>
        <w:tc>
          <w:tcPr>
            <w:tcW w:w="772" w:type="dxa"/>
            <w:vAlign w:val="center"/>
          </w:tcPr>
          <w:p>
            <w:pPr>
              <w:jc w:val="right"/>
              <w:rPr>
                <w:rFonts w:ascii="宋体" w:cs="Times New Roman"/>
                <w:sz w:val="18"/>
                <w:szCs w:val="18"/>
              </w:rPr>
            </w:pPr>
            <w:r>
              <w:rPr>
                <w:sz w:val="18"/>
                <w:szCs w:val="18"/>
              </w:rPr>
              <w:t>40.00</w:t>
            </w:r>
          </w:p>
        </w:tc>
        <w:tc>
          <w:tcPr>
            <w:tcW w:w="1017" w:type="dxa"/>
            <w:vAlign w:val="center"/>
          </w:tcPr>
          <w:p>
            <w:pPr>
              <w:jc w:val="right"/>
              <w:rPr>
                <w:rFonts w:ascii="宋体" w:cs="宋体"/>
                <w:sz w:val="18"/>
                <w:szCs w:val="18"/>
              </w:rPr>
            </w:pPr>
            <w:r>
              <w:rPr>
                <w:sz w:val="18"/>
                <w:szCs w:val="18"/>
              </w:rPr>
              <w:t>100</w:t>
            </w:r>
          </w:p>
        </w:tc>
        <w:tc>
          <w:tcPr>
            <w:tcW w:w="1059" w:type="dxa"/>
            <w:vAlign w:val="center"/>
          </w:tcPr>
          <w:p>
            <w:pPr>
              <w:ind w:right="90"/>
              <w:jc w:val="right"/>
              <w:rPr>
                <w:rFonts w:ascii="宋体" w:cs="宋体"/>
                <w:sz w:val="18"/>
                <w:szCs w:val="18"/>
              </w:rPr>
            </w:pPr>
            <w:r>
              <w:rPr>
                <w:sz w:val="18"/>
                <w:szCs w:val="18"/>
              </w:rPr>
              <w:t>100</w:t>
            </w:r>
          </w:p>
        </w:tc>
        <w:tc>
          <w:tcPr>
            <w:tcW w:w="1179" w:type="dxa"/>
            <w:vAlign w:val="center"/>
          </w:tcPr>
          <w:p>
            <w:pPr>
              <w:ind w:right="90"/>
              <w:jc w:val="right"/>
              <w:rPr>
                <w:rFonts w:ascii="宋体" w:cs="宋体"/>
                <w:sz w:val="18"/>
                <w:szCs w:val="18"/>
              </w:rPr>
            </w:pPr>
            <w:r>
              <w:rPr>
                <w:sz w:val="18"/>
                <w:szCs w:val="18"/>
              </w:rPr>
              <w:t>100</w:t>
            </w:r>
          </w:p>
        </w:tc>
        <w:tc>
          <w:tcPr>
            <w:tcW w:w="1236" w:type="dxa"/>
            <w:vAlign w:val="center"/>
          </w:tcPr>
          <w:p>
            <w:pPr>
              <w:ind w:right="90"/>
              <w:jc w:val="right"/>
              <w:rPr>
                <w:rFonts w:ascii="宋体" w:cs="宋体"/>
                <w:sz w:val="18"/>
                <w:szCs w:val="18"/>
              </w:rPr>
            </w:pPr>
            <w:r>
              <w:rPr>
                <w:sz w:val="18"/>
                <w:szCs w:val="18"/>
              </w:rPr>
              <w:t>100</w:t>
            </w:r>
          </w:p>
        </w:tc>
        <w:tc>
          <w:tcPr>
            <w:tcW w:w="1169" w:type="dxa"/>
            <w:vAlign w:val="center"/>
          </w:tcPr>
          <w:p>
            <w:pPr>
              <w:spacing w:line="300" w:lineRule="exact"/>
              <w:jc w:val="right"/>
              <w:rPr>
                <w:rFonts w:ascii="方正书宋_GBK" w:eastAsia="方正书宋_GBK" w:cs="Times New Roman"/>
              </w:rPr>
            </w:pPr>
          </w:p>
        </w:tc>
        <w:tc>
          <w:tcPr>
            <w:tcW w:w="439" w:type="dxa"/>
            <w:vAlign w:val="center"/>
          </w:tcPr>
          <w:p>
            <w:pPr>
              <w:spacing w:line="300" w:lineRule="exact"/>
              <w:jc w:val="right"/>
              <w:rPr>
                <w:rFonts w:ascii="方正书宋_GBK" w:eastAsia="方正书宋_GBK" w:cs="Times New Roman"/>
              </w:rPr>
            </w:pPr>
          </w:p>
        </w:tc>
        <w:tc>
          <w:tcPr>
            <w:tcW w:w="426" w:type="dxa"/>
            <w:vAlign w:val="center"/>
          </w:tcPr>
          <w:p>
            <w:pPr>
              <w:spacing w:line="300" w:lineRule="exact"/>
              <w:jc w:val="right"/>
              <w:rPr>
                <w:rFonts w:ascii="方正书宋_GBK" w:eastAsia="方正书宋_GBK" w:cs="Times New Roman"/>
              </w:rPr>
            </w:pPr>
          </w:p>
        </w:tc>
        <w:tc>
          <w:tcPr>
            <w:tcW w:w="425" w:type="dxa"/>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7" w:hRule="atLeast"/>
          <w:jc w:val="center"/>
        </w:trPr>
        <w:tc>
          <w:tcPr>
            <w:tcW w:w="2656" w:type="dxa"/>
            <w:vAlign w:val="center"/>
          </w:tcPr>
          <w:p>
            <w:pPr>
              <w:rPr>
                <w:rFonts w:ascii="宋体" w:cs="宋体"/>
                <w:sz w:val="18"/>
                <w:szCs w:val="18"/>
              </w:rPr>
            </w:pPr>
            <w:r>
              <w:rPr>
                <w:rFonts w:hint="eastAsia"/>
                <w:sz w:val="18"/>
                <w:szCs w:val="18"/>
              </w:rPr>
              <w:t>扫黑除恶专项资金</w:t>
            </w:r>
          </w:p>
        </w:tc>
        <w:tc>
          <w:tcPr>
            <w:tcW w:w="850" w:type="dxa"/>
            <w:vAlign w:val="center"/>
          </w:tcPr>
          <w:p>
            <w:pPr>
              <w:jc w:val="right"/>
              <w:rPr>
                <w:rFonts w:ascii="宋体" w:cs="宋体"/>
                <w:sz w:val="18"/>
                <w:szCs w:val="18"/>
              </w:rPr>
            </w:pPr>
            <w:r>
              <w:rPr>
                <w:sz w:val="18"/>
                <w:szCs w:val="18"/>
              </w:rPr>
              <w:t>0.30</w:t>
            </w:r>
          </w:p>
        </w:tc>
        <w:tc>
          <w:tcPr>
            <w:tcW w:w="1418" w:type="dxa"/>
            <w:vAlign w:val="center"/>
          </w:tcPr>
          <w:p>
            <w:pPr>
              <w:rPr>
                <w:rFonts w:ascii="宋体" w:cs="宋体"/>
                <w:sz w:val="18"/>
                <w:szCs w:val="18"/>
              </w:rPr>
            </w:pPr>
            <w:r>
              <w:rPr>
                <w:rFonts w:hint="eastAsia"/>
                <w:sz w:val="18"/>
                <w:szCs w:val="18"/>
              </w:rPr>
              <w:t>其他印刷服务</w:t>
            </w:r>
          </w:p>
        </w:tc>
        <w:tc>
          <w:tcPr>
            <w:tcW w:w="959" w:type="dxa"/>
            <w:vAlign w:val="center"/>
          </w:tcPr>
          <w:p>
            <w:pPr>
              <w:rPr>
                <w:rFonts w:ascii="宋体" w:cs="宋体"/>
                <w:sz w:val="18"/>
                <w:szCs w:val="18"/>
              </w:rPr>
            </w:pPr>
            <w:r>
              <w:rPr>
                <w:sz w:val="18"/>
                <w:szCs w:val="18"/>
              </w:rPr>
              <w:t>C08140199</w:t>
            </w:r>
          </w:p>
        </w:tc>
        <w:tc>
          <w:tcPr>
            <w:tcW w:w="512" w:type="dxa"/>
            <w:vAlign w:val="center"/>
          </w:tcPr>
          <w:p>
            <w:pPr>
              <w:rPr>
                <w:rFonts w:ascii="宋体" w:cs="宋体"/>
                <w:sz w:val="18"/>
                <w:szCs w:val="18"/>
              </w:rPr>
            </w:pPr>
            <w:r>
              <w:rPr>
                <w:rFonts w:hint="eastAsia"/>
                <w:sz w:val="18"/>
                <w:szCs w:val="18"/>
              </w:rPr>
              <w:t>次</w:t>
            </w:r>
          </w:p>
        </w:tc>
        <w:tc>
          <w:tcPr>
            <w:tcW w:w="772" w:type="dxa"/>
            <w:vAlign w:val="center"/>
          </w:tcPr>
          <w:p>
            <w:pPr>
              <w:jc w:val="right"/>
              <w:rPr>
                <w:rFonts w:ascii="宋体" w:cs="Times New Roman"/>
                <w:sz w:val="18"/>
                <w:szCs w:val="18"/>
              </w:rPr>
            </w:pPr>
            <w:r>
              <w:rPr>
                <w:sz w:val="18"/>
                <w:szCs w:val="18"/>
              </w:rPr>
              <w:t>40.00</w:t>
            </w:r>
          </w:p>
        </w:tc>
        <w:tc>
          <w:tcPr>
            <w:tcW w:w="1017" w:type="dxa"/>
            <w:vAlign w:val="center"/>
          </w:tcPr>
          <w:p>
            <w:pPr>
              <w:jc w:val="right"/>
              <w:rPr>
                <w:rFonts w:ascii="宋体" w:cs="宋体"/>
                <w:sz w:val="18"/>
                <w:szCs w:val="18"/>
              </w:rPr>
            </w:pPr>
            <w:r>
              <w:rPr>
                <w:sz w:val="18"/>
                <w:szCs w:val="18"/>
              </w:rPr>
              <w:t>150</w:t>
            </w:r>
          </w:p>
        </w:tc>
        <w:tc>
          <w:tcPr>
            <w:tcW w:w="1059" w:type="dxa"/>
            <w:vAlign w:val="center"/>
          </w:tcPr>
          <w:p>
            <w:pPr>
              <w:jc w:val="right"/>
              <w:rPr>
                <w:rFonts w:ascii="宋体" w:cs="宋体"/>
                <w:sz w:val="18"/>
                <w:szCs w:val="18"/>
              </w:rPr>
            </w:pPr>
            <w:r>
              <w:rPr>
                <w:sz w:val="18"/>
                <w:szCs w:val="18"/>
              </w:rPr>
              <w:t>0.30</w:t>
            </w:r>
          </w:p>
        </w:tc>
        <w:tc>
          <w:tcPr>
            <w:tcW w:w="1179" w:type="dxa"/>
            <w:vAlign w:val="center"/>
          </w:tcPr>
          <w:p>
            <w:pPr>
              <w:jc w:val="right"/>
              <w:rPr>
                <w:rFonts w:ascii="宋体" w:cs="宋体"/>
                <w:sz w:val="18"/>
                <w:szCs w:val="18"/>
              </w:rPr>
            </w:pPr>
            <w:r>
              <w:rPr>
                <w:sz w:val="18"/>
                <w:szCs w:val="18"/>
              </w:rPr>
              <w:t>0.30</w:t>
            </w:r>
          </w:p>
        </w:tc>
        <w:tc>
          <w:tcPr>
            <w:tcW w:w="1236" w:type="dxa"/>
            <w:vAlign w:val="center"/>
          </w:tcPr>
          <w:p>
            <w:pPr>
              <w:jc w:val="right"/>
              <w:rPr>
                <w:rFonts w:ascii="宋体" w:cs="宋体"/>
                <w:sz w:val="18"/>
                <w:szCs w:val="18"/>
              </w:rPr>
            </w:pPr>
            <w:r>
              <w:rPr>
                <w:sz w:val="18"/>
                <w:szCs w:val="18"/>
              </w:rPr>
              <w:t>0.30</w:t>
            </w:r>
          </w:p>
        </w:tc>
        <w:tc>
          <w:tcPr>
            <w:tcW w:w="1169" w:type="dxa"/>
            <w:vAlign w:val="center"/>
          </w:tcPr>
          <w:p>
            <w:pPr>
              <w:spacing w:line="300" w:lineRule="exact"/>
              <w:jc w:val="right"/>
              <w:rPr>
                <w:rFonts w:ascii="方正书宋_GBK" w:eastAsia="方正书宋_GBK" w:cs="Times New Roman"/>
              </w:rPr>
            </w:pPr>
          </w:p>
        </w:tc>
        <w:tc>
          <w:tcPr>
            <w:tcW w:w="439" w:type="dxa"/>
            <w:vAlign w:val="center"/>
          </w:tcPr>
          <w:p>
            <w:pPr>
              <w:spacing w:line="300" w:lineRule="exact"/>
              <w:jc w:val="right"/>
              <w:rPr>
                <w:rFonts w:ascii="方正书宋_GBK" w:eastAsia="方正书宋_GBK" w:cs="Times New Roman"/>
              </w:rPr>
            </w:pPr>
          </w:p>
        </w:tc>
        <w:tc>
          <w:tcPr>
            <w:tcW w:w="426" w:type="dxa"/>
            <w:vAlign w:val="center"/>
          </w:tcPr>
          <w:p>
            <w:pPr>
              <w:spacing w:line="300" w:lineRule="exact"/>
              <w:jc w:val="right"/>
              <w:rPr>
                <w:rFonts w:ascii="方正书宋_GBK" w:eastAsia="方正书宋_GBK" w:cs="Times New Roman"/>
              </w:rPr>
            </w:pPr>
          </w:p>
        </w:tc>
        <w:tc>
          <w:tcPr>
            <w:tcW w:w="425" w:type="dxa"/>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8" w:hRule="atLeast"/>
          <w:jc w:val="center"/>
        </w:trPr>
        <w:tc>
          <w:tcPr>
            <w:tcW w:w="2656" w:type="dxa"/>
            <w:vAlign w:val="center"/>
          </w:tcPr>
          <w:p>
            <w:pPr>
              <w:rPr>
                <w:rFonts w:ascii="宋体" w:cs="宋体"/>
                <w:sz w:val="18"/>
                <w:szCs w:val="18"/>
              </w:rPr>
            </w:pPr>
            <w:r>
              <w:rPr>
                <w:rFonts w:hint="eastAsia"/>
                <w:sz w:val="18"/>
                <w:szCs w:val="18"/>
              </w:rPr>
              <w:t>冀财政法</w:t>
            </w:r>
            <w:r>
              <w:rPr>
                <w:sz w:val="18"/>
                <w:szCs w:val="18"/>
              </w:rPr>
              <w:t>[2019]22</w:t>
            </w:r>
            <w:r>
              <w:rPr>
                <w:rFonts w:hint="eastAsia"/>
                <w:sz w:val="18"/>
                <w:szCs w:val="18"/>
              </w:rPr>
              <w:t>号</w:t>
            </w:r>
            <w:r>
              <w:rPr>
                <w:sz w:val="18"/>
                <w:szCs w:val="18"/>
              </w:rPr>
              <w:t>/</w:t>
            </w:r>
            <w:r>
              <w:rPr>
                <w:rFonts w:hint="eastAsia"/>
                <w:sz w:val="18"/>
                <w:szCs w:val="18"/>
              </w:rPr>
              <w:t>提前下达</w:t>
            </w:r>
            <w:r>
              <w:rPr>
                <w:sz w:val="18"/>
                <w:szCs w:val="18"/>
              </w:rPr>
              <w:t>2020</w:t>
            </w:r>
            <w:r>
              <w:rPr>
                <w:rFonts w:hint="eastAsia"/>
                <w:sz w:val="18"/>
                <w:szCs w:val="18"/>
              </w:rPr>
              <w:t>年中央政法纪检监察转移支付资金</w:t>
            </w:r>
            <w:r>
              <w:rPr>
                <w:sz w:val="18"/>
                <w:szCs w:val="18"/>
              </w:rPr>
              <w:t>/</w:t>
            </w:r>
            <w:r>
              <w:rPr>
                <w:rFonts w:hint="eastAsia"/>
                <w:sz w:val="18"/>
                <w:szCs w:val="18"/>
              </w:rPr>
              <w:t>业务经费</w:t>
            </w:r>
          </w:p>
        </w:tc>
        <w:tc>
          <w:tcPr>
            <w:tcW w:w="850" w:type="dxa"/>
            <w:vAlign w:val="center"/>
          </w:tcPr>
          <w:p>
            <w:pPr>
              <w:jc w:val="right"/>
              <w:rPr>
                <w:rFonts w:ascii="宋体" w:cs="宋体"/>
                <w:sz w:val="18"/>
                <w:szCs w:val="18"/>
              </w:rPr>
            </w:pPr>
            <w:r>
              <w:rPr>
                <w:sz w:val="18"/>
                <w:szCs w:val="18"/>
              </w:rPr>
              <w:t>3.7</w:t>
            </w:r>
          </w:p>
        </w:tc>
        <w:tc>
          <w:tcPr>
            <w:tcW w:w="1418" w:type="dxa"/>
            <w:vAlign w:val="center"/>
          </w:tcPr>
          <w:p>
            <w:pPr>
              <w:rPr>
                <w:rFonts w:ascii="宋体" w:cs="宋体"/>
                <w:sz w:val="18"/>
                <w:szCs w:val="18"/>
              </w:rPr>
            </w:pPr>
            <w:r>
              <w:rPr>
                <w:rFonts w:hint="eastAsia"/>
                <w:sz w:val="18"/>
                <w:szCs w:val="18"/>
              </w:rPr>
              <w:t>其他印刷服务</w:t>
            </w:r>
          </w:p>
        </w:tc>
        <w:tc>
          <w:tcPr>
            <w:tcW w:w="959" w:type="dxa"/>
            <w:vAlign w:val="center"/>
          </w:tcPr>
          <w:p>
            <w:pPr>
              <w:rPr>
                <w:rFonts w:ascii="宋体" w:cs="宋体"/>
                <w:sz w:val="18"/>
                <w:szCs w:val="18"/>
              </w:rPr>
            </w:pPr>
            <w:r>
              <w:rPr>
                <w:sz w:val="18"/>
                <w:szCs w:val="18"/>
              </w:rPr>
              <w:t>C08140199</w:t>
            </w:r>
          </w:p>
        </w:tc>
        <w:tc>
          <w:tcPr>
            <w:tcW w:w="512" w:type="dxa"/>
            <w:vAlign w:val="center"/>
          </w:tcPr>
          <w:p>
            <w:pPr>
              <w:rPr>
                <w:rFonts w:ascii="宋体" w:cs="宋体"/>
                <w:sz w:val="18"/>
                <w:szCs w:val="18"/>
              </w:rPr>
            </w:pPr>
            <w:r>
              <w:rPr>
                <w:rFonts w:hint="eastAsia"/>
                <w:sz w:val="18"/>
                <w:szCs w:val="18"/>
              </w:rPr>
              <w:t>次</w:t>
            </w:r>
          </w:p>
        </w:tc>
        <w:tc>
          <w:tcPr>
            <w:tcW w:w="772" w:type="dxa"/>
            <w:vAlign w:val="center"/>
          </w:tcPr>
          <w:p>
            <w:pPr>
              <w:jc w:val="right"/>
              <w:rPr>
                <w:rFonts w:ascii="宋体" w:cs="Times New Roman"/>
                <w:sz w:val="18"/>
                <w:szCs w:val="18"/>
              </w:rPr>
            </w:pPr>
            <w:r>
              <w:rPr>
                <w:sz w:val="18"/>
                <w:szCs w:val="18"/>
              </w:rPr>
              <w:t>100.00</w:t>
            </w:r>
          </w:p>
        </w:tc>
        <w:tc>
          <w:tcPr>
            <w:tcW w:w="1017" w:type="dxa"/>
            <w:vAlign w:val="center"/>
          </w:tcPr>
          <w:p>
            <w:pPr>
              <w:jc w:val="right"/>
              <w:rPr>
                <w:rFonts w:ascii="宋体" w:cs="宋体"/>
                <w:sz w:val="18"/>
                <w:szCs w:val="18"/>
              </w:rPr>
            </w:pPr>
            <w:r>
              <w:rPr>
                <w:sz w:val="18"/>
                <w:szCs w:val="18"/>
              </w:rPr>
              <w:t>0.18</w:t>
            </w:r>
          </w:p>
        </w:tc>
        <w:tc>
          <w:tcPr>
            <w:tcW w:w="1059" w:type="dxa"/>
            <w:vAlign w:val="center"/>
          </w:tcPr>
          <w:p>
            <w:pPr>
              <w:jc w:val="right"/>
              <w:rPr>
                <w:rFonts w:ascii="宋体" w:cs="宋体"/>
                <w:sz w:val="18"/>
                <w:szCs w:val="18"/>
              </w:rPr>
            </w:pPr>
            <w:r>
              <w:rPr>
                <w:sz w:val="18"/>
                <w:szCs w:val="18"/>
              </w:rPr>
              <w:t>3.7</w:t>
            </w:r>
          </w:p>
        </w:tc>
        <w:tc>
          <w:tcPr>
            <w:tcW w:w="1179" w:type="dxa"/>
            <w:vAlign w:val="center"/>
          </w:tcPr>
          <w:p>
            <w:pPr>
              <w:jc w:val="right"/>
              <w:rPr>
                <w:rFonts w:ascii="宋体" w:cs="宋体"/>
                <w:sz w:val="18"/>
                <w:szCs w:val="18"/>
              </w:rPr>
            </w:pPr>
            <w:r>
              <w:rPr>
                <w:sz w:val="18"/>
                <w:szCs w:val="18"/>
              </w:rPr>
              <w:t>3.7</w:t>
            </w:r>
          </w:p>
        </w:tc>
        <w:tc>
          <w:tcPr>
            <w:tcW w:w="1236" w:type="dxa"/>
            <w:vAlign w:val="center"/>
          </w:tcPr>
          <w:p>
            <w:pPr>
              <w:jc w:val="right"/>
              <w:rPr>
                <w:rFonts w:ascii="宋体" w:cs="宋体"/>
                <w:sz w:val="18"/>
                <w:szCs w:val="18"/>
              </w:rPr>
            </w:pPr>
            <w:r>
              <w:rPr>
                <w:sz w:val="18"/>
                <w:szCs w:val="18"/>
              </w:rPr>
              <w:t>3.7</w:t>
            </w:r>
          </w:p>
        </w:tc>
        <w:tc>
          <w:tcPr>
            <w:tcW w:w="1169" w:type="dxa"/>
            <w:vAlign w:val="center"/>
          </w:tcPr>
          <w:p>
            <w:pPr>
              <w:spacing w:line="300" w:lineRule="exact"/>
              <w:jc w:val="right"/>
              <w:rPr>
                <w:rFonts w:ascii="方正书宋_GBK" w:eastAsia="方正书宋_GBK" w:cs="Times New Roman"/>
              </w:rPr>
            </w:pPr>
          </w:p>
        </w:tc>
        <w:tc>
          <w:tcPr>
            <w:tcW w:w="439" w:type="dxa"/>
            <w:vAlign w:val="center"/>
          </w:tcPr>
          <w:p>
            <w:pPr>
              <w:spacing w:line="300" w:lineRule="exact"/>
              <w:jc w:val="right"/>
              <w:rPr>
                <w:rFonts w:ascii="方正书宋_GBK" w:eastAsia="方正书宋_GBK" w:cs="Times New Roman"/>
              </w:rPr>
            </w:pPr>
          </w:p>
        </w:tc>
        <w:tc>
          <w:tcPr>
            <w:tcW w:w="426" w:type="dxa"/>
            <w:vAlign w:val="center"/>
          </w:tcPr>
          <w:p>
            <w:pPr>
              <w:spacing w:line="300" w:lineRule="exact"/>
              <w:jc w:val="right"/>
              <w:rPr>
                <w:rFonts w:ascii="方正书宋_GBK" w:eastAsia="方正书宋_GBK" w:cs="Times New Roman"/>
              </w:rPr>
            </w:pPr>
          </w:p>
        </w:tc>
        <w:tc>
          <w:tcPr>
            <w:tcW w:w="425" w:type="dxa"/>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2" w:hRule="atLeast"/>
          <w:jc w:val="center"/>
        </w:trPr>
        <w:tc>
          <w:tcPr>
            <w:tcW w:w="2656" w:type="dxa"/>
            <w:vAlign w:val="center"/>
          </w:tcPr>
          <w:p>
            <w:pPr>
              <w:rPr>
                <w:rFonts w:ascii="宋体" w:cs="宋体"/>
                <w:sz w:val="18"/>
                <w:szCs w:val="18"/>
              </w:rPr>
            </w:pPr>
            <w:r>
              <w:rPr>
                <w:rFonts w:hint="eastAsia"/>
                <w:sz w:val="18"/>
                <w:szCs w:val="18"/>
              </w:rPr>
              <w:t>事故科停车场、车管所办案业务场所租赁费</w:t>
            </w:r>
          </w:p>
        </w:tc>
        <w:tc>
          <w:tcPr>
            <w:tcW w:w="850" w:type="dxa"/>
            <w:vAlign w:val="center"/>
          </w:tcPr>
          <w:p>
            <w:pPr>
              <w:jc w:val="right"/>
              <w:rPr>
                <w:rFonts w:ascii="宋体" w:cs="宋体"/>
                <w:sz w:val="18"/>
                <w:szCs w:val="18"/>
              </w:rPr>
            </w:pPr>
            <w:r>
              <w:rPr>
                <w:sz w:val="18"/>
                <w:szCs w:val="18"/>
              </w:rPr>
              <w:t>31.8</w:t>
            </w:r>
          </w:p>
        </w:tc>
        <w:tc>
          <w:tcPr>
            <w:tcW w:w="1418" w:type="dxa"/>
            <w:vAlign w:val="center"/>
          </w:tcPr>
          <w:p>
            <w:pPr>
              <w:rPr>
                <w:rFonts w:ascii="宋体" w:cs="宋体"/>
                <w:sz w:val="18"/>
                <w:szCs w:val="18"/>
              </w:rPr>
            </w:pPr>
            <w:r>
              <w:rPr>
                <w:rFonts w:hint="eastAsia"/>
                <w:sz w:val="18"/>
                <w:szCs w:val="18"/>
              </w:rPr>
              <w:t>其他租赁服务</w:t>
            </w:r>
          </w:p>
        </w:tc>
        <w:tc>
          <w:tcPr>
            <w:tcW w:w="959" w:type="dxa"/>
            <w:vAlign w:val="center"/>
          </w:tcPr>
          <w:p>
            <w:pPr>
              <w:rPr>
                <w:rFonts w:ascii="宋体" w:cs="宋体"/>
                <w:sz w:val="18"/>
                <w:szCs w:val="18"/>
              </w:rPr>
            </w:pPr>
            <w:r>
              <w:rPr>
                <w:sz w:val="18"/>
                <w:szCs w:val="18"/>
              </w:rPr>
              <w:t>C0499</w:t>
            </w:r>
          </w:p>
        </w:tc>
        <w:tc>
          <w:tcPr>
            <w:tcW w:w="512" w:type="dxa"/>
            <w:vAlign w:val="center"/>
          </w:tcPr>
          <w:p>
            <w:pPr>
              <w:rPr>
                <w:rFonts w:ascii="宋体" w:cs="宋体"/>
                <w:sz w:val="18"/>
                <w:szCs w:val="18"/>
              </w:rPr>
            </w:pPr>
            <w:r>
              <w:rPr>
                <w:rFonts w:hint="eastAsia"/>
                <w:sz w:val="18"/>
                <w:szCs w:val="18"/>
              </w:rPr>
              <w:t>年</w:t>
            </w:r>
          </w:p>
        </w:tc>
        <w:tc>
          <w:tcPr>
            <w:tcW w:w="772" w:type="dxa"/>
            <w:vAlign w:val="center"/>
          </w:tcPr>
          <w:p>
            <w:pPr>
              <w:jc w:val="right"/>
              <w:rPr>
                <w:rFonts w:ascii="宋体" w:cs="Times New Roman"/>
                <w:sz w:val="18"/>
                <w:szCs w:val="18"/>
              </w:rPr>
            </w:pPr>
            <w:r>
              <w:rPr>
                <w:sz w:val="18"/>
                <w:szCs w:val="18"/>
              </w:rPr>
              <w:t>20.00</w:t>
            </w:r>
          </w:p>
        </w:tc>
        <w:tc>
          <w:tcPr>
            <w:tcW w:w="1017" w:type="dxa"/>
            <w:vAlign w:val="center"/>
          </w:tcPr>
          <w:p>
            <w:pPr>
              <w:jc w:val="right"/>
              <w:rPr>
                <w:rFonts w:ascii="宋体" w:cs="宋体"/>
                <w:sz w:val="18"/>
                <w:szCs w:val="18"/>
              </w:rPr>
            </w:pPr>
            <w:r>
              <w:rPr>
                <w:sz w:val="18"/>
                <w:szCs w:val="18"/>
              </w:rPr>
              <w:t>31</w:t>
            </w:r>
            <w:r>
              <w:rPr>
                <w:rFonts w:hint="eastAsia"/>
                <w:sz w:val="18"/>
                <w:szCs w:val="18"/>
              </w:rPr>
              <w:t>．</w:t>
            </w:r>
            <w:r>
              <w:rPr>
                <w:sz w:val="18"/>
                <w:szCs w:val="18"/>
              </w:rPr>
              <w:t>8</w:t>
            </w:r>
          </w:p>
        </w:tc>
        <w:tc>
          <w:tcPr>
            <w:tcW w:w="1059" w:type="dxa"/>
            <w:vAlign w:val="center"/>
          </w:tcPr>
          <w:p>
            <w:pPr>
              <w:jc w:val="right"/>
              <w:rPr>
                <w:rFonts w:ascii="宋体" w:cs="宋体"/>
                <w:sz w:val="18"/>
                <w:szCs w:val="18"/>
              </w:rPr>
            </w:pPr>
            <w:r>
              <w:rPr>
                <w:sz w:val="18"/>
                <w:szCs w:val="18"/>
              </w:rPr>
              <w:t>31.8</w:t>
            </w:r>
          </w:p>
        </w:tc>
        <w:tc>
          <w:tcPr>
            <w:tcW w:w="1179" w:type="dxa"/>
            <w:vAlign w:val="center"/>
          </w:tcPr>
          <w:p>
            <w:pPr>
              <w:jc w:val="right"/>
              <w:rPr>
                <w:rFonts w:ascii="宋体" w:cs="宋体"/>
                <w:sz w:val="18"/>
                <w:szCs w:val="18"/>
              </w:rPr>
            </w:pPr>
            <w:r>
              <w:rPr>
                <w:sz w:val="18"/>
                <w:szCs w:val="18"/>
              </w:rPr>
              <w:t>31.8</w:t>
            </w:r>
          </w:p>
        </w:tc>
        <w:tc>
          <w:tcPr>
            <w:tcW w:w="1236" w:type="dxa"/>
            <w:vAlign w:val="center"/>
          </w:tcPr>
          <w:p>
            <w:pPr>
              <w:jc w:val="right"/>
              <w:rPr>
                <w:rFonts w:ascii="宋体" w:cs="宋体"/>
                <w:sz w:val="18"/>
                <w:szCs w:val="18"/>
              </w:rPr>
            </w:pPr>
            <w:r>
              <w:rPr>
                <w:sz w:val="18"/>
                <w:szCs w:val="18"/>
              </w:rPr>
              <w:t>31.8</w:t>
            </w:r>
          </w:p>
        </w:tc>
        <w:tc>
          <w:tcPr>
            <w:tcW w:w="1169" w:type="dxa"/>
            <w:vAlign w:val="center"/>
          </w:tcPr>
          <w:p>
            <w:pPr>
              <w:spacing w:line="300" w:lineRule="exact"/>
              <w:jc w:val="right"/>
              <w:rPr>
                <w:rFonts w:ascii="方正书宋_GBK" w:eastAsia="方正书宋_GBK" w:cs="Times New Roman"/>
              </w:rPr>
            </w:pPr>
          </w:p>
        </w:tc>
        <w:tc>
          <w:tcPr>
            <w:tcW w:w="439" w:type="dxa"/>
            <w:vAlign w:val="center"/>
          </w:tcPr>
          <w:p>
            <w:pPr>
              <w:spacing w:line="300" w:lineRule="exact"/>
              <w:jc w:val="right"/>
              <w:rPr>
                <w:rFonts w:ascii="方正书宋_GBK" w:eastAsia="方正书宋_GBK" w:cs="Times New Roman"/>
              </w:rPr>
            </w:pPr>
          </w:p>
        </w:tc>
        <w:tc>
          <w:tcPr>
            <w:tcW w:w="426" w:type="dxa"/>
            <w:vAlign w:val="center"/>
          </w:tcPr>
          <w:p>
            <w:pPr>
              <w:spacing w:line="300" w:lineRule="exact"/>
              <w:jc w:val="right"/>
              <w:rPr>
                <w:rFonts w:ascii="方正书宋_GBK" w:eastAsia="方正书宋_GBK" w:cs="Times New Roman"/>
              </w:rPr>
            </w:pPr>
          </w:p>
        </w:tc>
        <w:tc>
          <w:tcPr>
            <w:tcW w:w="425" w:type="dxa"/>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56" w:type="dxa"/>
            <w:vAlign w:val="center"/>
          </w:tcPr>
          <w:p>
            <w:pPr>
              <w:rPr>
                <w:rFonts w:ascii="宋体" w:cs="宋体"/>
                <w:sz w:val="18"/>
                <w:szCs w:val="18"/>
              </w:rPr>
            </w:pPr>
            <w:r>
              <w:rPr>
                <w:rFonts w:hint="eastAsia"/>
                <w:sz w:val="18"/>
                <w:szCs w:val="18"/>
              </w:rPr>
              <w:t>冀财政法</w:t>
            </w:r>
            <w:r>
              <w:rPr>
                <w:sz w:val="18"/>
                <w:szCs w:val="18"/>
              </w:rPr>
              <w:t>[2019]22</w:t>
            </w:r>
            <w:r>
              <w:rPr>
                <w:rFonts w:hint="eastAsia"/>
                <w:sz w:val="18"/>
                <w:szCs w:val="18"/>
              </w:rPr>
              <w:t>号</w:t>
            </w:r>
            <w:r>
              <w:rPr>
                <w:sz w:val="18"/>
                <w:szCs w:val="18"/>
              </w:rPr>
              <w:t>/</w:t>
            </w:r>
            <w:r>
              <w:rPr>
                <w:rFonts w:hint="eastAsia"/>
                <w:sz w:val="18"/>
                <w:szCs w:val="18"/>
              </w:rPr>
              <w:t>提前下达</w:t>
            </w:r>
            <w:r>
              <w:rPr>
                <w:sz w:val="18"/>
                <w:szCs w:val="18"/>
              </w:rPr>
              <w:t>2020</w:t>
            </w:r>
            <w:r>
              <w:rPr>
                <w:rFonts w:hint="eastAsia"/>
                <w:sz w:val="18"/>
                <w:szCs w:val="18"/>
              </w:rPr>
              <w:t>年中央政法纪检监察转移支付资金</w:t>
            </w:r>
            <w:r>
              <w:rPr>
                <w:sz w:val="18"/>
                <w:szCs w:val="18"/>
              </w:rPr>
              <w:t>/</w:t>
            </w:r>
            <w:r>
              <w:rPr>
                <w:rFonts w:hint="eastAsia"/>
                <w:sz w:val="18"/>
                <w:szCs w:val="18"/>
              </w:rPr>
              <w:t>装备</w:t>
            </w:r>
          </w:p>
        </w:tc>
        <w:tc>
          <w:tcPr>
            <w:tcW w:w="850" w:type="dxa"/>
            <w:vAlign w:val="center"/>
          </w:tcPr>
          <w:p>
            <w:pPr>
              <w:jc w:val="right"/>
              <w:rPr>
                <w:rFonts w:ascii="宋体" w:cs="宋体"/>
                <w:sz w:val="18"/>
                <w:szCs w:val="18"/>
              </w:rPr>
            </w:pPr>
            <w:r>
              <w:rPr>
                <w:sz w:val="18"/>
                <w:szCs w:val="18"/>
              </w:rPr>
              <w:t>42.34</w:t>
            </w:r>
          </w:p>
        </w:tc>
        <w:tc>
          <w:tcPr>
            <w:tcW w:w="1418" w:type="dxa"/>
            <w:vAlign w:val="center"/>
          </w:tcPr>
          <w:p>
            <w:pPr>
              <w:rPr>
                <w:rFonts w:ascii="宋体" w:cs="宋体"/>
                <w:sz w:val="18"/>
                <w:szCs w:val="18"/>
              </w:rPr>
            </w:pPr>
            <w:r>
              <w:rPr>
                <w:rFonts w:hint="eastAsia"/>
                <w:sz w:val="18"/>
                <w:szCs w:val="18"/>
              </w:rPr>
              <w:t>交通管理设备</w:t>
            </w:r>
          </w:p>
        </w:tc>
        <w:tc>
          <w:tcPr>
            <w:tcW w:w="959" w:type="dxa"/>
            <w:vAlign w:val="center"/>
          </w:tcPr>
          <w:p>
            <w:pPr>
              <w:rPr>
                <w:rFonts w:ascii="宋体" w:cs="宋体"/>
                <w:sz w:val="18"/>
                <w:szCs w:val="18"/>
              </w:rPr>
            </w:pPr>
            <w:r>
              <w:rPr>
                <w:sz w:val="18"/>
                <w:szCs w:val="18"/>
              </w:rPr>
              <w:t>A032502</w:t>
            </w:r>
          </w:p>
        </w:tc>
        <w:tc>
          <w:tcPr>
            <w:tcW w:w="512" w:type="dxa"/>
            <w:vAlign w:val="center"/>
          </w:tcPr>
          <w:p>
            <w:pPr>
              <w:rPr>
                <w:rFonts w:ascii="宋体" w:cs="宋体"/>
                <w:sz w:val="18"/>
                <w:szCs w:val="18"/>
              </w:rPr>
            </w:pPr>
            <w:r>
              <w:rPr>
                <w:rFonts w:hint="eastAsia"/>
                <w:sz w:val="18"/>
                <w:szCs w:val="18"/>
              </w:rPr>
              <w:t>个</w:t>
            </w:r>
          </w:p>
        </w:tc>
        <w:tc>
          <w:tcPr>
            <w:tcW w:w="772" w:type="dxa"/>
            <w:vAlign w:val="center"/>
          </w:tcPr>
          <w:p>
            <w:pPr>
              <w:jc w:val="right"/>
              <w:rPr>
                <w:rFonts w:ascii="宋体" w:cs="Times New Roman"/>
                <w:sz w:val="18"/>
                <w:szCs w:val="18"/>
              </w:rPr>
            </w:pPr>
            <w:r>
              <w:rPr>
                <w:sz w:val="18"/>
                <w:szCs w:val="18"/>
              </w:rPr>
              <w:t>1.00</w:t>
            </w:r>
          </w:p>
        </w:tc>
        <w:tc>
          <w:tcPr>
            <w:tcW w:w="1017" w:type="dxa"/>
            <w:vAlign w:val="center"/>
          </w:tcPr>
          <w:p>
            <w:pPr>
              <w:jc w:val="right"/>
              <w:rPr>
                <w:rFonts w:ascii="宋体" w:cs="宋体"/>
                <w:sz w:val="18"/>
                <w:szCs w:val="18"/>
              </w:rPr>
            </w:pPr>
            <w:r>
              <w:rPr>
                <w:sz w:val="18"/>
                <w:szCs w:val="18"/>
              </w:rPr>
              <w:t>0</w:t>
            </w:r>
            <w:r>
              <w:rPr>
                <w:rFonts w:hint="eastAsia"/>
                <w:sz w:val="18"/>
                <w:szCs w:val="18"/>
              </w:rPr>
              <w:t>，</w:t>
            </w:r>
            <w:r>
              <w:rPr>
                <w:sz w:val="18"/>
                <w:szCs w:val="18"/>
              </w:rPr>
              <w:t>14</w:t>
            </w:r>
          </w:p>
        </w:tc>
        <w:tc>
          <w:tcPr>
            <w:tcW w:w="1059" w:type="dxa"/>
            <w:vAlign w:val="center"/>
          </w:tcPr>
          <w:p>
            <w:pPr>
              <w:jc w:val="right"/>
              <w:rPr>
                <w:rFonts w:ascii="宋体" w:cs="宋体"/>
                <w:sz w:val="18"/>
                <w:szCs w:val="18"/>
              </w:rPr>
            </w:pPr>
            <w:r>
              <w:rPr>
                <w:sz w:val="18"/>
                <w:szCs w:val="18"/>
              </w:rPr>
              <w:t>42.34</w:t>
            </w:r>
          </w:p>
        </w:tc>
        <w:tc>
          <w:tcPr>
            <w:tcW w:w="1179" w:type="dxa"/>
            <w:vAlign w:val="center"/>
          </w:tcPr>
          <w:p>
            <w:pPr>
              <w:jc w:val="right"/>
              <w:rPr>
                <w:rFonts w:ascii="宋体" w:cs="宋体"/>
                <w:sz w:val="18"/>
                <w:szCs w:val="18"/>
              </w:rPr>
            </w:pPr>
            <w:r>
              <w:rPr>
                <w:sz w:val="18"/>
                <w:szCs w:val="18"/>
              </w:rPr>
              <w:t>42.34</w:t>
            </w:r>
          </w:p>
        </w:tc>
        <w:tc>
          <w:tcPr>
            <w:tcW w:w="1236" w:type="dxa"/>
            <w:vAlign w:val="center"/>
          </w:tcPr>
          <w:p>
            <w:pPr>
              <w:jc w:val="right"/>
              <w:rPr>
                <w:rFonts w:ascii="宋体" w:cs="宋体"/>
                <w:sz w:val="18"/>
                <w:szCs w:val="18"/>
              </w:rPr>
            </w:pPr>
            <w:r>
              <w:rPr>
                <w:sz w:val="18"/>
                <w:szCs w:val="18"/>
              </w:rPr>
              <w:t>42.34</w:t>
            </w:r>
          </w:p>
        </w:tc>
        <w:tc>
          <w:tcPr>
            <w:tcW w:w="1169" w:type="dxa"/>
            <w:vAlign w:val="center"/>
          </w:tcPr>
          <w:p>
            <w:pPr>
              <w:spacing w:line="300" w:lineRule="exact"/>
              <w:jc w:val="right"/>
              <w:rPr>
                <w:rFonts w:ascii="方正书宋_GBK" w:eastAsia="方正书宋_GBK" w:cs="Times New Roman"/>
              </w:rPr>
            </w:pPr>
          </w:p>
        </w:tc>
        <w:tc>
          <w:tcPr>
            <w:tcW w:w="439" w:type="dxa"/>
            <w:vAlign w:val="center"/>
          </w:tcPr>
          <w:p>
            <w:pPr>
              <w:spacing w:line="300" w:lineRule="exact"/>
              <w:jc w:val="right"/>
              <w:rPr>
                <w:rFonts w:ascii="方正书宋_GBK" w:eastAsia="方正书宋_GBK" w:cs="Times New Roman"/>
              </w:rPr>
            </w:pPr>
          </w:p>
        </w:tc>
        <w:tc>
          <w:tcPr>
            <w:tcW w:w="426" w:type="dxa"/>
            <w:vAlign w:val="center"/>
          </w:tcPr>
          <w:p>
            <w:pPr>
              <w:spacing w:line="300" w:lineRule="exact"/>
              <w:jc w:val="right"/>
              <w:rPr>
                <w:rFonts w:ascii="方正书宋_GBK" w:eastAsia="方正书宋_GBK" w:cs="Times New Roman"/>
              </w:rPr>
            </w:pPr>
          </w:p>
        </w:tc>
        <w:tc>
          <w:tcPr>
            <w:tcW w:w="425" w:type="dxa"/>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56" w:type="dxa"/>
            <w:vAlign w:val="center"/>
          </w:tcPr>
          <w:p>
            <w:pPr>
              <w:rPr>
                <w:rFonts w:ascii="宋体" w:cs="宋体"/>
                <w:sz w:val="18"/>
                <w:szCs w:val="18"/>
              </w:rPr>
            </w:pPr>
            <w:r>
              <w:rPr>
                <w:rFonts w:hint="eastAsia"/>
                <w:sz w:val="18"/>
                <w:szCs w:val="18"/>
              </w:rPr>
              <w:t>土地出让金</w:t>
            </w:r>
            <w:r>
              <w:rPr>
                <w:sz w:val="18"/>
                <w:szCs w:val="18"/>
              </w:rPr>
              <w:t>/</w:t>
            </w:r>
            <w:r>
              <w:rPr>
                <w:rFonts w:hint="eastAsia"/>
                <w:sz w:val="18"/>
                <w:szCs w:val="18"/>
              </w:rPr>
              <w:t>红绿灯安装</w:t>
            </w:r>
          </w:p>
        </w:tc>
        <w:tc>
          <w:tcPr>
            <w:tcW w:w="850" w:type="dxa"/>
            <w:vAlign w:val="center"/>
          </w:tcPr>
          <w:p>
            <w:pPr>
              <w:jc w:val="right"/>
              <w:rPr>
                <w:rFonts w:ascii="宋体" w:cs="宋体"/>
                <w:sz w:val="18"/>
                <w:szCs w:val="18"/>
              </w:rPr>
            </w:pPr>
            <w:r>
              <w:rPr>
                <w:sz w:val="18"/>
                <w:szCs w:val="18"/>
              </w:rPr>
              <w:t>55</w:t>
            </w:r>
          </w:p>
        </w:tc>
        <w:tc>
          <w:tcPr>
            <w:tcW w:w="1418" w:type="dxa"/>
            <w:vAlign w:val="center"/>
          </w:tcPr>
          <w:p>
            <w:pPr>
              <w:rPr>
                <w:rFonts w:ascii="宋体" w:cs="宋体"/>
                <w:sz w:val="18"/>
                <w:szCs w:val="18"/>
              </w:rPr>
            </w:pPr>
            <w:r>
              <w:rPr>
                <w:rFonts w:hint="eastAsia"/>
                <w:sz w:val="18"/>
                <w:szCs w:val="18"/>
              </w:rPr>
              <w:t>交通管理设备</w:t>
            </w:r>
          </w:p>
        </w:tc>
        <w:tc>
          <w:tcPr>
            <w:tcW w:w="959" w:type="dxa"/>
            <w:vAlign w:val="center"/>
          </w:tcPr>
          <w:p>
            <w:pPr>
              <w:rPr>
                <w:rFonts w:ascii="宋体" w:cs="宋体"/>
                <w:sz w:val="18"/>
                <w:szCs w:val="18"/>
              </w:rPr>
            </w:pPr>
            <w:r>
              <w:rPr>
                <w:sz w:val="18"/>
                <w:szCs w:val="18"/>
              </w:rPr>
              <w:t>A032502</w:t>
            </w:r>
          </w:p>
        </w:tc>
        <w:tc>
          <w:tcPr>
            <w:tcW w:w="512" w:type="dxa"/>
            <w:vAlign w:val="center"/>
          </w:tcPr>
          <w:p>
            <w:pPr>
              <w:rPr>
                <w:rFonts w:ascii="宋体" w:cs="宋体"/>
                <w:sz w:val="18"/>
                <w:szCs w:val="18"/>
              </w:rPr>
            </w:pPr>
            <w:r>
              <w:rPr>
                <w:rFonts w:hint="eastAsia"/>
                <w:sz w:val="18"/>
                <w:szCs w:val="18"/>
              </w:rPr>
              <w:t>套</w:t>
            </w:r>
          </w:p>
        </w:tc>
        <w:tc>
          <w:tcPr>
            <w:tcW w:w="772" w:type="dxa"/>
            <w:vAlign w:val="center"/>
          </w:tcPr>
          <w:p>
            <w:pPr>
              <w:jc w:val="right"/>
              <w:rPr>
                <w:rFonts w:ascii="宋体" w:cs="Times New Roman"/>
                <w:sz w:val="18"/>
                <w:szCs w:val="18"/>
              </w:rPr>
            </w:pPr>
            <w:r>
              <w:rPr>
                <w:sz w:val="18"/>
                <w:szCs w:val="18"/>
              </w:rPr>
              <w:t>40.00</w:t>
            </w:r>
          </w:p>
        </w:tc>
        <w:tc>
          <w:tcPr>
            <w:tcW w:w="1017" w:type="dxa"/>
            <w:vAlign w:val="center"/>
          </w:tcPr>
          <w:p>
            <w:pPr>
              <w:jc w:val="right"/>
              <w:rPr>
                <w:rFonts w:ascii="宋体" w:cs="宋体"/>
                <w:sz w:val="18"/>
                <w:szCs w:val="18"/>
              </w:rPr>
            </w:pPr>
            <w:r>
              <w:rPr>
                <w:sz w:val="18"/>
                <w:szCs w:val="18"/>
              </w:rPr>
              <w:t>11</w:t>
            </w:r>
          </w:p>
        </w:tc>
        <w:tc>
          <w:tcPr>
            <w:tcW w:w="1059" w:type="dxa"/>
            <w:vAlign w:val="center"/>
          </w:tcPr>
          <w:p>
            <w:pPr>
              <w:jc w:val="right"/>
              <w:rPr>
                <w:rFonts w:ascii="宋体" w:cs="宋体"/>
                <w:sz w:val="18"/>
                <w:szCs w:val="18"/>
              </w:rPr>
            </w:pPr>
            <w:r>
              <w:rPr>
                <w:sz w:val="18"/>
                <w:szCs w:val="18"/>
              </w:rPr>
              <w:t>55</w:t>
            </w:r>
          </w:p>
        </w:tc>
        <w:tc>
          <w:tcPr>
            <w:tcW w:w="1179" w:type="dxa"/>
            <w:vAlign w:val="center"/>
          </w:tcPr>
          <w:p>
            <w:pPr>
              <w:jc w:val="right"/>
              <w:rPr>
                <w:rFonts w:ascii="宋体" w:cs="宋体"/>
                <w:sz w:val="18"/>
                <w:szCs w:val="18"/>
              </w:rPr>
            </w:pPr>
            <w:r>
              <w:rPr>
                <w:sz w:val="18"/>
                <w:szCs w:val="18"/>
              </w:rPr>
              <w:t>55</w:t>
            </w:r>
          </w:p>
        </w:tc>
        <w:tc>
          <w:tcPr>
            <w:tcW w:w="1236" w:type="dxa"/>
            <w:vAlign w:val="center"/>
          </w:tcPr>
          <w:p>
            <w:pPr>
              <w:jc w:val="right"/>
              <w:rPr>
                <w:rFonts w:ascii="宋体" w:cs="宋体"/>
                <w:sz w:val="18"/>
                <w:szCs w:val="18"/>
              </w:rPr>
            </w:pPr>
          </w:p>
        </w:tc>
        <w:tc>
          <w:tcPr>
            <w:tcW w:w="1169" w:type="dxa"/>
            <w:vAlign w:val="center"/>
          </w:tcPr>
          <w:p>
            <w:pPr>
              <w:spacing w:line="300" w:lineRule="exact"/>
              <w:jc w:val="right"/>
              <w:rPr>
                <w:rFonts w:ascii="方正书宋_GBK" w:eastAsia="方正书宋_GBK" w:cs="Times New Roman"/>
              </w:rPr>
            </w:pPr>
            <w:r>
              <w:rPr>
                <w:rFonts w:ascii="方正书宋_GBK" w:eastAsia="方正书宋_GBK" w:cs="Times New Roman"/>
              </w:rPr>
              <w:t>55</w:t>
            </w:r>
          </w:p>
        </w:tc>
        <w:tc>
          <w:tcPr>
            <w:tcW w:w="439" w:type="dxa"/>
            <w:vAlign w:val="center"/>
          </w:tcPr>
          <w:p>
            <w:pPr>
              <w:spacing w:line="300" w:lineRule="exact"/>
              <w:jc w:val="right"/>
              <w:rPr>
                <w:rFonts w:ascii="方正书宋_GBK" w:eastAsia="方正书宋_GBK" w:cs="Times New Roman"/>
              </w:rPr>
            </w:pPr>
          </w:p>
        </w:tc>
        <w:tc>
          <w:tcPr>
            <w:tcW w:w="426" w:type="dxa"/>
            <w:vAlign w:val="center"/>
          </w:tcPr>
          <w:p>
            <w:pPr>
              <w:spacing w:line="300" w:lineRule="exact"/>
              <w:jc w:val="right"/>
              <w:rPr>
                <w:rFonts w:ascii="方正书宋_GBK" w:eastAsia="方正书宋_GBK" w:cs="Times New Roman"/>
              </w:rPr>
            </w:pPr>
          </w:p>
        </w:tc>
        <w:tc>
          <w:tcPr>
            <w:tcW w:w="425" w:type="dxa"/>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56" w:type="dxa"/>
            <w:vAlign w:val="center"/>
          </w:tcPr>
          <w:p>
            <w:pPr>
              <w:rPr>
                <w:rFonts w:ascii="宋体" w:cs="宋体"/>
                <w:sz w:val="18"/>
                <w:szCs w:val="18"/>
              </w:rPr>
            </w:pPr>
            <w:r>
              <w:rPr>
                <w:rFonts w:hint="eastAsia"/>
                <w:sz w:val="18"/>
                <w:szCs w:val="18"/>
              </w:rPr>
              <w:t>电警监控视频</w:t>
            </w:r>
          </w:p>
        </w:tc>
        <w:tc>
          <w:tcPr>
            <w:tcW w:w="850" w:type="dxa"/>
            <w:vAlign w:val="center"/>
          </w:tcPr>
          <w:p>
            <w:pPr>
              <w:jc w:val="right"/>
              <w:rPr>
                <w:rFonts w:ascii="宋体" w:cs="宋体"/>
                <w:sz w:val="18"/>
                <w:szCs w:val="18"/>
              </w:rPr>
            </w:pPr>
            <w:r>
              <w:rPr>
                <w:sz w:val="18"/>
                <w:szCs w:val="18"/>
              </w:rPr>
              <w:t>104</w:t>
            </w:r>
          </w:p>
        </w:tc>
        <w:tc>
          <w:tcPr>
            <w:tcW w:w="1418" w:type="dxa"/>
            <w:vAlign w:val="center"/>
          </w:tcPr>
          <w:p>
            <w:pPr>
              <w:rPr>
                <w:rFonts w:ascii="宋体" w:cs="宋体"/>
                <w:sz w:val="18"/>
                <w:szCs w:val="18"/>
              </w:rPr>
            </w:pPr>
            <w:r>
              <w:rPr>
                <w:rFonts w:hint="eastAsia"/>
                <w:sz w:val="18"/>
                <w:szCs w:val="18"/>
              </w:rPr>
              <w:t>交通管理设备</w:t>
            </w:r>
          </w:p>
        </w:tc>
        <w:tc>
          <w:tcPr>
            <w:tcW w:w="959" w:type="dxa"/>
            <w:vAlign w:val="center"/>
          </w:tcPr>
          <w:p>
            <w:pPr>
              <w:rPr>
                <w:rFonts w:ascii="宋体" w:cs="宋体"/>
                <w:sz w:val="18"/>
                <w:szCs w:val="18"/>
              </w:rPr>
            </w:pPr>
            <w:r>
              <w:rPr>
                <w:sz w:val="18"/>
                <w:szCs w:val="18"/>
              </w:rPr>
              <w:t>A032502</w:t>
            </w:r>
          </w:p>
        </w:tc>
        <w:tc>
          <w:tcPr>
            <w:tcW w:w="512" w:type="dxa"/>
            <w:vAlign w:val="center"/>
          </w:tcPr>
          <w:p>
            <w:pPr>
              <w:rPr>
                <w:rFonts w:ascii="宋体" w:cs="宋体"/>
                <w:sz w:val="18"/>
                <w:szCs w:val="18"/>
              </w:rPr>
            </w:pPr>
            <w:r>
              <w:rPr>
                <w:rFonts w:hint="eastAsia"/>
                <w:sz w:val="18"/>
                <w:szCs w:val="18"/>
              </w:rPr>
              <w:t>套</w:t>
            </w:r>
          </w:p>
        </w:tc>
        <w:tc>
          <w:tcPr>
            <w:tcW w:w="772" w:type="dxa"/>
            <w:vAlign w:val="center"/>
          </w:tcPr>
          <w:p>
            <w:pPr>
              <w:jc w:val="right"/>
              <w:rPr>
                <w:rFonts w:ascii="宋体" w:cs="Times New Roman"/>
                <w:sz w:val="18"/>
                <w:szCs w:val="18"/>
              </w:rPr>
            </w:pPr>
            <w:r>
              <w:rPr>
                <w:sz w:val="18"/>
                <w:szCs w:val="18"/>
              </w:rPr>
              <w:t>100.00</w:t>
            </w:r>
          </w:p>
        </w:tc>
        <w:tc>
          <w:tcPr>
            <w:tcW w:w="1017" w:type="dxa"/>
            <w:vAlign w:val="center"/>
          </w:tcPr>
          <w:p>
            <w:pPr>
              <w:jc w:val="right"/>
              <w:rPr>
                <w:rFonts w:ascii="宋体" w:cs="宋体"/>
                <w:sz w:val="18"/>
                <w:szCs w:val="18"/>
              </w:rPr>
            </w:pPr>
            <w:r>
              <w:rPr>
                <w:sz w:val="18"/>
                <w:szCs w:val="18"/>
              </w:rPr>
              <w:t>6.5</w:t>
            </w:r>
          </w:p>
        </w:tc>
        <w:tc>
          <w:tcPr>
            <w:tcW w:w="1059" w:type="dxa"/>
            <w:vAlign w:val="center"/>
          </w:tcPr>
          <w:p>
            <w:pPr>
              <w:jc w:val="right"/>
              <w:rPr>
                <w:rFonts w:ascii="宋体" w:cs="宋体"/>
                <w:sz w:val="18"/>
                <w:szCs w:val="18"/>
              </w:rPr>
            </w:pPr>
            <w:r>
              <w:rPr>
                <w:sz w:val="18"/>
                <w:szCs w:val="18"/>
              </w:rPr>
              <w:t>104</w:t>
            </w:r>
          </w:p>
        </w:tc>
        <w:tc>
          <w:tcPr>
            <w:tcW w:w="1179" w:type="dxa"/>
            <w:vAlign w:val="center"/>
          </w:tcPr>
          <w:p>
            <w:pPr>
              <w:jc w:val="right"/>
              <w:rPr>
                <w:rFonts w:ascii="宋体" w:cs="宋体"/>
                <w:sz w:val="18"/>
                <w:szCs w:val="18"/>
              </w:rPr>
            </w:pPr>
            <w:r>
              <w:rPr>
                <w:sz w:val="18"/>
                <w:szCs w:val="18"/>
              </w:rPr>
              <w:t>104</w:t>
            </w:r>
          </w:p>
        </w:tc>
        <w:tc>
          <w:tcPr>
            <w:tcW w:w="1236" w:type="dxa"/>
            <w:vAlign w:val="center"/>
          </w:tcPr>
          <w:p>
            <w:pPr>
              <w:jc w:val="right"/>
              <w:rPr>
                <w:rFonts w:ascii="宋体" w:cs="宋体"/>
                <w:sz w:val="18"/>
                <w:szCs w:val="18"/>
              </w:rPr>
            </w:pPr>
            <w:r>
              <w:rPr>
                <w:sz w:val="18"/>
                <w:szCs w:val="18"/>
              </w:rPr>
              <w:t>104</w:t>
            </w:r>
          </w:p>
        </w:tc>
        <w:tc>
          <w:tcPr>
            <w:tcW w:w="1169" w:type="dxa"/>
            <w:vAlign w:val="center"/>
          </w:tcPr>
          <w:p>
            <w:pPr>
              <w:spacing w:line="300" w:lineRule="exact"/>
              <w:jc w:val="right"/>
              <w:rPr>
                <w:rFonts w:ascii="方正书宋_GBK" w:eastAsia="方正书宋_GBK" w:cs="Times New Roman"/>
              </w:rPr>
            </w:pPr>
          </w:p>
        </w:tc>
        <w:tc>
          <w:tcPr>
            <w:tcW w:w="439" w:type="dxa"/>
            <w:vAlign w:val="center"/>
          </w:tcPr>
          <w:p>
            <w:pPr>
              <w:spacing w:line="300" w:lineRule="exact"/>
              <w:jc w:val="right"/>
              <w:rPr>
                <w:rFonts w:ascii="方正书宋_GBK" w:eastAsia="方正书宋_GBK" w:cs="Times New Roman"/>
              </w:rPr>
            </w:pPr>
          </w:p>
        </w:tc>
        <w:tc>
          <w:tcPr>
            <w:tcW w:w="426" w:type="dxa"/>
            <w:vAlign w:val="center"/>
          </w:tcPr>
          <w:p>
            <w:pPr>
              <w:spacing w:line="300" w:lineRule="exact"/>
              <w:jc w:val="right"/>
              <w:rPr>
                <w:rFonts w:ascii="方正书宋_GBK" w:eastAsia="方正书宋_GBK" w:cs="Times New Roman"/>
              </w:rPr>
            </w:pPr>
          </w:p>
        </w:tc>
        <w:tc>
          <w:tcPr>
            <w:tcW w:w="425" w:type="dxa"/>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56" w:type="dxa"/>
            <w:vAlign w:val="center"/>
          </w:tcPr>
          <w:p>
            <w:pPr>
              <w:rPr>
                <w:rFonts w:ascii="宋体" w:cs="宋体"/>
                <w:sz w:val="18"/>
                <w:szCs w:val="18"/>
              </w:rPr>
            </w:pPr>
            <w:r>
              <w:rPr>
                <w:rFonts w:hint="eastAsia"/>
                <w:sz w:val="18"/>
                <w:szCs w:val="18"/>
              </w:rPr>
              <w:t>专项业务经费</w:t>
            </w:r>
          </w:p>
        </w:tc>
        <w:tc>
          <w:tcPr>
            <w:tcW w:w="850" w:type="dxa"/>
            <w:vAlign w:val="center"/>
          </w:tcPr>
          <w:p>
            <w:pPr>
              <w:jc w:val="right"/>
              <w:rPr>
                <w:rFonts w:ascii="宋体" w:cs="宋体"/>
                <w:sz w:val="18"/>
                <w:szCs w:val="18"/>
              </w:rPr>
            </w:pPr>
            <w:r>
              <w:rPr>
                <w:sz w:val="18"/>
                <w:szCs w:val="18"/>
              </w:rPr>
              <w:t>23.3</w:t>
            </w:r>
          </w:p>
        </w:tc>
        <w:tc>
          <w:tcPr>
            <w:tcW w:w="1418" w:type="dxa"/>
            <w:vAlign w:val="center"/>
          </w:tcPr>
          <w:p>
            <w:pPr>
              <w:rPr>
                <w:rFonts w:ascii="宋体" w:cs="宋体"/>
                <w:sz w:val="18"/>
                <w:szCs w:val="18"/>
              </w:rPr>
            </w:pPr>
            <w:r>
              <w:rPr>
                <w:rFonts w:hint="eastAsia"/>
                <w:sz w:val="18"/>
                <w:szCs w:val="18"/>
              </w:rPr>
              <w:t>其他办公消耗用品及类似物品</w:t>
            </w:r>
          </w:p>
        </w:tc>
        <w:tc>
          <w:tcPr>
            <w:tcW w:w="959" w:type="dxa"/>
            <w:vAlign w:val="center"/>
          </w:tcPr>
          <w:p>
            <w:pPr>
              <w:rPr>
                <w:rFonts w:ascii="宋体" w:cs="宋体"/>
                <w:sz w:val="18"/>
                <w:szCs w:val="18"/>
              </w:rPr>
            </w:pPr>
            <w:r>
              <w:rPr>
                <w:sz w:val="18"/>
                <w:szCs w:val="18"/>
              </w:rPr>
              <w:t>A0999</w:t>
            </w:r>
          </w:p>
        </w:tc>
        <w:tc>
          <w:tcPr>
            <w:tcW w:w="512" w:type="dxa"/>
            <w:vAlign w:val="center"/>
          </w:tcPr>
          <w:p>
            <w:pPr>
              <w:rPr>
                <w:rFonts w:ascii="宋体" w:cs="宋体"/>
                <w:sz w:val="18"/>
                <w:szCs w:val="18"/>
              </w:rPr>
            </w:pPr>
            <w:r>
              <w:rPr>
                <w:rFonts w:hint="eastAsia"/>
                <w:sz w:val="18"/>
                <w:szCs w:val="18"/>
              </w:rPr>
              <w:t>年</w:t>
            </w:r>
          </w:p>
        </w:tc>
        <w:tc>
          <w:tcPr>
            <w:tcW w:w="772" w:type="dxa"/>
            <w:vAlign w:val="center"/>
          </w:tcPr>
          <w:p>
            <w:pPr>
              <w:jc w:val="right"/>
              <w:rPr>
                <w:rFonts w:ascii="宋体" w:cs="Times New Roman"/>
                <w:sz w:val="18"/>
                <w:szCs w:val="18"/>
              </w:rPr>
            </w:pPr>
            <w:r>
              <w:rPr>
                <w:sz w:val="18"/>
                <w:szCs w:val="18"/>
              </w:rPr>
              <w:t>21.00</w:t>
            </w:r>
          </w:p>
        </w:tc>
        <w:tc>
          <w:tcPr>
            <w:tcW w:w="1017" w:type="dxa"/>
            <w:vAlign w:val="center"/>
          </w:tcPr>
          <w:p>
            <w:pPr>
              <w:jc w:val="right"/>
              <w:rPr>
                <w:rFonts w:ascii="宋体" w:cs="宋体"/>
                <w:sz w:val="18"/>
                <w:szCs w:val="18"/>
              </w:rPr>
            </w:pPr>
            <w:r>
              <w:rPr>
                <w:sz w:val="18"/>
                <w:szCs w:val="18"/>
              </w:rPr>
              <w:t>23.3</w:t>
            </w:r>
          </w:p>
        </w:tc>
        <w:tc>
          <w:tcPr>
            <w:tcW w:w="1059" w:type="dxa"/>
            <w:vAlign w:val="center"/>
          </w:tcPr>
          <w:p>
            <w:pPr>
              <w:jc w:val="right"/>
              <w:rPr>
                <w:rFonts w:ascii="宋体" w:cs="宋体"/>
                <w:sz w:val="18"/>
                <w:szCs w:val="18"/>
              </w:rPr>
            </w:pPr>
            <w:r>
              <w:rPr>
                <w:sz w:val="18"/>
                <w:szCs w:val="18"/>
              </w:rPr>
              <w:t>23.3</w:t>
            </w:r>
          </w:p>
        </w:tc>
        <w:tc>
          <w:tcPr>
            <w:tcW w:w="1179" w:type="dxa"/>
            <w:vAlign w:val="center"/>
          </w:tcPr>
          <w:p>
            <w:pPr>
              <w:jc w:val="right"/>
              <w:rPr>
                <w:rFonts w:ascii="宋体" w:cs="宋体"/>
                <w:sz w:val="18"/>
                <w:szCs w:val="18"/>
              </w:rPr>
            </w:pPr>
            <w:r>
              <w:rPr>
                <w:sz w:val="18"/>
                <w:szCs w:val="18"/>
              </w:rPr>
              <w:t>23.3</w:t>
            </w:r>
          </w:p>
        </w:tc>
        <w:tc>
          <w:tcPr>
            <w:tcW w:w="1236" w:type="dxa"/>
            <w:vAlign w:val="center"/>
          </w:tcPr>
          <w:p>
            <w:pPr>
              <w:jc w:val="right"/>
              <w:rPr>
                <w:rFonts w:ascii="宋体" w:cs="宋体"/>
                <w:sz w:val="18"/>
                <w:szCs w:val="18"/>
              </w:rPr>
            </w:pPr>
            <w:r>
              <w:rPr>
                <w:sz w:val="18"/>
                <w:szCs w:val="18"/>
              </w:rPr>
              <w:t>23.3</w:t>
            </w:r>
          </w:p>
        </w:tc>
        <w:tc>
          <w:tcPr>
            <w:tcW w:w="1169" w:type="dxa"/>
            <w:vAlign w:val="center"/>
          </w:tcPr>
          <w:p>
            <w:pPr>
              <w:spacing w:line="300" w:lineRule="exact"/>
              <w:jc w:val="right"/>
              <w:rPr>
                <w:rFonts w:ascii="方正书宋_GBK" w:eastAsia="方正书宋_GBK" w:cs="Times New Roman"/>
              </w:rPr>
            </w:pPr>
          </w:p>
        </w:tc>
        <w:tc>
          <w:tcPr>
            <w:tcW w:w="439" w:type="dxa"/>
            <w:vAlign w:val="center"/>
          </w:tcPr>
          <w:p>
            <w:pPr>
              <w:spacing w:line="300" w:lineRule="exact"/>
              <w:jc w:val="right"/>
              <w:rPr>
                <w:rFonts w:ascii="方正书宋_GBK" w:eastAsia="方正书宋_GBK" w:cs="Times New Roman"/>
              </w:rPr>
            </w:pPr>
          </w:p>
        </w:tc>
        <w:tc>
          <w:tcPr>
            <w:tcW w:w="426" w:type="dxa"/>
            <w:vAlign w:val="center"/>
          </w:tcPr>
          <w:p>
            <w:pPr>
              <w:spacing w:line="300" w:lineRule="exact"/>
              <w:jc w:val="right"/>
              <w:rPr>
                <w:rFonts w:ascii="方正书宋_GBK" w:eastAsia="方正书宋_GBK" w:cs="Times New Roman"/>
              </w:rPr>
            </w:pPr>
          </w:p>
        </w:tc>
        <w:tc>
          <w:tcPr>
            <w:tcW w:w="425" w:type="dxa"/>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56" w:type="dxa"/>
            <w:vAlign w:val="center"/>
          </w:tcPr>
          <w:p>
            <w:pPr>
              <w:rPr>
                <w:rFonts w:ascii="宋体" w:cs="宋体"/>
                <w:sz w:val="18"/>
                <w:szCs w:val="18"/>
              </w:rPr>
            </w:pPr>
            <w:r>
              <w:rPr>
                <w:rFonts w:hint="eastAsia"/>
                <w:sz w:val="18"/>
                <w:szCs w:val="18"/>
              </w:rPr>
              <w:t>日常公用</w:t>
            </w:r>
            <w:r>
              <w:rPr>
                <w:sz w:val="18"/>
                <w:szCs w:val="18"/>
              </w:rPr>
              <w:t>/</w:t>
            </w:r>
            <w:r>
              <w:rPr>
                <w:rFonts w:hint="eastAsia"/>
                <w:sz w:val="18"/>
                <w:szCs w:val="18"/>
              </w:rPr>
              <w:t>办公费</w:t>
            </w:r>
          </w:p>
        </w:tc>
        <w:tc>
          <w:tcPr>
            <w:tcW w:w="850" w:type="dxa"/>
            <w:vAlign w:val="center"/>
          </w:tcPr>
          <w:p>
            <w:pPr>
              <w:jc w:val="right"/>
              <w:rPr>
                <w:rFonts w:ascii="宋体" w:cs="宋体"/>
                <w:sz w:val="18"/>
                <w:szCs w:val="18"/>
              </w:rPr>
            </w:pPr>
            <w:r>
              <w:rPr>
                <w:sz w:val="18"/>
                <w:szCs w:val="18"/>
              </w:rPr>
              <w:t>8.12</w:t>
            </w:r>
          </w:p>
        </w:tc>
        <w:tc>
          <w:tcPr>
            <w:tcW w:w="1418" w:type="dxa"/>
            <w:vAlign w:val="center"/>
          </w:tcPr>
          <w:p>
            <w:pPr>
              <w:rPr>
                <w:rFonts w:ascii="宋体" w:cs="宋体"/>
                <w:sz w:val="18"/>
                <w:szCs w:val="18"/>
              </w:rPr>
            </w:pPr>
            <w:r>
              <w:rPr>
                <w:rFonts w:hint="eastAsia"/>
                <w:sz w:val="18"/>
                <w:szCs w:val="18"/>
              </w:rPr>
              <w:t>其他办公消耗用品及类似物品</w:t>
            </w:r>
          </w:p>
        </w:tc>
        <w:tc>
          <w:tcPr>
            <w:tcW w:w="959" w:type="dxa"/>
            <w:vAlign w:val="center"/>
          </w:tcPr>
          <w:p>
            <w:pPr>
              <w:rPr>
                <w:rFonts w:ascii="宋体" w:cs="宋体"/>
                <w:sz w:val="18"/>
                <w:szCs w:val="18"/>
              </w:rPr>
            </w:pPr>
            <w:r>
              <w:rPr>
                <w:sz w:val="18"/>
                <w:szCs w:val="18"/>
              </w:rPr>
              <w:t>A0999</w:t>
            </w:r>
          </w:p>
        </w:tc>
        <w:tc>
          <w:tcPr>
            <w:tcW w:w="512" w:type="dxa"/>
            <w:vAlign w:val="center"/>
          </w:tcPr>
          <w:p>
            <w:pPr>
              <w:rPr>
                <w:rFonts w:ascii="宋体" w:cs="宋体"/>
                <w:sz w:val="18"/>
                <w:szCs w:val="18"/>
              </w:rPr>
            </w:pPr>
            <w:r>
              <w:rPr>
                <w:rFonts w:hint="eastAsia"/>
                <w:sz w:val="18"/>
                <w:szCs w:val="18"/>
              </w:rPr>
              <w:t>件</w:t>
            </w:r>
          </w:p>
        </w:tc>
        <w:tc>
          <w:tcPr>
            <w:tcW w:w="772" w:type="dxa"/>
            <w:vAlign w:val="center"/>
          </w:tcPr>
          <w:p>
            <w:pPr>
              <w:jc w:val="right"/>
              <w:rPr>
                <w:rFonts w:ascii="宋体" w:cs="Times New Roman"/>
                <w:sz w:val="18"/>
                <w:szCs w:val="18"/>
              </w:rPr>
            </w:pPr>
            <w:r>
              <w:rPr>
                <w:sz w:val="18"/>
                <w:szCs w:val="18"/>
              </w:rPr>
              <w:t>10.00</w:t>
            </w:r>
          </w:p>
        </w:tc>
        <w:tc>
          <w:tcPr>
            <w:tcW w:w="1017" w:type="dxa"/>
            <w:vAlign w:val="center"/>
          </w:tcPr>
          <w:p>
            <w:pPr>
              <w:jc w:val="right"/>
              <w:rPr>
                <w:rFonts w:ascii="宋体" w:cs="宋体"/>
                <w:sz w:val="18"/>
                <w:szCs w:val="18"/>
              </w:rPr>
            </w:pPr>
            <w:r>
              <w:rPr>
                <w:sz w:val="18"/>
                <w:szCs w:val="18"/>
              </w:rPr>
              <w:t>0.04</w:t>
            </w:r>
          </w:p>
        </w:tc>
        <w:tc>
          <w:tcPr>
            <w:tcW w:w="1059" w:type="dxa"/>
            <w:vAlign w:val="center"/>
          </w:tcPr>
          <w:p>
            <w:pPr>
              <w:jc w:val="right"/>
              <w:rPr>
                <w:rFonts w:ascii="宋体" w:cs="宋体"/>
                <w:sz w:val="18"/>
                <w:szCs w:val="18"/>
              </w:rPr>
            </w:pPr>
            <w:r>
              <w:rPr>
                <w:sz w:val="18"/>
                <w:szCs w:val="18"/>
              </w:rPr>
              <w:t>8.12</w:t>
            </w:r>
          </w:p>
        </w:tc>
        <w:tc>
          <w:tcPr>
            <w:tcW w:w="1179" w:type="dxa"/>
            <w:vAlign w:val="center"/>
          </w:tcPr>
          <w:p>
            <w:pPr>
              <w:jc w:val="right"/>
              <w:rPr>
                <w:rFonts w:ascii="宋体" w:cs="宋体"/>
                <w:sz w:val="18"/>
                <w:szCs w:val="18"/>
              </w:rPr>
            </w:pPr>
            <w:r>
              <w:rPr>
                <w:sz w:val="18"/>
                <w:szCs w:val="18"/>
              </w:rPr>
              <w:t>8.12</w:t>
            </w:r>
          </w:p>
        </w:tc>
        <w:tc>
          <w:tcPr>
            <w:tcW w:w="1236" w:type="dxa"/>
            <w:vAlign w:val="center"/>
          </w:tcPr>
          <w:p>
            <w:pPr>
              <w:jc w:val="right"/>
              <w:rPr>
                <w:rFonts w:ascii="宋体" w:cs="宋体"/>
                <w:sz w:val="18"/>
                <w:szCs w:val="18"/>
              </w:rPr>
            </w:pPr>
            <w:r>
              <w:rPr>
                <w:sz w:val="18"/>
                <w:szCs w:val="18"/>
              </w:rPr>
              <w:t>8.12</w:t>
            </w:r>
          </w:p>
        </w:tc>
        <w:tc>
          <w:tcPr>
            <w:tcW w:w="1169" w:type="dxa"/>
            <w:vAlign w:val="center"/>
          </w:tcPr>
          <w:p>
            <w:pPr>
              <w:spacing w:line="300" w:lineRule="exact"/>
              <w:jc w:val="right"/>
              <w:rPr>
                <w:rFonts w:ascii="方正书宋_GBK" w:eastAsia="方正书宋_GBK" w:cs="Times New Roman"/>
              </w:rPr>
            </w:pPr>
          </w:p>
        </w:tc>
        <w:tc>
          <w:tcPr>
            <w:tcW w:w="439" w:type="dxa"/>
            <w:vAlign w:val="center"/>
          </w:tcPr>
          <w:p>
            <w:pPr>
              <w:spacing w:line="300" w:lineRule="exact"/>
              <w:jc w:val="right"/>
              <w:rPr>
                <w:rFonts w:ascii="方正书宋_GBK" w:eastAsia="方正书宋_GBK" w:cs="Times New Roman"/>
              </w:rPr>
            </w:pPr>
          </w:p>
        </w:tc>
        <w:tc>
          <w:tcPr>
            <w:tcW w:w="426" w:type="dxa"/>
            <w:vAlign w:val="center"/>
          </w:tcPr>
          <w:p>
            <w:pPr>
              <w:spacing w:line="300" w:lineRule="exact"/>
              <w:jc w:val="right"/>
              <w:rPr>
                <w:rFonts w:ascii="方正书宋_GBK" w:eastAsia="方正书宋_GBK" w:cs="Times New Roman"/>
              </w:rPr>
            </w:pPr>
          </w:p>
        </w:tc>
        <w:tc>
          <w:tcPr>
            <w:tcW w:w="425" w:type="dxa"/>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56" w:type="dxa"/>
            <w:vAlign w:val="center"/>
          </w:tcPr>
          <w:p>
            <w:pPr>
              <w:rPr>
                <w:rFonts w:ascii="宋体" w:cs="宋体"/>
                <w:sz w:val="18"/>
                <w:szCs w:val="18"/>
              </w:rPr>
            </w:pPr>
            <w:r>
              <w:rPr>
                <w:rFonts w:hint="eastAsia"/>
                <w:sz w:val="18"/>
                <w:szCs w:val="18"/>
              </w:rPr>
              <w:t>土地出让金</w:t>
            </w:r>
            <w:r>
              <w:rPr>
                <w:sz w:val="18"/>
                <w:szCs w:val="18"/>
              </w:rPr>
              <w:t>/</w:t>
            </w:r>
            <w:r>
              <w:rPr>
                <w:rFonts w:hint="eastAsia"/>
                <w:sz w:val="18"/>
                <w:szCs w:val="18"/>
              </w:rPr>
              <w:t>县城标线施划工程</w:t>
            </w:r>
          </w:p>
        </w:tc>
        <w:tc>
          <w:tcPr>
            <w:tcW w:w="850" w:type="dxa"/>
            <w:vAlign w:val="center"/>
          </w:tcPr>
          <w:p>
            <w:pPr>
              <w:jc w:val="right"/>
              <w:rPr>
                <w:rFonts w:ascii="宋体" w:cs="宋体"/>
                <w:sz w:val="18"/>
                <w:szCs w:val="18"/>
              </w:rPr>
            </w:pPr>
            <w:r>
              <w:rPr>
                <w:sz w:val="18"/>
                <w:szCs w:val="18"/>
              </w:rPr>
              <w:t>74</w:t>
            </w:r>
          </w:p>
        </w:tc>
        <w:tc>
          <w:tcPr>
            <w:tcW w:w="1418" w:type="dxa"/>
            <w:vAlign w:val="center"/>
          </w:tcPr>
          <w:p>
            <w:pPr>
              <w:rPr>
                <w:rFonts w:ascii="宋体" w:cs="宋体"/>
                <w:sz w:val="18"/>
                <w:szCs w:val="18"/>
              </w:rPr>
            </w:pPr>
            <w:r>
              <w:rPr>
                <w:rFonts w:hint="eastAsia"/>
                <w:sz w:val="18"/>
                <w:szCs w:val="18"/>
              </w:rPr>
              <w:t>城市道路工程施工</w:t>
            </w:r>
          </w:p>
        </w:tc>
        <w:tc>
          <w:tcPr>
            <w:tcW w:w="959" w:type="dxa"/>
            <w:vAlign w:val="center"/>
          </w:tcPr>
          <w:p>
            <w:pPr>
              <w:rPr>
                <w:rFonts w:ascii="宋体" w:cs="宋体"/>
                <w:sz w:val="18"/>
                <w:szCs w:val="18"/>
              </w:rPr>
            </w:pPr>
            <w:r>
              <w:rPr>
                <w:sz w:val="18"/>
                <w:szCs w:val="18"/>
              </w:rPr>
              <w:t>B0205</w:t>
            </w:r>
          </w:p>
        </w:tc>
        <w:tc>
          <w:tcPr>
            <w:tcW w:w="512" w:type="dxa"/>
            <w:vAlign w:val="center"/>
          </w:tcPr>
          <w:p>
            <w:pPr>
              <w:rPr>
                <w:rFonts w:ascii="宋体" w:cs="宋体"/>
                <w:sz w:val="18"/>
                <w:szCs w:val="18"/>
              </w:rPr>
            </w:pPr>
            <w:r>
              <w:rPr>
                <w:rFonts w:hint="eastAsia"/>
                <w:sz w:val="18"/>
                <w:szCs w:val="18"/>
              </w:rPr>
              <w:t>套</w:t>
            </w:r>
          </w:p>
        </w:tc>
        <w:tc>
          <w:tcPr>
            <w:tcW w:w="772" w:type="dxa"/>
            <w:vAlign w:val="center"/>
          </w:tcPr>
          <w:p>
            <w:pPr>
              <w:jc w:val="right"/>
              <w:rPr>
                <w:rFonts w:ascii="宋体" w:cs="Times New Roman"/>
                <w:sz w:val="18"/>
                <w:szCs w:val="18"/>
              </w:rPr>
            </w:pPr>
            <w:r>
              <w:rPr>
                <w:sz w:val="18"/>
                <w:szCs w:val="18"/>
              </w:rPr>
              <w:t>10.00</w:t>
            </w:r>
          </w:p>
        </w:tc>
        <w:tc>
          <w:tcPr>
            <w:tcW w:w="1017" w:type="dxa"/>
            <w:vAlign w:val="center"/>
          </w:tcPr>
          <w:p>
            <w:pPr>
              <w:jc w:val="right"/>
              <w:rPr>
                <w:rFonts w:ascii="宋体" w:cs="宋体"/>
                <w:sz w:val="18"/>
                <w:szCs w:val="18"/>
              </w:rPr>
            </w:pPr>
            <w:r>
              <w:rPr>
                <w:sz w:val="18"/>
                <w:szCs w:val="18"/>
              </w:rPr>
              <w:t>7.4</w:t>
            </w:r>
          </w:p>
        </w:tc>
        <w:tc>
          <w:tcPr>
            <w:tcW w:w="1059" w:type="dxa"/>
            <w:vAlign w:val="center"/>
          </w:tcPr>
          <w:p>
            <w:pPr>
              <w:jc w:val="right"/>
              <w:rPr>
                <w:rFonts w:ascii="宋体" w:cs="宋体"/>
                <w:sz w:val="18"/>
                <w:szCs w:val="18"/>
              </w:rPr>
            </w:pPr>
            <w:r>
              <w:rPr>
                <w:sz w:val="18"/>
                <w:szCs w:val="18"/>
              </w:rPr>
              <w:t>74</w:t>
            </w:r>
          </w:p>
        </w:tc>
        <w:tc>
          <w:tcPr>
            <w:tcW w:w="1179" w:type="dxa"/>
            <w:vAlign w:val="center"/>
          </w:tcPr>
          <w:p>
            <w:pPr>
              <w:jc w:val="right"/>
              <w:rPr>
                <w:rFonts w:ascii="宋体" w:cs="宋体"/>
                <w:sz w:val="18"/>
                <w:szCs w:val="18"/>
              </w:rPr>
            </w:pPr>
            <w:r>
              <w:rPr>
                <w:sz w:val="18"/>
                <w:szCs w:val="18"/>
              </w:rPr>
              <w:t>74</w:t>
            </w:r>
          </w:p>
        </w:tc>
        <w:tc>
          <w:tcPr>
            <w:tcW w:w="1236" w:type="dxa"/>
            <w:vAlign w:val="center"/>
          </w:tcPr>
          <w:p>
            <w:pPr>
              <w:ind w:right="90"/>
              <w:jc w:val="right"/>
              <w:rPr>
                <w:rFonts w:ascii="宋体" w:cs="宋体"/>
                <w:sz w:val="18"/>
                <w:szCs w:val="18"/>
              </w:rPr>
            </w:pPr>
          </w:p>
        </w:tc>
        <w:tc>
          <w:tcPr>
            <w:tcW w:w="1169" w:type="dxa"/>
            <w:vAlign w:val="center"/>
          </w:tcPr>
          <w:p>
            <w:pPr>
              <w:spacing w:line="300" w:lineRule="exact"/>
              <w:jc w:val="right"/>
              <w:rPr>
                <w:rFonts w:ascii="方正书宋_GBK" w:eastAsia="方正书宋_GBK" w:cs="Times New Roman"/>
              </w:rPr>
            </w:pPr>
            <w:r>
              <w:rPr>
                <w:rFonts w:ascii="方正书宋_GBK" w:eastAsia="方正书宋_GBK" w:cs="Times New Roman"/>
              </w:rPr>
              <w:t>74</w:t>
            </w:r>
          </w:p>
        </w:tc>
        <w:tc>
          <w:tcPr>
            <w:tcW w:w="439" w:type="dxa"/>
            <w:vAlign w:val="center"/>
          </w:tcPr>
          <w:p>
            <w:pPr>
              <w:spacing w:line="300" w:lineRule="exact"/>
              <w:jc w:val="right"/>
              <w:rPr>
                <w:rFonts w:ascii="方正书宋_GBK" w:eastAsia="方正书宋_GBK" w:cs="Times New Roman"/>
              </w:rPr>
            </w:pPr>
          </w:p>
        </w:tc>
        <w:tc>
          <w:tcPr>
            <w:tcW w:w="426" w:type="dxa"/>
            <w:vAlign w:val="center"/>
          </w:tcPr>
          <w:p>
            <w:pPr>
              <w:spacing w:line="300" w:lineRule="exact"/>
              <w:jc w:val="right"/>
              <w:rPr>
                <w:rFonts w:ascii="方正书宋_GBK" w:eastAsia="方正书宋_GBK" w:cs="Times New Roman"/>
              </w:rPr>
            </w:pPr>
          </w:p>
        </w:tc>
        <w:tc>
          <w:tcPr>
            <w:tcW w:w="425" w:type="dxa"/>
            <w:vAlign w:val="center"/>
          </w:tcPr>
          <w:p>
            <w:pPr>
              <w:spacing w:line="300" w:lineRule="exact"/>
              <w:jc w:val="right"/>
              <w:rPr>
                <w:rFonts w:ascii="方正书宋_GBK" w:eastAsia="方正书宋_GBK" w:cs="Times New Roman"/>
              </w:rPr>
            </w:pPr>
          </w:p>
        </w:tc>
      </w:tr>
    </w:tbl>
    <w:p>
      <w:pPr>
        <w:autoSpaceDE w:val="0"/>
        <w:autoSpaceDN w:val="0"/>
        <w:adjustRightInd w:val="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隆尧县公安局交通警察大队</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ascii="Times New Roman" w:hAnsi="Times New Roman" w:eastAsia="仿宋" w:cs="Times New Roman"/>
          <w:color w:val="000000"/>
          <w:sz w:val="32"/>
          <w:szCs w:val="32"/>
        </w:rPr>
        <w:t>1272.06</w:t>
      </w:r>
      <w:r>
        <w:rPr>
          <w:rFonts w:hint="eastAsia" w:ascii="Times New Roman" w:hAnsi="Times New Roman" w:eastAsia="仿宋" w:cs="仿宋"/>
          <w:color w:val="000000"/>
          <w:sz w:val="32"/>
          <w:szCs w:val="32"/>
        </w:rPr>
        <w:t>万元（详见下表），本年度各单位拟购置固定资产总额为</w:t>
      </w:r>
      <w:r>
        <w:rPr>
          <w:rFonts w:ascii="Times New Roman" w:hAnsi="Times New Roman" w:eastAsia="仿宋" w:cs="Times New Roman"/>
          <w:color w:val="000000"/>
          <w:sz w:val="32"/>
          <w:szCs w:val="32"/>
        </w:rPr>
        <w:t>430.33</w:t>
      </w:r>
      <w:r>
        <w:rPr>
          <w:rFonts w:hint="eastAsia" w:ascii="Times New Roman" w:hAnsi="Times New Roman" w:eastAsia="仿宋" w:cs="仿宋"/>
          <w:color w:val="000000"/>
          <w:sz w:val="32"/>
          <w:szCs w:val="32"/>
        </w:rPr>
        <w:t>万元，主要为执法执勤车辆购置、电子卡口、执法记录仪、执法执勤设备、办公设备购置等，已列入政府采购预算表，详见政府采购预算表。</w:t>
      </w:r>
    </w:p>
    <w:tbl>
      <w:tblPr>
        <w:tblStyle w:val="9"/>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隆尧县公安局交通警察大队固定资产占用情况表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cs="宋体"/>
                <w:sz w:val="18"/>
                <w:szCs w:val="18"/>
              </w:rPr>
              <w:t>编制部门：隆尧县公安局交通警察大队</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cs="Times New Roman"/>
                <w:sz w:val="18"/>
                <w:szCs w:val="18"/>
              </w:rPr>
            </w:pPr>
            <w:r>
              <w:rPr>
                <w:rFonts w:hint="eastAsia" w:cs="宋体"/>
                <w:sz w:val="18"/>
                <w:szCs w:val="18"/>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000000"/>
                <w:kern w:val="0"/>
                <w:sz w:val="22"/>
                <w:szCs w:val="22"/>
              </w:rPr>
              <w:t>1272.06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sz w:val="18"/>
                <w:szCs w:val="18"/>
              </w:rPr>
            </w:pPr>
            <w:r>
              <w:rPr>
                <w:sz w:val="18"/>
                <w:szCs w:val="18"/>
              </w:rPr>
              <w:t>1</w:t>
            </w:r>
            <w:r>
              <w:rPr>
                <w:rFonts w:hint="eastAsia" w:cs="宋体"/>
                <w:sz w:val="18"/>
                <w:szCs w:val="18"/>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2842</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186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sz w:val="18"/>
                <w:szCs w:val="18"/>
              </w:rPr>
            </w:pPr>
            <w:r>
              <w:rPr>
                <w:rFonts w:hint="eastAsia" w:cs="宋体"/>
                <w:sz w:val="18"/>
                <w:szCs w:val="18"/>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2842</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186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sz w:val="18"/>
                <w:szCs w:val="18"/>
              </w:rPr>
            </w:pPr>
            <w:r>
              <w:rPr>
                <w:sz w:val="18"/>
                <w:szCs w:val="18"/>
              </w:rPr>
              <w:t>2</w:t>
            </w:r>
            <w:r>
              <w:rPr>
                <w:rFonts w:hint="eastAsia" w:cs="宋体"/>
                <w:sz w:val="18"/>
                <w:szCs w:val="18"/>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21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202.10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sz w:val="18"/>
                <w:szCs w:val="18"/>
              </w:rPr>
            </w:pPr>
            <w:r>
              <w:rPr>
                <w:sz w:val="18"/>
                <w:szCs w:val="18"/>
              </w:rPr>
              <w:t>3</w:t>
            </w:r>
            <w:r>
              <w:rPr>
                <w:rFonts w:hint="eastAsia" w:cs="宋体"/>
                <w:sz w:val="18"/>
                <w:szCs w:val="18"/>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sz w:val="18"/>
                <w:szCs w:val="18"/>
              </w:rPr>
            </w:pPr>
            <w:r>
              <w:rPr>
                <w:sz w:val="18"/>
                <w:szCs w:val="18"/>
              </w:rPr>
              <w:t>4</w:t>
            </w:r>
            <w:r>
              <w:rPr>
                <w:rFonts w:hint="eastAsia" w:cs="宋体"/>
                <w:sz w:val="18"/>
                <w:szCs w:val="18"/>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883.96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3470D8"/>
    <w:multiLevelType w:val="multilevel"/>
    <w:tmpl w:val="293470D8"/>
    <w:lvl w:ilvl="0" w:tentative="0">
      <w:start w:val="2"/>
      <w:numFmt w:val="decimal"/>
      <w:lvlText w:val="%1、"/>
      <w:lvlJc w:val="left"/>
      <w:pPr>
        <w:ind w:left="1724" w:hanging="720"/>
      </w:pPr>
      <w:rPr>
        <w:rFonts w:hint="default" w:cs="Times New Roman"/>
      </w:rPr>
    </w:lvl>
    <w:lvl w:ilvl="1" w:tentative="0">
      <w:start w:val="1"/>
      <w:numFmt w:val="lowerLetter"/>
      <w:lvlText w:val="%2)"/>
      <w:lvlJc w:val="left"/>
      <w:pPr>
        <w:ind w:left="1844" w:hanging="420"/>
      </w:pPr>
      <w:rPr>
        <w:rFonts w:cs="Times New Roman"/>
      </w:rPr>
    </w:lvl>
    <w:lvl w:ilvl="2" w:tentative="0">
      <w:start w:val="1"/>
      <w:numFmt w:val="lowerRoman"/>
      <w:lvlText w:val="%3."/>
      <w:lvlJc w:val="right"/>
      <w:pPr>
        <w:ind w:left="2264" w:hanging="420"/>
      </w:pPr>
      <w:rPr>
        <w:rFonts w:cs="Times New Roman"/>
      </w:rPr>
    </w:lvl>
    <w:lvl w:ilvl="3" w:tentative="0">
      <w:start w:val="1"/>
      <w:numFmt w:val="decimal"/>
      <w:lvlText w:val="%4."/>
      <w:lvlJc w:val="left"/>
      <w:pPr>
        <w:ind w:left="2684" w:hanging="420"/>
      </w:pPr>
      <w:rPr>
        <w:rFonts w:cs="Times New Roman"/>
      </w:rPr>
    </w:lvl>
    <w:lvl w:ilvl="4" w:tentative="0">
      <w:start w:val="1"/>
      <w:numFmt w:val="lowerLetter"/>
      <w:lvlText w:val="%5)"/>
      <w:lvlJc w:val="left"/>
      <w:pPr>
        <w:ind w:left="3104" w:hanging="420"/>
      </w:pPr>
      <w:rPr>
        <w:rFonts w:cs="Times New Roman"/>
      </w:rPr>
    </w:lvl>
    <w:lvl w:ilvl="5" w:tentative="0">
      <w:start w:val="1"/>
      <w:numFmt w:val="lowerRoman"/>
      <w:lvlText w:val="%6."/>
      <w:lvlJc w:val="right"/>
      <w:pPr>
        <w:ind w:left="3524" w:hanging="420"/>
      </w:pPr>
      <w:rPr>
        <w:rFonts w:cs="Times New Roman"/>
      </w:rPr>
    </w:lvl>
    <w:lvl w:ilvl="6" w:tentative="0">
      <w:start w:val="1"/>
      <w:numFmt w:val="decimal"/>
      <w:lvlText w:val="%7."/>
      <w:lvlJc w:val="left"/>
      <w:pPr>
        <w:ind w:left="3944" w:hanging="420"/>
      </w:pPr>
      <w:rPr>
        <w:rFonts w:cs="Times New Roman"/>
      </w:rPr>
    </w:lvl>
    <w:lvl w:ilvl="7" w:tentative="0">
      <w:start w:val="1"/>
      <w:numFmt w:val="lowerLetter"/>
      <w:lvlText w:val="%8)"/>
      <w:lvlJc w:val="left"/>
      <w:pPr>
        <w:ind w:left="4364" w:hanging="420"/>
      </w:pPr>
      <w:rPr>
        <w:rFonts w:cs="Times New Roman"/>
      </w:rPr>
    </w:lvl>
    <w:lvl w:ilvl="8" w:tentative="0">
      <w:start w:val="1"/>
      <w:numFmt w:val="lowerRoman"/>
      <w:lvlText w:val="%9."/>
      <w:lvlJc w:val="right"/>
      <w:pPr>
        <w:ind w:left="4784" w:hanging="420"/>
      </w:pPr>
      <w:rPr>
        <w:rFonts w:cs="Times New Roman"/>
      </w:rPr>
    </w:lvl>
  </w:abstractNum>
  <w:abstractNum w:abstractNumId="1">
    <w:nsid w:val="59414277"/>
    <w:multiLevelType w:val="singleLevel"/>
    <w:tmpl w:val="59414277"/>
    <w:lvl w:ilvl="0" w:tentative="0">
      <w:start w:val="3"/>
      <w:numFmt w:val="chineseCounting"/>
      <w:suff w:val="nothing"/>
      <w:lvlText w:val="%1、"/>
      <w:lvlJc w:val="left"/>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oNotHyphenateCaps/>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CC4"/>
    <w:rsid w:val="0000235E"/>
    <w:rsid w:val="000C7140"/>
    <w:rsid w:val="000C7412"/>
    <w:rsid w:val="000D5C43"/>
    <w:rsid w:val="000F0E4C"/>
    <w:rsid w:val="000F7AD4"/>
    <w:rsid w:val="00144093"/>
    <w:rsid w:val="00221ACB"/>
    <w:rsid w:val="00264172"/>
    <w:rsid w:val="00337571"/>
    <w:rsid w:val="00347608"/>
    <w:rsid w:val="00355A5A"/>
    <w:rsid w:val="00376D53"/>
    <w:rsid w:val="003F4292"/>
    <w:rsid w:val="0040295E"/>
    <w:rsid w:val="004478C2"/>
    <w:rsid w:val="0046545D"/>
    <w:rsid w:val="004F51A0"/>
    <w:rsid w:val="0050038E"/>
    <w:rsid w:val="00507981"/>
    <w:rsid w:val="005105EE"/>
    <w:rsid w:val="00535B34"/>
    <w:rsid w:val="00552C89"/>
    <w:rsid w:val="00595C0E"/>
    <w:rsid w:val="005B5E6B"/>
    <w:rsid w:val="0063177E"/>
    <w:rsid w:val="006914B0"/>
    <w:rsid w:val="00732D4F"/>
    <w:rsid w:val="007856C9"/>
    <w:rsid w:val="0079159E"/>
    <w:rsid w:val="0079327C"/>
    <w:rsid w:val="007941F0"/>
    <w:rsid w:val="007C74E2"/>
    <w:rsid w:val="007E280D"/>
    <w:rsid w:val="00821051"/>
    <w:rsid w:val="008B3C5E"/>
    <w:rsid w:val="008C4B9D"/>
    <w:rsid w:val="009751EE"/>
    <w:rsid w:val="00A5050A"/>
    <w:rsid w:val="00A5142B"/>
    <w:rsid w:val="00AF1E1A"/>
    <w:rsid w:val="00BF3E27"/>
    <w:rsid w:val="00C40AA4"/>
    <w:rsid w:val="00C530B7"/>
    <w:rsid w:val="00C67CC4"/>
    <w:rsid w:val="00C70520"/>
    <w:rsid w:val="00C7714D"/>
    <w:rsid w:val="00CF3DF7"/>
    <w:rsid w:val="00E53BCB"/>
    <w:rsid w:val="00EC3709"/>
    <w:rsid w:val="00EE55E6"/>
    <w:rsid w:val="00EF0142"/>
    <w:rsid w:val="00EF11F0"/>
    <w:rsid w:val="00F46FA6"/>
    <w:rsid w:val="00F500A0"/>
    <w:rsid w:val="00F73D27"/>
    <w:rsid w:val="00F949FD"/>
    <w:rsid w:val="02D17B65"/>
    <w:rsid w:val="0B8046B6"/>
    <w:rsid w:val="425403B0"/>
    <w:rsid w:val="47D33E13"/>
    <w:rsid w:val="7F0D4A3B"/>
    <w:rsid w:val="7F7E5042"/>
    <w:rsid w:val="FBFE48C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10">
    <w:name w:val="Default Paragraph Font"/>
    <w:semiHidden/>
    <w:qFormat/>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6"/>
    <w:semiHidden/>
    <w:qFormat/>
    <w:uiPriority w:val="99"/>
    <w:rPr>
      <w:sz w:val="18"/>
      <w:szCs w:val="18"/>
    </w:rPr>
  </w:style>
  <w:style w:type="paragraph" w:styleId="3">
    <w:name w:val="footer"/>
    <w:basedOn w:val="1"/>
    <w:link w:val="12"/>
    <w:uiPriority w:val="99"/>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5">
    <w:name w:val="toc 1"/>
    <w:basedOn w:val="1"/>
    <w:next w:val="1"/>
    <w:semiHidden/>
    <w:qFormat/>
    <w:uiPriority w:val="99"/>
    <w:rPr>
      <w:rFonts w:ascii="Times New Roman" w:hAnsi="Times New Roman" w:cs="Times New Roman"/>
    </w:rPr>
  </w:style>
  <w:style w:type="paragraph" w:styleId="6">
    <w:name w:val="footnote text"/>
    <w:basedOn w:val="1"/>
    <w:link w:val="14"/>
    <w:semiHidden/>
    <w:uiPriority w:val="99"/>
    <w:pPr>
      <w:snapToGrid w:val="0"/>
      <w:jc w:val="left"/>
    </w:pPr>
    <w:rPr>
      <w:sz w:val="18"/>
      <w:szCs w:val="18"/>
    </w:rPr>
  </w:style>
  <w:style w:type="paragraph" w:styleId="7">
    <w:name w:val="toc 2"/>
    <w:basedOn w:val="1"/>
    <w:next w:val="1"/>
    <w:semiHidden/>
    <w:qFormat/>
    <w:uiPriority w:val="99"/>
    <w:pPr>
      <w:ind w:left="420" w:leftChars="200"/>
    </w:pPr>
    <w:rPr>
      <w:rFonts w:ascii="Times New Roman" w:hAnsi="Times New Roman" w:cs="Times New Roman"/>
    </w:rPr>
  </w:style>
  <w:style w:type="paragraph" w:styleId="8">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11">
    <w:name w:val="footnote reference"/>
    <w:basedOn w:val="10"/>
    <w:semiHidden/>
    <w:qFormat/>
    <w:uiPriority w:val="99"/>
    <w:rPr>
      <w:rFonts w:cs="Times New Roman"/>
      <w:vertAlign w:val="superscript"/>
    </w:rPr>
  </w:style>
  <w:style w:type="character" w:customStyle="1" w:styleId="12">
    <w:name w:val="Footer Char"/>
    <w:basedOn w:val="10"/>
    <w:link w:val="3"/>
    <w:semiHidden/>
    <w:qFormat/>
    <w:locked/>
    <w:uiPriority w:val="99"/>
    <w:rPr>
      <w:rFonts w:ascii="Times New Roman" w:hAnsi="Times New Roman" w:eastAsia="宋体" w:cs="Times New Roman"/>
      <w:sz w:val="18"/>
      <w:szCs w:val="18"/>
    </w:rPr>
  </w:style>
  <w:style w:type="character" w:customStyle="1" w:styleId="13">
    <w:name w:val="Header Char"/>
    <w:basedOn w:val="10"/>
    <w:link w:val="4"/>
    <w:semiHidden/>
    <w:qFormat/>
    <w:locked/>
    <w:uiPriority w:val="99"/>
    <w:rPr>
      <w:rFonts w:ascii="Times New Roman" w:hAnsi="Times New Roman" w:eastAsia="宋体" w:cs="Times New Roman"/>
      <w:sz w:val="18"/>
      <w:szCs w:val="18"/>
    </w:rPr>
  </w:style>
  <w:style w:type="character" w:customStyle="1" w:styleId="14">
    <w:name w:val="Footnote Text Char"/>
    <w:basedOn w:val="10"/>
    <w:link w:val="6"/>
    <w:semiHidden/>
    <w:locked/>
    <w:uiPriority w:val="99"/>
    <w:rPr>
      <w:rFonts w:ascii="Calibri" w:hAnsi="Calibri" w:cs="Calibri"/>
      <w:sz w:val="18"/>
      <w:szCs w:val="18"/>
    </w:rPr>
  </w:style>
  <w:style w:type="paragraph" w:customStyle="1" w:styleId="15">
    <w:name w:val="Char"/>
    <w:basedOn w:val="1"/>
    <w:qFormat/>
    <w:uiPriority w:val="99"/>
    <w:rPr>
      <w:rFonts w:ascii="Times New Roman" w:hAnsi="Times New Roman" w:cs="Times New Roman"/>
    </w:rPr>
  </w:style>
  <w:style w:type="character" w:customStyle="1" w:styleId="16">
    <w:name w:val="Balloon Text Char"/>
    <w:basedOn w:val="10"/>
    <w:link w:val="2"/>
    <w:semiHidden/>
    <w:qFormat/>
    <w:locked/>
    <w:uiPriority w:val="99"/>
    <w:rPr>
      <w:rFonts w:ascii="Calibri" w:hAnsi="Calibri" w:cs="Calibri"/>
      <w:sz w:val="2"/>
      <w:szCs w:val="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28</Pages>
  <Words>2042</Words>
  <Characters>11643</Characters>
  <Lines>0</Lines>
  <Paragraphs>0</Paragraphs>
  <TotalTime>8</TotalTime>
  <ScaleCrop>false</ScaleCrop>
  <LinksUpToDate>false</LinksUpToDate>
  <CharactersWithSpaces>0</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work</cp:lastModifiedBy>
  <cp:lastPrinted>2019-02-27T10:06:00Z</cp:lastPrinted>
  <dcterms:modified xsi:type="dcterms:W3CDTF">2023-06-07T09:50:11Z</dcterms:modified>
  <dc:title>o</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918843180590AB42EEE07F648E159D08</vt:lpwstr>
  </property>
</Properties>
</file>