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kinsoku/>
        <w:wordWrap/>
        <w:overflowPunct w:val="0"/>
        <w:topLinePunct w:val="0"/>
        <w:autoSpaceDE/>
        <w:autoSpaceDN/>
        <w:bidi w:val="0"/>
        <w:adjustRightInd/>
        <w:snapToGrid/>
        <w:spacing w:line="570" w:lineRule="exact"/>
        <w:jc w:val="center"/>
        <w:textAlignment w:val="auto"/>
        <w:rPr>
          <w:rStyle w:val="9"/>
          <w:rFonts w:hint="eastAsia" w:ascii="方正小标宋简体" w:hAnsi="方正小标宋简体" w:eastAsia="方正小标宋简体" w:cs="方正小标宋简体"/>
          <w:b w:val="0"/>
          <w:bCs/>
          <w:color w:val="000000"/>
          <w:sz w:val="44"/>
          <w:szCs w:val="44"/>
          <w:shd w:val="clear" w:color="auto" w:fill="FFFFFF"/>
        </w:rPr>
      </w:pPr>
      <w:r>
        <w:rPr>
          <w:rStyle w:val="9"/>
          <w:rFonts w:hint="eastAsia" w:ascii="方正小标宋简体" w:hAnsi="方正小标宋简体" w:eastAsia="方正小标宋简体" w:cs="方正小标宋简体"/>
          <w:b w:val="0"/>
          <w:bCs/>
          <w:color w:val="000000"/>
          <w:sz w:val="44"/>
          <w:szCs w:val="44"/>
          <w:shd w:val="clear" w:color="auto" w:fill="FFFFFF"/>
          <w:lang w:eastAsia="zh-CN"/>
        </w:rPr>
        <w:t>隆尧县县</w:t>
      </w:r>
      <w:r>
        <w:rPr>
          <w:rStyle w:val="9"/>
          <w:rFonts w:hint="eastAsia" w:ascii="方正小标宋简体" w:hAnsi="方正小标宋简体" w:eastAsia="方正小标宋简体" w:cs="方正小标宋简体"/>
          <w:b w:val="0"/>
          <w:bCs/>
          <w:color w:val="000000"/>
          <w:sz w:val="44"/>
          <w:szCs w:val="44"/>
          <w:shd w:val="clear" w:color="auto" w:fill="FFFFFF"/>
        </w:rPr>
        <w:t>级储备粮管理办法</w:t>
      </w:r>
    </w:p>
    <w:p>
      <w:pPr>
        <w:pStyle w:val="5"/>
        <w:keepNext w:val="0"/>
        <w:keepLines w:val="0"/>
        <w:pageBreakBefore w:val="0"/>
        <w:widowControl w:val="0"/>
        <w:kinsoku/>
        <w:wordWrap/>
        <w:overflowPunct w:val="0"/>
        <w:topLinePunct w:val="0"/>
        <w:autoSpaceDE/>
        <w:autoSpaceDN/>
        <w:bidi w:val="0"/>
        <w:adjustRightInd/>
        <w:snapToGrid/>
        <w:spacing w:line="570" w:lineRule="exact"/>
        <w:jc w:val="center"/>
        <w:textAlignment w:val="auto"/>
        <w:outlineLvl w:val="9"/>
        <w:rPr>
          <w:rStyle w:val="9"/>
          <w:rFonts w:hint="eastAsia" w:ascii="方正小标宋简体" w:hAnsi="方正小标宋简体" w:eastAsia="方正小标宋简体" w:cs="方正小标宋简体"/>
          <w:b w:val="0"/>
          <w:bCs/>
          <w:color w:val="000000"/>
          <w:sz w:val="44"/>
          <w:szCs w:val="44"/>
          <w:shd w:val="clear" w:color="auto" w:fill="FFFFFF"/>
        </w:rPr>
      </w:pPr>
    </w:p>
    <w:p>
      <w:pPr>
        <w:pStyle w:val="5"/>
        <w:keepNext w:val="0"/>
        <w:keepLines w:val="0"/>
        <w:pageBreakBefore w:val="0"/>
        <w:widowControl w:val="0"/>
        <w:kinsoku/>
        <w:wordWrap/>
        <w:overflowPunct w:val="0"/>
        <w:topLinePunct w:val="0"/>
        <w:autoSpaceDE/>
        <w:autoSpaceDN/>
        <w:bidi w:val="0"/>
        <w:adjustRightInd/>
        <w:snapToGrid/>
        <w:spacing w:line="570" w:lineRule="exact"/>
        <w:jc w:val="center"/>
        <w:textAlignment w:val="auto"/>
        <w:rPr>
          <w:rFonts w:hint="eastAsia" w:ascii="黑体" w:hAnsi="黑体" w:eastAsia="黑体" w:cs="黑体"/>
          <w:color w:val="000000"/>
          <w:sz w:val="32"/>
          <w:szCs w:val="32"/>
        </w:rPr>
      </w:pPr>
      <w:r>
        <w:rPr>
          <w:rFonts w:hint="eastAsia" w:ascii="黑体" w:hAnsi="黑体" w:eastAsia="黑体" w:cs="黑体"/>
          <w:color w:val="000000"/>
          <w:sz w:val="32"/>
          <w:szCs w:val="32"/>
          <w:shd w:val="clear" w:color="auto" w:fill="FFFFFF"/>
        </w:rPr>
        <w:t>第一章  总</w:t>
      </w:r>
      <w:r>
        <w:rPr>
          <w:rFonts w:hint="eastAsia" w:ascii="黑体" w:hAnsi="黑体" w:eastAsia="黑体" w:cs="黑体"/>
          <w:color w:val="000000"/>
          <w:sz w:val="32"/>
          <w:szCs w:val="32"/>
          <w:shd w:val="clear" w:color="auto" w:fill="FFFFFF"/>
          <w:lang w:val="en-US" w:eastAsia="zh-CN"/>
        </w:rPr>
        <w:t xml:space="preserve">  </w:t>
      </w:r>
      <w:r>
        <w:rPr>
          <w:rFonts w:hint="eastAsia" w:ascii="黑体" w:hAnsi="黑体" w:eastAsia="黑体" w:cs="黑体"/>
          <w:color w:val="000000"/>
          <w:sz w:val="32"/>
          <w:szCs w:val="32"/>
          <w:shd w:val="clear" w:color="auto" w:fill="FFFFFF"/>
        </w:rPr>
        <w:t>则</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第一条</w:t>
      </w:r>
      <w:r>
        <w:rPr>
          <w:rFonts w:hint="eastAsia" w:ascii="仿宋_GB2312" w:hAnsi="仿宋_GB2312" w:eastAsia="仿宋_GB2312" w:cs="仿宋_GB2312"/>
          <w:color w:val="000000"/>
          <w:sz w:val="32"/>
          <w:szCs w:val="32"/>
          <w:shd w:val="clear" w:color="auto" w:fill="FFFFFF"/>
        </w:rPr>
        <w:t xml:space="preserve">  为了加强对</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级储备粮的管理，保证</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级储备粮数量真实、质量良好和储存安全，维护粮食市场稳定，有效发挥</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级储备粮在宏观调控中的作用，根据《河北省省级储备粮管理办法》，结合我</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实际，制定本办法。</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第二条</w:t>
      </w:r>
      <w:r>
        <w:rPr>
          <w:rFonts w:hint="eastAsia" w:ascii="仿宋_GB2312" w:hAnsi="仿宋_GB2312" w:eastAsia="仿宋_GB2312" w:cs="仿宋_GB2312"/>
          <w:color w:val="000000"/>
          <w:sz w:val="32"/>
          <w:szCs w:val="32"/>
          <w:shd w:val="clear" w:color="auto" w:fill="FFFFFF"/>
        </w:rPr>
        <w:t xml:space="preserve">  本办法所称</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级储备粮，是指</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政府储备的用于调节全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粮食供求总量，稳定粮食市场，应对突发公共事件的粮食。</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 xml:space="preserve">第三条 </w:t>
      </w:r>
      <w:r>
        <w:rPr>
          <w:rFonts w:hint="eastAsia" w:ascii="仿宋_GB2312" w:hAnsi="仿宋_GB2312" w:eastAsia="仿宋_GB2312" w:cs="仿宋_GB2312"/>
          <w:color w:val="000000"/>
          <w:sz w:val="32"/>
          <w:szCs w:val="32"/>
          <w:shd w:val="clear" w:color="auto" w:fill="FFFFFF"/>
        </w:rPr>
        <w:t xml:space="preserve"> 从事和参与</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级储备粮经营管理、监督活动的单位和个人，应当遵守本办法。</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 xml:space="preserve">第四条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级储备粮的管理应当严格制度、严格管理、严格责任，确保</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级储备粮储得进、管得好、调得动、用得上，并节约成本、费用。</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级储备粮的调用权归</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政府。未经</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政府批准，任何单位和个人不得擅自动用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 xml:space="preserve">第五条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）负责组织拟订</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级储备粮规模总量、总体布局和动用的宏观调控意见，报</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政府批准后组织实施，</w:t>
      </w:r>
      <w:r>
        <w:rPr>
          <w:rFonts w:ascii="仿宋_GB2312" w:hAnsi="仿宋_GB2312" w:eastAsia="仿宋_GB2312" w:cs="仿宋_GB2312"/>
          <w:color w:val="000000"/>
          <w:sz w:val="32"/>
          <w:szCs w:val="32"/>
          <w:shd w:val="clear" w:color="auto" w:fill="FFFFFF"/>
        </w:rPr>
        <w:t>并对</w:t>
      </w:r>
      <w:r>
        <w:rPr>
          <w:rFonts w:hint="eastAsia" w:ascii="仿宋_GB2312" w:hAnsi="仿宋_GB2312" w:eastAsia="仿宋_GB2312" w:cs="仿宋_GB2312"/>
          <w:color w:val="000000"/>
          <w:sz w:val="32"/>
          <w:szCs w:val="32"/>
          <w:shd w:val="clear" w:color="auto" w:fill="FFFFFF"/>
          <w:lang w:eastAsia="zh-CN"/>
        </w:rPr>
        <w:t>县</w:t>
      </w:r>
      <w:r>
        <w:rPr>
          <w:rFonts w:ascii="仿宋_GB2312" w:hAnsi="仿宋_GB2312" w:eastAsia="仿宋_GB2312" w:cs="仿宋_GB2312"/>
          <w:color w:val="000000"/>
          <w:sz w:val="32"/>
          <w:szCs w:val="32"/>
          <w:shd w:val="clear" w:color="auto" w:fill="FFFFFF"/>
        </w:rPr>
        <w:t>级储备粮管</w:t>
      </w:r>
      <w:r>
        <w:rPr>
          <w:rFonts w:hint="eastAsia" w:ascii="仿宋_GB2312" w:hAnsi="仿宋_GB2312" w:eastAsia="仿宋_GB2312" w:cs="仿宋_GB2312"/>
          <w:color w:val="000000"/>
          <w:sz w:val="32"/>
          <w:szCs w:val="32"/>
          <w:shd w:val="clear" w:color="auto" w:fill="FFFFFF"/>
        </w:rPr>
        <w:t>理</w:t>
      </w:r>
      <w:r>
        <w:rPr>
          <w:rFonts w:ascii="仿宋_GB2312" w:hAnsi="仿宋_GB2312" w:eastAsia="仿宋_GB2312" w:cs="仿宋_GB2312"/>
          <w:color w:val="000000"/>
          <w:sz w:val="32"/>
          <w:szCs w:val="32"/>
          <w:shd w:val="clear" w:color="auto" w:fill="FFFFFF"/>
        </w:rPr>
        <w:t>进行指导和协调</w:t>
      </w:r>
      <w:r>
        <w:rPr>
          <w:rFonts w:hint="eastAsia" w:ascii="仿宋_GB2312" w:hAnsi="仿宋_GB2312" w:eastAsia="仿宋_GB2312" w:cs="仿宋_GB2312"/>
          <w:color w:val="000000"/>
          <w:sz w:val="32"/>
          <w:szCs w:val="32"/>
          <w:shd w:val="clear" w:color="auto" w:fill="FFFFFF"/>
        </w:rPr>
        <w:t>。</w:t>
      </w:r>
    </w:p>
    <w:p>
      <w:pPr>
        <w:keepNext w:val="0"/>
        <w:keepLines w:val="0"/>
        <w:pageBreakBefore w:val="0"/>
        <w:widowControl w:val="0"/>
        <w:kinsoku/>
        <w:wordWrap/>
        <w:overflowPunct w:val="0"/>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第六条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财政部门负责安排</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级储备粮的贷款利息、</w:t>
      </w:r>
      <w:r>
        <w:rPr>
          <w:rFonts w:hint="eastAsia" w:ascii="仿宋_GB2312" w:hAnsi="仿宋_GB2312" w:eastAsia="仿宋_GB2312" w:cs="仿宋_GB2312"/>
          <w:color w:val="000000"/>
          <w:sz w:val="32"/>
          <w:szCs w:val="32"/>
          <w:shd w:val="clear" w:color="auto" w:fill="FFFFFF"/>
          <w:lang w:eastAsia="zh-CN"/>
        </w:rPr>
        <w:t>管理费用</w:t>
      </w:r>
      <w:r>
        <w:rPr>
          <w:rFonts w:hint="eastAsia" w:ascii="仿宋_GB2312" w:hAnsi="仿宋_GB2312" w:eastAsia="仿宋_GB2312" w:cs="仿宋_GB2312"/>
          <w:color w:val="000000"/>
          <w:sz w:val="32"/>
          <w:szCs w:val="32"/>
          <w:shd w:val="clear" w:color="auto" w:fill="FFFFFF"/>
        </w:rPr>
        <w:t>等财政补贴，保证及时、足额拨付，制定</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级储备粮的财政</w:t>
      </w:r>
      <w:r>
        <w:rPr>
          <w:rFonts w:ascii="仿宋_GB2312" w:hAnsi="仿宋_GB2312" w:eastAsia="仿宋_GB2312" w:cs="仿宋_GB2312"/>
          <w:color w:val="000000"/>
          <w:sz w:val="32"/>
          <w:szCs w:val="32"/>
          <w:shd w:val="clear" w:color="auto" w:fill="FFFFFF"/>
        </w:rPr>
        <w:t>补贴</w:t>
      </w:r>
      <w:r>
        <w:rPr>
          <w:rFonts w:hint="eastAsia" w:ascii="仿宋_GB2312" w:hAnsi="仿宋_GB2312" w:eastAsia="仿宋_GB2312" w:cs="仿宋_GB2312"/>
          <w:color w:val="000000"/>
          <w:sz w:val="32"/>
          <w:szCs w:val="32"/>
          <w:shd w:val="clear" w:color="auto" w:fill="FFFFFF"/>
        </w:rPr>
        <w:t>资金管理办法，并负责对</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级储备粮财政</w:t>
      </w:r>
      <w:r>
        <w:rPr>
          <w:rFonts w:ascii="仿宋_GB2312" w:hAnsi="仿宋_GB2312" w:eastAsia="仿宋_GB2312" w:cs="仿宋_GB2312"/>
          <w:color w:val="000000"/>
          <w:sz w:val="32"/>
          <w:szCs w:val="32"/>
          <w:shd w:val="clear" w:color="auto" w:fill="FFFFFF"/>
        </w:rPr>
        <w:t>补贴</w:t>
      </w:r>
      <w:r>
        <w:rPr>
          <w:rFonts w:hint="eastAsia" w:ascii="仿宋_GB2312" w:hAnsi="仿宋_GB2312" w:eastAsia="仿宋_GB2312" w:cs="仿宋_GB2312"/>
          <w:color w:val="000000"/>
          <w:sz w:val="32"/>
          <w:szCs w:val="32"/>
          <w:shd w:val="clear" w:color="auto" w:fill="FFFFFF"/>
        </w:rPr>
        <w:t>资金使用情况实施监督检查。</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ascii="黑体" w:hAnsi="黑体" w:eastAsia="黑体" w:cs="黑体"/>
          <w:color w:val="000000"/>
          <w:sz w:val="32"/>
          <w:szCs w:val="32"/>
          <w:shd w:val="clear" w:color="auto" w:fill="FFFFFF"/>
        </w:rPr>
      </w:pPr>
      <w:r>
        <w:rPr>
          <w:rFonts w:hint="eastAsia" w:ascii="黑体" w:hAnsi="黑体" w:eastAsia="黑体" w:cs="黑体"/>
          <w:color w:val="000000"/>
          <w:sz w:val="32"/>
          <w:szCs w:val="32"/>
          <w:shd w:val="clear" w:color="auto" w:fill="FFFFFF"/>
        </w:rPr>
        <w:t xml:space="preserve">第七条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）负责</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级储备粮的行政管理，对</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级储备粮的数量、质量和储存安全负责，依法实施监督检查，并依照国家、省</w:t>
      </w:r>
      <w:r>
        <w:rPr>
          <w:rFonts w:hint="eastAsia" w:ascii="仿宋_GB2312" w:hAnsi="仿宋_GB2312" w:eastAsia="仿宋_GB2312" w:cs="仿宋_GB2312"/>
          <w:color w:val="000000"/>
          <w:sz w:val="32"/>
          <w:szCs w:val="32"/>
          <w:shd w:val="clear" w:color="auto" w:fill="FFFFFF"/>
          <w:lang w:eastAsia="zh-CN"/>
        </w:rPr>
        <w:t>、</w:t>
      </w:r>
      <w:r>
        <w:rPr>
          <w:rFonts w:hint="eastAsia" w:ascii="仿宋_GB2312" w:hAnsi="仿宋_GB2312" w:eastAsia="仿宋_GB2312" w:cs="仿宋_GB2312"/>
          <w:color w:val="000000"/>
          <w:sz w:val="32"/>
          <w:szCs w:val="32"/>
          <w:shd w:val="clear" w:color="auto" w:fill="FFFFFF"/>
        </w:rPr>
        <w:t>市有关规定建立健全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级储备粮各项业务管理制度。</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第八条</w:t>
      </w:r>
      <w:r>
        <w:rPr>
          <w:rFonts w:hint="eastAsia" w:ascii="仿宋_GB2312" w:hAnsi="仿宋_GB2312" w:eastAsia="仿宋_GB2312" w:cs="仿宋_GB2312"/>
          <w:color w:val="000000"/>
          <w:sz w:val="32"/>
          <w:szCs w:val="32"/>
          <w:shd w:val="clear" w:color="auto" w:fill="FFFFFF"/>
        </w:rPr>
        <w:t xml:space="preserve">  中国农业发展银行</w:t>
      </w:r>
      <w:r>
        <w:rPr>
          <w:rFonts w:hint="eastAsia" w:ascii="仿宋_GB2312" w:hAnsi="仿宋_GB2312" w:eastAsia="仿宋_GB2312" w:cs="仿宋_GB2312"/>
          <w:color w:val="000000"/>
          <w:sz w:val="32"/>
          <w:szCs w:val="32"/>
          <w:shd w:val="clear" w:color="auto" w:fill="FFFFFF"/>
          <w:lang w:eastAsia="zh-CN"/>
        </w:rPr>
        <w:t>隆尧县支行</w:t>
      </w:r>
      <w:r>
        <w:rPr>
          <w:rFonts w:hint="eastAsia" w:ascii="仿宋_GB2312" w:hAnsi="仿宋_GB2312" w:eastAsia="仿宋_GB2312" w:cs="仿宋_GB2312"/>
          <w:color w:val="000000"/>
          <w:sz w:val="32"/>
          <w:szCs w:val="32"/>
          <w:shd w:val="clear" w:color="auto" w:fill="FFFFFF"/>
        </w:rPr>
        <w:t>（以下简称</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）依照国家有关规定，及时、足额安排</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级储备粮所需贷款，并对发放的贷款实施信贷监管。</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第九条</w:t>
      </w:r>
      <w:r>
        <w:rPr>
          <w:rFonts w:hint="eastAsia" w:ascii="仿宋_GB2312" w:hAnsi="仿宋_GB2312" w:eastAsia="仿宋_GB2312" w:cs="仿宋_GB2312"/>
          <w:color w:val="000000"/>
          <w:sz w:val="32"/>
          <w:szCs w:val="32"/>
          <w:shd w:val="clear" w:color="auto" w:fill="FFFFFF"/>
        </w:rPr>
        <w:t xml:space="preserve">  任何单位和个人不得以任何方式骗取、挤占、截留、挪用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级储备粮贷款、贷款利息、管理费用、轮换费用等财政补贴。</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第十条</w:t>
      </w:r>
      <w:r>
        <w:rPr>
          <w:rFonts w:hint="eastAsia" w:ascii="仿宋_GB2312" w:hAnsi="仿宋_GB2312" w:eastAsia="仿宋_GB2312" w:cs="仿宋_GB2312"/>
          <w:color w:val="000000"/>
          <w:sz w:val="32"/>
          <w:szCs w:val="32"/>
          <w:shd w:val="clear" w:color="auto" w:fill="FFFFFF"/>
        </w:rPr>
        <w:t xml:space="preserve">  任何单位和个人不得破坏</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级储备粮仓储设施，不得偷盗、哄抢或者损毁</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级储备粮。对破坏</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级储备粮仓储设施，偷盗、哄抢或者损毁</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级储备粮的违法行为，应当及时组织有关部门予以制止、查处。</w:t>
      </w:r>
    </w:p>
    <w:p>
      <w:pPr>
        <w:pStyle w:val="5"/>
        <w:keepNext w:val="0"/>
        <w:keepLines w:val="0"/>
        <w:pageBreakBefore w:val="0"/>
        <w:widowControl w:val="0"/>
        <w:kinsoku/>
        <w:wordWrap/>
        <w:overflowPunct w:val="0"/>
        <w:topLinePunct w:val="0"/>
        <w:autoSpaceDE/>
        <w:autoSpaceDN/>
        <w:bidi w:val="0"/>
        <w:adjustRightInd/>
        <w:snapToGrid/>
        <w:spacing w:line="570" w:lineRule="exact"/>
        <w:jc w:val="distribute"/>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 xml:space="preserve">    第十</w:t>
      </w:r>
      <w:r>
        <w:rPr>
          <w:rFonts w:hint="eastAsia" w:ascii="黑体" w:hAnsi="黑体" w:eastAsia="黑体" w:cs="黑体"/>
          <w:color w:val="000000"/>
          <w:sz w:val="32"/>
          <w:szCs w:val="32"/>
          <w:shd w:val="clear" w:color="auto" w:fill="FFFFFF"/>
          <w:lang w:eastAsia="zh-CN"/>
        </w:rPr>
        <w:t>一</w:t>
      </w:r>
      <w:r>
        <w:rPr>
          <w:rFonts w:hint="eastAsia" w:ascii="黑体" w:hAnsi="黑体" w:eastAsia="黑体" w:cs="黑体"/>
          <w:color w:val="000000"/>
          <w:sz w:val="32"/>
          <w:szCs w:val="32"/>
          <w:shd w:val="clear" w:color="auto" w:fill="FFFFFF"/>
        </w:rPr>
        <w:t>条</w:t>
      </w:r>
      <w:r>
        <w:rPr>
          <w:rFonts w:ascii="黑体" w:hAnsi="黑体" w:eastAsia="黑体" w:cs="黑体"/>
          <w:color w:val="000000"/>
          <w:sz w:val="32"/>
          <w:szCs w:val="32"/>
          <w:shd w:val="clear" w:color="auto" w:fill="FFFFFF"/>
        </w:rPr>
        <w:t xml:space="preserve"> </w:t>
      </w:r>
      <w:r>
        <w:rPr>
          <w:rFonts w:hint="eastAsia" w:ascii="黑体" w:hAnsi="黑体" w:eastAsia="黑体" w:cs="黑体"/>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rPr>
        <w:t>任何单位和个人对</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级储备粮经营管理中的违</w:t>
      </w:r>
    </w:p>
    <w:p>
      <w:pPr>
        <w:pStyle w:val="5"/>
        <w:keepNext w:val="0"/>
        <w:keepLines w:val="0"/>
        <w:pageBreakBefore w:val="0"/>
        <w:widowControl w:val="0"/>
        <w:kinsoku/>
        <w:wordWrap/>
        <w:overflowPunct w:val="0"/>
        <w:topLinePunct w:val="0"/>
        <w:autoSpaceDE/>
        <w:autoSpaceDN/>
        <w:bidi w:val="0"/>
        <w:adjustRightInd/>
        <w:snapToGrid/>
        <w:spacing w:line="570" w:lineRule="exac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color="auto" w:fill="FFFFFF"/>
        </w:rPr>
        <w:t>法行为，均有权向</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）等有关部门举报。</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）等有关部门接到举报后，应当及时查处；举报事项的处理属于其他部门职责范围的，应当及时移送其他部门处理。</w:t>
      </w:r>
    </w:p>
    <w:p>
      <w:pPr>
        <w:pStyle w:val="5"/>
        <w:keepNext w:val="0"/>
        <w:keepLines w:val="0"/>
        <w:pageBreakBefore w:val="0"/>
        <w:widowControl w:val="0"/>
        <w:kinsoku/>
        <w:wordWrap/>
        <w:overflowPunct w:val="0"/>
        <w:topLinePunct w:val="0"/>
        <w:autoSpaceDE/>
        <w:autoSpaceDN/>
        <w:bidi w:val="0"/>
        <w:adjustRightInd/>
        <w:snapToGrid/>
        <w:spacing w:line="570" w:lineRule="exact"/>
        <w:jc w:val="center"/>
        <w:textAlignment w:val="auto"/>
        <w:rPr>
          <w:rFonts w:hint="eastAsia" w:ascii="黑体" w:hAnsi="黑体" w:eastAsia="黑体" w:cs="黑体"/>
          <w:color w:val="000000"/>
          <w:sz w:val="32"/>
          <w:szCs w:val="32"/>
          <w:shd w:val="clear" w:color="auto" w:fill="FFFFFF"/>
        </w:rPr>
      </w:pPr>
      <w:r>
        <w:rPr>
          <w:rFonts w:hint="eastAsia" w:ascii="黑体" w:hAnsi="黑体" w:eastAsia="黑体" w:cs="黑体"/>
          <w:color w:val="000000"/>
          <w:sz w:val="32"/>
          <w:szCs w:val="32"/>
          <w:shd w:val="clear" w:color="auto" w:fill="FFFFFF"/>
        </w:rPr>
        <w:t xml:space="preserve">第二章  </w:t>
      </w:r>
      <w:r>
        <w:rPr>
          <w:rFonts w:hint="eastAsia" w:ascii="黑体" w:hAnsi="黑体" w:eastAsia="黑体" w:cs="黑体"/>
          <w:color w:val="000000"/>
          <w:sz w:val="32"/>
          <w:szCs w:val="32"/>
          <w:shd w:val="clear" w:color="auto" w:fill="FFFFFF"/>
          <w:lang w:eastAsia="zh-CN"/>
        </w:rPr>
        <w:t>县</w:t>
      </w:r>
      <w:r>
        <w:rPr>
          <w:rFonts w:hint="eastAsia" w:ascii="黑体" w:hAnsi="黑体" w:eastAsia="黑体" w:cs="黑体"/>
          <w:color w:val="000000"/>
          <w:sz w:val="32"/>
          <w:szCs w:val="32"/>
          <w:shd w:val="clear" w:color="auto" w:fill="FFFFFF"/>
        </w:rPr>
        <w:t>级储备粮的计划</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第十二条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级储备粮的收购、销售计划，由</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）根据</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政府批准的</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级储备粮储存规模、品种和总体布局方案提出建议，经</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财政部门审核同意后，由</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）会</w:t>
      </w:r>
      <w:r>
        <w:rPr>
          <w:rFonts w:ascii="仿宋_GB2312" w:hAnsi="仿宋_GB2312" w:eastAsia="仿宋_GB2312" w:cs="仿宋_GB2312"/>
          <w:color w:val="000000"/>
          <w:sz w:val="32"/>
          <w:szCs w:val="32"/>
          <w:shd w:val="clear" w:color="auto" w:fill="FFFFFF"/>
        </w:rPr>
        <w:t>同</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共同下达承担</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级储备粮储存任务的企业（以下简称承储企业）。</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第十三条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级储备粮年度轮换计划由</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）根据</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级储备粮的品质和储存年限以及粮食市场形势的分析提出建议，与</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财政部门和</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协商一致报</w:t>
      </w:r>
      <w:r>
        <w:rPr>
          <w:rFonts w:hint="eastAsia" w:ascii="仿宋_GB2312" w:hAnsi="仿宋_GB2312" w:eastAsia="仿宋_GB2312" w:cs="仿宋_GB2312"/>
          <w:color w:val="000000"/>
          <w:sz w:val="32"/>
          <w:szCs w:val="32"/>
          <w:shd w:val="clear" w:color="auto" w:fill="FFFFFF"/>
          <w:lang w:eastAsia="zh-CN"/>
        </w:rPr>
        <w:t>县</w:t>
      </w:r>
      <w:r>
        <w:rPr>
          <w:rFonts w:ascii="仿宋_GB2312" w:hAnsi="仿宋_GB2312" w:eastAsia="仿宋_GB2312" w:cs="仿宋_GB2312"/>
          <w:color w:val="000000"/>
          <w:sz w:val="32"/>
          <w:szCs w:val="32"/>
          <w:shd w:val="clear" w:color="auto" w:fill="FFFFFF"/>
        </w:rPr>
        <w:t>政府批准</w:t>
      </w:r>
      <w:r>
        <w:rPr>
          <w:rFonts w:hint="eastAsia" w:ascii="仿宋_GB2312" w:hAnsi="仿宋_GB2312" w:eastAsia="仿宋_GB2312" w:cs="仿宋_GB2312"/>
          <w:color w:val="000000"/>
          <w:sz w:val="32"/>
          <w:szCs w:val="32"/>
          <w:shd w:val="clear" w:color="auto" w:fill="FFFFFF"/>
        </w:rPr>
        <w:t>后共同下达。</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ascii="仿宋_GB2312" w:hAnsi="仿宋_GB2312" w:eastAsia="仿宋_GB2312" w:cs="仿宋_GB2312"/>
          <w:sz w:val="32"/>
          <w:szCs w:val="32"/>
          <w:shd w:val="clear" w:color="auto" w:fill="FFFFFF"/>
        </w:rPr>
      </w:pPr>
      <w:r>
        <w:rPr>
          <w:rFonts w:hint="eastAsia" w:ascii="黑体" w:hAnsi="黑体" w:eastAsia="黑体" w:cs="黑体"/>
          <w:color w:val="000000"/>
          <w:sz w:val="32"/>
          <w:szCs w:val="32"/>
          <w:shd w:val="clear" w:color="auto" w:fill="FFFFFF"/>
        </w:rPr>
        <w:t>第十四条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）根据</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级储备粮的收购、销售和轮换计划，具体组织实施</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w:t>
      </w:r>
      <w:r>
        <w:rPr>
          <w:rFonts w:hint="eastAsia" w:ascii="仿宋_GB2312" w:hAnsi="仿宋_GB2312" w:eastAsia="仿宋_GB2312" w:cs="仿宋_GB2312"/>
          <w:sz w:val="32"/>
          <w:szCs w:val="32"/>
          <w:shd w:val="clear" w:color="auto" w:fill="FFFFFF"/>
        </w:rPr>
        <w:t>的收购、销售和轮换。</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sz w:val="32"/>
          <w:szCs w:val="32"/>
        </w:rPr>
      </w:pPr>
      <w:r>
        <w:rPr>
          <w:rFonts w:hint="eastAsia" w:ascii="黑体" w:hAnsi="黑体" w:eastAsia="黑体" w:cs="黑体"/>
          <w:sz w:val="32"/>
          <w:szCs w:val="32"/>
          <w:shd w:val="clear" w:color="auto" w:fill="FFFFFF"/>
        </w:rPr>
        <w:t>第十五条</w:t>
      </w:r>
      <w:r>
        <w:rPr>
          <w:rFonts w:ascii="仿宋_GB2312" w:hAnsi="仿宋_GB2312" w:eastAsia="仿宋_GB2312" w:cs="仿宋_GB2312"/>
          <w:sz w:val="32"/>
          <w:szCs w:val="32"/>
          <w:shd w:val="clear" w:color="auto" w:fill="FFFFFF"/>
        </w:rPr>
        <w:t xml:space="preserve">  </w:t>
      </w:r>
      <w:r>
        <w:rPr>
          <w:rFonts w:hint="eastAsia" w:ascii="仿宋_GB2312" w:hAnsi="仿宋_GB2312" w:eastAsia="仿宋_GB2312" w:cs="仿宋_GB2312"/>
          <w:sz w:val="32"/>
          <w:szCs w:val="32"/>
          <w:shd w:val="clear" w:color="auto" w:fill="FFFFFF"/>
          <w:lang w:eastAsia="zh-CN"/>
        </w:rPr>
        <w:t>县</w:t>
      </w:r>
      <w:r>
        <w:rPr>
          <w:rFonts w:hint="eastAsia" w:ascii="仿宋_GB2312" w:hAnsi="仿宋_GB2312" w:eastAsia="仿宋_GB2312" w:cs="仿宋_GB2312"/>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sz w:val="32"/>
          <w:szCs w:val="32"/>
          <w:shd w:val="clear" w:color="auto" w:fill="FFFFFF"/>
        </w:rPr>
        <w:t>）应当将</w:t>
      </w:r>
      <w:r>
        <w:rPr>
          <w:rFonts w:hint="eastAsia" w:ascii="仿宋_GB2312" w:hAnsi="仿宋_GB2312" w:eastAsia="仿宋_GB2312" w:cs="仿宋_GB2312"/>
          <w:sz w:val="32"/>
          <w:szCs w:val="32"/>
          <w:shd w:val="clear" w:color="auto" w:fill="FFFFFF"/>
          <w:lang w:eastAsia="zh-CN"/>
        </w:rPr>
        <w:t>县</w:t>
      </w:r>
      <w:r>
        <w:rPr>
          <w:rFonts w:hint="eastAsia" w:ascii="仿宋_GB2312" w:hAnsi="仿宋_GB2312" w:eastAsia="仿宋_GB2312" w:cs="仿宋_GB2312"/>
          <w:sz w:val="32"/>
          <w:szCs w:val="32"/>
          <w:shd w:val="clear" w:color="auto" w:fill="FFFFFF"/>
        </w:rPr>
        <w:t>级储备粮收购、销售、年度及各批次轮换计划的具体执行情况，及时抄送</w:t>
      </w:r>
      <w:r>
        <w:rPr>
          <w:rFonts w:hint="eastAsia" w:ascii="仿宋_GB2312" w:hAnsi="仿宋_GB2312" w:eastAsia="仿宋_GB2312" w:cs="仿宋_GB2312"/>
          <w:sz w:val="32"/>
          <w:szCs w:val="32"/>
          <w:shd w:val="clear" w:color="auto" w:fill="FFFFFF"/>
          <w:lang w:eastAsia="zh-CN"/>
        </w:rPr>
        <w:t>县</w:t>
      </w:r>
      <w:r>
        <w:rPr>
          <w:rFonts w:hint="eastAsia" w:ascii="仿宋_GB2312" w:hAnsi="仿宋_GB2312" w:eastAsia="仿宋_GB2312" w:cs="仿宋_GB2312"/>
          <w:sz w:val="32"/>
          <w:szCs w:val="32"/>
          <w:shd w:val="clear" w:color="auto" w:fill="FFFFFF"/>
        </w:rPr>
        <w:t>财政部门和</w:t>
      </w:r>
      <w:r>
        <w:rPr>
          <w:rFonts w:hint="eastAsia" w:ascii="仿宋_GB2312" w:hAnsi="仿宋_GB2312" w:eastAsia="仿宋_GB2312" w:cs="仿宋_GB2312"/>
          <w:sz w:val="32"/>
          <w:szCs w:val="32"/>
          <w:shd w:val="clear" w:color="auto" w:fill="FFFFFF"/>
          <w:lang w:eastAsia="zh-CN"/>
        </w:rPr>
        <w:t>县农发行</w:t>
      </w:r>
      <w:r>
        <w:rPr>
          <w:rFonts w:hint="eastAsia" w:ascii="仿宋_GB2312" w:hAnsi="仿宋_GB2312" w:eastAsia="仿宋_GB2312" w:cs="仿宋_GB2312"/>
          <w:sz w:val="32"/>
          <w:szCs w:val="32"/>
          <w:shd w:val="clear" w:color="auto" w:fill="FFFFFF"/>
        </w:rPr>
        <w:t>。</w:t>
      </w:r>
    </w:p>
    <w:p>
      <w:pPr>
        <w:pStyle w:val="5"/>
        <w:keepNext w:val="0"/>
        <w:keepLines w:val="0"/>
        <w:pageBreakBefore w:val="0"/>
        <w:widowControl w:val="0"/>
        <w:kinsoku/>
        <w:wordWrap/>
        <w:overflowPunct w:val="0"/>
        <w:topLinePunct w:val="0"/>
        <w:autoSpaceDE/>
        <w:autoSpaceDN/>
        <w:bidi w:val="0"/>
        <w:adjustRightInd/>
        <w:snapToGrid/>
        <w:spacing w:line="570" w:lineRule="exact"/>
        <w:jc w:val="center"/>
        <w:textAlignment w:val="auto"/>
        <w:rPr>
          <w:rFonts w:hint="eastAsia" w:ascii="黑体" w:hAnsi="黑体" w:eastAsia="黑体" w:cs="黑体"/>
          <w:sz w:val="32"/>
          <w:szCs w:val="32"/>
          <w:shd w:val="clear" w:color="auto" w:fill="FFFFFF"/>
        </w:rPr>
      </w:pPr>
      <w:r>
        <w:rPr>
          <w:rFonts w:hint="eastAsia" w:ascii="黑体" w:hAnsi="黑体" w:eastAsia="黑体" w:cs="黑体"/>
          <w:sz w:val="32"/>
          <w:szCs w:val="32"/>
          <w:shd w:val="clear" w:color="auto" w:fill="FFFFFF"/>
        </w:rPr>
        <w:t xml:space="preserve">第三章  </w:t>
      </w:r>
      <w:r>
        <w:rPr>
          <w:rFonts w:hint="eastAsia" w:ascii="黑体" w:hAnsi="黑体" w:eastAsia="黑体" w:cs="黑体"/>
          <w:sz w:val="32"/>
          <w:szCs w:val="32"/>
          <w:shd w:val="clear" w:color="auto" w:fill="FFFFFF"/>
          <w:lang w:eastAsia="zh-CN"/>
        </w:rPr>
        <w:t>县</w:t>
      </w:r>
      <w:r>
        <w:rPr>
          <w:rFonts w:hint="eastAsia" w:ascii="黑体" w:hAnsi="黑体" w:eastAsia="黑体" w:cs="黑体"/>
          <w:sz w:val="32"/>
          <w:szCs w:val="32"/>
          <w:shd w:val="clear" w:color="auto" w:fill="FFFFFF"/>
        </w:rPr>
        <w:t>级储备粮的储存</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sz w:val="32"/>
          <w:szCs w:val="32"/>
        </w:rPr>
      </w:pPr>
      <w:r>
        <w:rPr>
          <w:rFonts w:hint="eastAsia" w:ascii="黑体" w:hAnsi="黑体" w:eastAsia="黑体" w:cs="黑体"/>
          <w:sz w:val="32"/>
          <w:szCs w:val="32"/>
          <w:shd w:val="clear" w:color="auto" w:fill="FFFFFF"/>
        </w:rPr>
        <w:t>第十六条</w:t>
      </w:r>
      <w:r>
        <w:rPr>
          <w:rFonts w:hint="eastAsia" w:ascii="仿宋_GB2312" w:hAnsi="仿宋_GB2312" w:eastAsia="仿宋_GB2312" w:cs="仿宋_GB2312"/>
          <w:sz w:val="32"/>
          <w:szCs w:val="32"/>
          <w:shd w:val="clear" w:color="auto" w:fill="FFFFFF"/>
        </w:rPr>
        <w:t xml:space="preserve">  </w:t>
      </w:r>
      <w:r>
        <w:rPr>
          <w:rFonts w:hint="eastAsia" w:ascii="仿宋_GB2312" w:hAnsi="仿宋_GB2312" w:eastAsia="仿宋_GB2312" w:cs="仿宋_GB2312"/>
          <w:sz w:val="32"/>
          <w:szCs w:val="32"/>
          <w:shd w:val="clear" w:color="auto" w:fill="FFFFFF"/>
          <w:lang w:eastAsia="zh-CN"/>
        </w:rPr>
        <w:t>县</w:t>
      </w:r>
      <w:r>
        <w:rPr>
          <w:rFonts w:hint="eastAsia" w:ascii="仿宋_GB2312" w:hAnsi="仿宋_GB2312" w:eastAsia="仿宋_GB2312" w:cs="仿宋_GB2312"/>
          <w:sz w:val="32"/>
          <w:szCs w:val="32"/>
          <w:shd w:val="clear" w:color="auto" w:fill="FFFFFF"/>
        </w:rPr>
        <w:t>级储备粮的承储企业应当具备下列条件：</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（一）同一库区完好</w:t>
      </w:r>
      <w:r>
        <w:rPr>
          <w:rFonts w:hint="eastAsia" w:ascii="仿宋_GB2312" w:hAnsi="仿宋_GB2312" w:eastAsia="仿宋_GB2312" w:cs="仿宋_GB2312"/>
          <w:sz w:val="32"/>
          <w:szCs w:val="32"/>
          <w:shd w:val="clear" w:color="auto" w:fill="FFFFFF"/>
          <w:lang w:eastAsia="zh-CN"/>
        </w:rPr>
        <w:t>仓库容量一般在</w:t>
      </w:r>
      <w:r>
        <w:rPr>
          <w:rFonts w:hint="eastAsia" w:ascii="仿宋_GB2312" w:hAnsi="仿宋_GB2312" w:eastAsia="仿宋_GB2312" w:cs="仿宋_GB2312"/>
          <w:sz w:val="32"/>
          <w:szCs w:val="32"/>
          <w:shd w:val="clear" w:color="auto" w:fill="FFFFFF"/>
          <w:lang w:val="en-US" w:eastAsia="zh-CN"/>
        </w:rPr>
        <w:t>1万吨以上</w:t>
      </w:r>
      <w:r>
        <w:rPr>
          <w:rFonts w:hint="eastAsia" w:ascii="仿宋_GB2312" w:hAnsi="仿宋_GB2312" w:eastAsia="仿宋_GB2312" w:cs="仿宋_GB2312"/>
          <w:sz w:val="32"/>
          <w:szCs w:val="32"/>
          <w:shd w:val="clear" w:color="auto" w:fill="FFFFFF"/>
        </w:rPr>
        <w:t>；</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shd w:val="clear" w:color="auto" w:fill="FFFFFF"/>
        </w:rPr>
        <w:t>（二）具有与粮食储存功能、仓型、进出粮方式、粮食品种、储粮周期等相适应的仓储设施；</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shd w:val="clear" w:color="auto" w:fill="FFFFFF"/>
        </w:rPr>
        <w:t>（三）具有符合国家标准的</w:t>
      </w:r>
      <w:r>
        <w:rPr>
          <w:rFonts w:hint="eastAsia" w:ascii="仿宋_GB2312" w:hAnsi="仿宋_GB2312" w:eastAsia="仿宋_GB2312" w:cs="仿宋_GB2312"/>
          <w:sz w:val="32"/>
          <w:szCs w:val="32"/>
          <w:shd w:val="clear" w:color="auto" w:fill="FFFFFF"/>
          <w:lang w:eastAsia="zh-CN"/>
        </w:rPr>
        <w:t>县</w:t>
      </w:r>
      <w:r>
        <w:rPr>
          <w:rFonts w:hint="eastAsia" w:ascii="仿宋_GB2312" w:hAnsi="仿宋_GB2312" w:eastAsia="仿宋_GB2312" w:cs="仿宋_GB2312"/>
          <w:sz w:val="32"/>
          <w:szCs w:val="32"/>
          <w:shd w:val="clear" w:color="auto" w:fill="FFFFFF"/>
        </w:rPr>
        <w:t>级储备粮质量等级检测仪器和场所，具备检测</w:t>
      </w:r>
      <w:r>
        <w:rPr>
          <w:rFonts w:hint="eastAsia" w:ascii="仿宋_GB2312" w:hAnsi="仿宋_GB2312" w:eastAsia="仿宋_GB2312" w:cs="仿宋_GB2312"/>
          <w:sz w:val="32"/>
          <w:szCs w:val="32"/>
          <w:shd w:val="clear" w:color="auto" w:fill="FFFFFF"/>
          <w:lang w:eastAsia="zh-CN"/>
        </w:rPr>
        <w:t>县</w:t>
      </w:r>
      <w:r>
        <w:rPr>
          <w:rFonts w:hint="eastAsia" w:ascii="仿宋_GB2312" w:hAnsi="仿宋_GB2312" w:eastAsia="仿宋_GB2312" w:cs="仿宋_GB2312"/>
          <w:sz w:val="32"/>
          <w:szCs w:val="32"/>
          <w:shd w:val="clear" w:color="auto" w:fill="FFFFFF"/>
        </w:rPr>
        <w:t>级储备粮储存期间仓库内温度、水分、害虫密度的条件；</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shd w:val="clear" w:color="auto" w:fill="FFFFFF"/>
        </w:rPr>
        <w:t>（四）具有经过专业培训，并取得有关主管部门颁发的资格证书的粮食保管、检验、防治等管理技术人员；</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（五）经营管理和信誉良好，并无严重违法经营记录。</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FF0000"/>
          <w:sz w:val="32"/>
          <w:szCs w:val="32"/>
          <w:shd w:val="clear" w:color="auto" w:fill="FFFFFF"/>
        </w:rPr>
      </w:pPr>
      <w:r>
        <w:rPr>
          <w:rFonts w:hint="eastAsia" w:ascii="黑体" w:hAnsi="黑体" w:eastAsia="黑体" w:cs="黑体"/>
          <w:sz w:val="32"/>
          <w:szCs w:val="32"/>
          <w:shd w:val="clear" w:color="auto" w:fill="FFFFFF"/>
        </w:rPr>
        <w:t>第十七条</w:t>
      </w:r>
      <w:r>
        <w:rPr>
          <w:rFonts w:hint="eastAsia" w:ascii="仿宋_GB2312" w:hAnsi="仿宋_GB2312" w:eastAsia="仿宋_GB2312" w:cs="仿宋_GB2312"/>
          <w:sz w:val="32"/>
          <w:szCs w:val="32"/>
          <w:shd w:val="clear" w:color="auto" w:fill="FFFFFF"/>
        </w:rPr>
        <w:t xml:space="preserve">  </w:t>
      </w:r>
      <w:r>
        <w:rPr>
          <w:rFonts w:hint="eastAsia" w:ascii="仿宋_GB2312" w:hAnsi="仿宋_GB2312" w:eastAsia="仿宋_GB2312" w:cs="仿宋_GB2312"/>
          <w:sz w:val="32"/>
          <w:szCs w:val="32"/>
          <w:shd w:val="clear" w:color="auto" w:fill="FFFFFF"/>
          <w:lang w:eastAsia="zh-CN"/>
        </w:rPr>
        <w:t>县</w:t>
      </w:r>
      <w:r>
        <w:rPr>
          <w:rFonts w:hint="eastAsia" w:ascii="仿宋_GB2312" w:hAnsi="仿宋_GB2312" w:eastAsia="仿宋_GB2312" w:cs="仿宋_GB2312"/>
          <w:sz w:val="32"/>
          <w:szCs w:val="32"/>
          <w:shd w:val="clear" w:color="auto" w:fill="FFFFFF"/>
        </w:rPr>
        <w:t>级储备粮承储企业的确定，由</w:t>
      </w:r>
      <w:r>
        <w:rPr>
          <w:rFonts w:hint="eastAsia" w:ascii="仿宋_GB2312" w:hAnsi="仿宋_GB2312" w:eastAsia="仿宋_GB2312" w:cs="仿宋_GB2312"/>
          <w:sz w:val="32"/>
          <w:szCs w:val="32"/>
          <w:shd w:val="clear" w:color="auto" w:fill="FFFFFF"/>
          <w:lang w:eastAsia="zh-CN"/>
        </w:rPr>
        <w:t>县</w:t>
      </w:r>
      <w:r>
        <w:rPr>
          <w:rFonts w:hint="eastAsia" w:ascii="仿宋_GB2312" w:hAnsi="仿宋_GB2312" w:eastAsia="仿宋_GB2312" w:cs="仿宋_GB2312"/>
          <w:sz w:val="32"/>
          <w:szCs w:val="32"/>
          <w:shd w:val="clear" w:color="auto" w:fill="FFFFFF"/>
        </w:rPr>
        <w:t>发展改革部门（</w:t>
      </w:r>
      <w:r>
        <w:rPr>
          <w:rFonts w:hint="eastAsia" w:ascii="仿宋_GB2312" w:hAnsi="仿宋_GB2312" w:eastAsia="仿宋_GB2312" w:cs="仿宋_GB2312"/>
          <w:sz w:val="32"/>
          <w:szCs w:val="32"/>
          <w:shd w:val="clear" w:color="auto" w:fill="FFFFFF"/>
          <w:lang w:eastAsia="zh-CN"/>
        </w:rPr>
        <w:t>粮食和物资储备局</w:t>
      </w:r>
      <w:r>
        <w:rPr>
          <w:rFonts w:hint="eastAsia" w:ascii="仿宋_GB2312" w:hAnsi="仿宋_GB2312" w:eastAsia="仿宋_GB2312" w:cs="仿宋_GB2312"/>
          <w:sz w:val="32"/>
          <w:szCs w:val="32"/>
          <w:shd w:val="clear" w:color="auto" w:fill="FFFFFF"/>
        </w:rPr>
        <w:t>）会同</w:t>
      </w:r>
      <w:r>
        <w:rPr>
          <w:rFonts w:hint="eastAsia" w:ascii="仿宋_GB2312" w:hAnsi="仿宋_GB2312" w:eastAsia="仿宋_GB2312" w:cs="仿宋_GB2312"/>
          <w:sz w:val="32"/>
          <w:szCs w:val="32"/>
          <w:shd w:val="clear" w:color="auto" w:fill="FFFFFF"/>
          <w:lang w:eastAsia="zh-CN"/>
        </w:rPr>
        <w:t>县</w:t>
      </w:r>
      <w:r>
        <w:rPr>
          <w:rFonts w:hint="eastAsia" w:ascii="仿宋_GB2312" w:hAnsi="仿宋_GB2312" w:eastAsia="仿宋_GB2312" w:cs="仿宋_GB2312"/>
          <w:sz w:val="32"/>
          <w:szCs w:val="32"/>
          <w:shd w:val="clear" w:color="auto" w:fill="FFFFFF"/>
        </w:rPr>
        <w:t>财政部门、</w:t>
      </w:r>
      <w:r>
        <w:rPr>
          <w:rFonts w:hint="eastAsia" w:ascii="仿宋_GB2312" w:hAnsi="仿宋_GB2312" w:eastAsia="仿宋_GB2312" w:cs="仿宋_GB2312"/>
          <w:sz w:val="32"/>
          <w:szCs w:val="32"/>
          <w:shd w:val="clear" w:color="auto" w:fill="FFFFFF"/>
          <w:lang w:eastAsia="zh-CN"/>
        </w:rPr>
        <w:t>县农发行</w:t>
      </w:r>
      <w:r>
        <w:rPr>
          <w:rFonts w:hint="eastAsia" w:ascii="仿宋_GB2312" w:hAnsi="仿宋_GB2312" w:eastAsia="仿宋_GB2312" w:cs="仿宋_GB2312"/>
          <w:sz w:val="32"/>
          <w:szCs w:val="32"/>
          <w:shd w:val="clear" w:color="auto" w:fill="FFFFFF"/>
        </w:rPr>
        <w:t>按照本办法第十六条规定的承储企业条件和有关法律及规定，实行公开招标</w:t>
      </w:r>
      <w:r>
        <w:rPr>
          <w:rFonts w:hint="eastAsia" w:ascii="仿宋_GB2312" w:hAnsi="仿宋_GB2312" w:eastAsia="仿宋_GB2312" w:cs="仿宋_GB2312"/>
          <w:sz w:val="32"/>
          <w:szCs w:val="32"/>
          <w:shd w:val="clear" w:color="auto" w:fill="FFFFFF"/>
          <w:lang w:eastAsia="zh-CN"/>
        </w:rPr>
        <w:t>，择优确定</w:t>
      </w:r>
      <w:r>
        <w:rPr>
          <w:rFonts w:hint="eastAsia" w:ascii="仿宋_GB2312" w:hAnsi="仿宋_GB2312" w:eastAsia="仿宋_GB2312" w:cs="仿宋_GB2312"/>
          <w:sz w:val="32"/>
          <w:szCs w:val="32"/>
          <w:shd w:val="clear" w:color="auto" w:fill="FFFFFF"/>
        </w:rPr>
        <w:t>。</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sz w:val="32"/>
          <w:szCs w:val="32"/>
          <w:shd w:val="clear" w:color="auto" w:fill="FFFFFF"/>
          <w:lang w:eastAsia="zh-CN"/>
        </w:rPr>
        <w:t>县</w:t>
      </w:r>
      <w:r>
        <w:rPr>
          <w:rFonts w:hint="eastAsia" w:ascii="仿宋_GB2312" w:hAnsi="仿宋_GB2312" w:eastAsia="仿宋_GB2312" w:cs="仿宋_GB2312"/>
          <w:sz w:val="32"/>
          <w:szCs w:val="32"/>
          <w:shd w:val="clear" w:color="auto" w:fill="FFFFFF"/>
        </w:rPr>
        <w:t>发展改革部门（</w:t>
      </w:r>
      <w:r>
        <w:rPr>
          <w:rFonts w:hint="eastAsia" w:ascii="仿宋_GB2312" w:hAnsi="仿宋_GB2312" w:eastAsia="仿宋_GB2312" w:cs="仿宋_GB2312"/>
          <w:sz w:val="32"/>
          <w:szCs w:val="32"/>
          <w:shd w:val="clear" w:color="auto" w:fill="FFFFFF"/>
          <w:lang w:eastAsia="zh-CN"/>
        </w:rPr>
        <w:t>粮食和物资储备局</w:t>
      </w:r>
      <w:r>
        <w:rPr>
          <w:rFonts w:hint="eastAsia" w:ascii="仿宋_GB2312" w:hAnsi="仿宋_GB2312" w:eastAsia="仿宋_GB2312" w:cs="仿宋_GB2312"/>
          <w:sz w:val="32"/>
          <w:szCs w:val="32"/>
          <w:shd w:val="clear" w:color="auto" w:fill="FFFFFF"/>
        </w:rPr>
        <w:t>）应当与承储企业</w:t>
      </w:r>
      <w:r>
        <w:rPr>
          <w:rFonts w:hint="eastAsia" w:ascii="仿宋_GB2312" w:hAnsi="仿宋_GB2312" w:eastAsia="仿宋_GB2312" w:cs="仿宋_GB2312"/>
          <w:color w:val="000000"/>
          <w:sz w:val="32"/>
          <w:szCs w:val="32"/>
          <w:shd w:val="clear" w:color="auto" w:fill="FFFFFF"/>
        </w:rPr>
        <w:t>签订合同，明确双方的权利、义务和违约责任等事项。</w:t>
      </w:r>
    </w:p>
    <w:p>
      <w:pPr>
        <w:pStyle w:val="5"/>
        <w:keepNext w:val="0"/>
        <w:keepLines w:val="0"/>
        <w:pageBreakBefore w:val="0"/>
        <w:widowControl w:val="0"/>
        <w:kinsoku/>
        <w:wordWrap/>
        <w:overflowPunct w:val="0"/>
        <w:topLinePunct w:val="0"/>
        <w:autoSpaceDE/>
        <w:autoSpaceDN/>
        <w:bidi w:val="0"/>
        <w:adjustRightInd/>
        <w:snapToGrid/>
        <w:spacing w:line="570" w:lineRule="exact"/>
        <w:jc w:val="both"/>
        <w:textAlignment w:val="auto"/>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 xml:space="preserve">    </w:t>
      </w:r>
      <w:r>
        <w:rPr>
          <w:rFonts w:hint="eastAsia" w:ascii="黑体" w:hAnsi="黑体" w:eastAsia="黑体" w:cs="黑体"/>
          <w:color w:val="000000"/>
          <w:sz w:val="32"/>
          <w:szCs w:val="32"/>
          <w:shd w:val="clear" w:color="auto" w:fill="FFFFFF"/>
        </w:rPr>
        <w:t>第十八条</w:t>
      </w:r>
      <w:r>
        <w:rPr>
          <w:rFonts w:hint="eastAsia" w:ascii="仿宋_GB2312" w:hAnsi="仿宋_GB2312" w:eastAsia="仿宋_GB2312" w:cs="仿宋_GB2312"/>
          <w:color w:val="000000"/>
          <w:sz w:val="32"/>
          <w:szCs w:val="32"/>
          <w:shd w:val="clear" w:color="auto" w:fill="FFFFFF"/>
        </w:rPr>
        <w:t xml:space="preserve">  承储企业应当严格执行有关</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级储备粮的国家标准、技术规范和各项业务管理制度，保证入库的</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级储备粮达到收购、轮换计划规定的质量等级，并符合国家规定的质量标准。</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第十九条</w:t>
      </w:r>
      <w:r>
        <w:rPr>
          <w:rFonts w:hint="eastAsia" w:ascii="仿宋_GB2312" w:hAnsi="仿宋_GB2312" w:eastAsia="仿宋_GB2312" w:cs="仿宋_GB2312"/>
          <w:color w:val="000000"/>
          <w:sz w:val="32"/>
          <w:szCs w:val="32"/>
          <w:shd w:val="clear" w:color="auto" w:fill="FFFFFF"/>
        </w:rPr>
        <w:t xml:space="preserve">  承储企业应当对</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级储备粮实行专仓储存、专人保管、专账记载，保证</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级储备粮账账相符、账实相符、质量良好、储存安全。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级储备粮承储企业不得将</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级储备粮轮换业务与其他业务混合经营。</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第二十条</w:t>
      </w:r>
      <w:r>
        <w:rPr>
          <w:rFonts w:hint="eastAsia" w:ascii="仿宋_GB2312" w:hAnsi="仿宋_GB2312" w:eastAsia="仿宋_GB2312" w:cs="仿宋_GB2312"/>
          <w:color w:val="000000"/>
          <w:sz w:val="32"/>
          <w:szCs w:val="32"/>
          <w:shd w:val="clear" w:color="auto" w:fill="FFFFFF"/>
        </w:rPr>
        <w:t xml:space="preserve">  承储企业不得虚报、瞒报</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级储备粮的数量，不得在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级储备粮中掺杂掺假、以次充好，不得擅自串换</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级储备粮的品种、变更</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级储备粮的储存地点，不得因延误轮换或者管理不善造成</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级储备粮陈化、霉变。</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第二十一条</w:t>
      </w:r>
      <w:r>
        <w:rPr>
          <w:rFonts w:hint="eastAsia" w:ascii="仿宋_GB2312" w:hAnsi="仿宋_GB2312" w:eastAsia="仿宋_GB2312" w:cs="仿宋_GB2312"/>
          <w:color w:val="000000"/>
          <w:sz w:val="32"/>
          <w:szCs w:val="32"/>
          <w:shd w:val="clear" w:color="auto" w:fill="FFFFFF"/>
        </w:rPr>
        <w:t xml:space="preserve">  承储企业不得以低价购进高价入账、高价售出低价入账、以旧粮顶替新粮、虚增入库成本等手段套取差价，骗取</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级储备粮贷款和贷款利息、管理费用等财政补贴。</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第二十二条</w:t>
      </w:r>
      <w:r>
        <w:rPr>
          <w:rFonts w:hint="eastAsia" w:ascii="仿宋_GB2312" w:hAnsi="仿宋_GB2312" w:eastAsia="仿宋_GB2312" w:cs="仿宋_GB2312"/>
          <w:color w:val="000000"/>
          <w:sz w:val="32"/>
          <w:szCs w:val="32"/>
          <w:shd w:val="clear" w:color="auto" w:fill="FFFFFF"/>
        </w:rPr>
        <w:t xml:space="preserve">  承储企业应当建立健全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级储备粮的防火、防盗、防洪等安全管理制度，并配备必要的安全防护设施。</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color="auto" w:fill="FFFFFF"/>
        </w:rPr>
        <w:t>承储企业所在地的人民政府及其有关部门应当支持承储企业做好</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级储备粮的安全管理工作。</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第二十三条</w:t>
      </w:r>
      <w:r>
        <w:rPr>
          <w:rFonts w:hint="eastAsia" w:ascii="仿宋_GB2312" w:hAnsi="仿宋_GB2312" w:eastAsia="仿宋_GB2312" w:cs="仿宋_GB2312"/>
          <w:color w:val="000000"/>
          <w:sz w:val="32"/>
          <w:szCs w:val="32"/>
          <w:shd w:val="clear" w:color="auto" w:fill="FFFFFF"/>
        </w:rPr>
        <w:t xml:space="preserve">  承储企业应当对</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级储备粮的储存管理状况进行经常性检查。发现</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级储备粮数量、质量和储存安全等方面的问题，应当及时处理；不能处理的，承储企业的主要负责人应当向当地粮食行政管理部门报告。当地粮食行政管理部门接到报告后，应当迅速核实情况，并及时向</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）报告。</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第二十四条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级储备粮的收购、销售、轮换原则上应当通过规范的粮食批发市场公开进行,也可以采用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政府规定的其他方式进行。</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 xml:space="preserve">第二十五条  </w:t>
      </w:r>
      <w:r>
        <w:rPr>
          <w:rFonts w:hint="eastAsia" w:ascii="仿宋_GB2312" w:hAnsi="仿宋_GB2312" w:eastAsia="仿宋_GB2312" w:cs="仿宋_GB2312"/>
          <w:color w:val="000000"/>
          <w:sz w:val="32"/>
          <w:szCs w:val="32"/>
          <w:shd w:val="clear" w:color="auto" w:fill="FFFFFF"/>
        </w:rPr>
        <w:t>承储企业不得以</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级储备粮对外进行担保或者清偿债务。</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承储企业被依法撤销、解散、破产或者对</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级储备粮管理不善的，</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财政部门和</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共同下达储备库点调整计划，将其储存的</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级储备粮交给其他承储企业储存。</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第二十六条</w:t>
      </w:r>
      <w:r>
        <w:rPr>
          <w:rFonts w:hint="eastAsia" w:ascii="仿宋_GB2312" w:hAnsi="仿宋_GB2312" w:eastAsia="仿宋_GB2312" w:cs="仿宋_GB2312"/>
          <w:color w:val="auto"/>
          <w:sz w:val="32"/>
          <w:szCs w:val="32"/>
          <w:shd w:val="clear" w:color="auto" w:fill="FFFFFF"/>
        </w:rPr>
        <w:t xml:space="preserve">  </w:t>
      </w:r>
      <w:r>
        <w:rPr>
          <w:rFonts w:hint="eastAsia" w:ascii="仿宋_GB2312" w:hAnsi="仿宋_GB2312" w:eastAsia="仿宋_GB2312" w:cs="仿宋_GB2312"/>
          <w:color w:val="auto"/>
          <w:sz w:val="32"/>
          <w:szCs w:val="32"/>
          <w:shd w:val="clear" w:color="auto" w:fill="FFFFFF"/>
          <w:lang w:eastAsia="zh-CN"/>
        </w:rPr>
        <w:t>县</w:t>
      </w:r>
      <w:r>
        <w:rPr>
          <w:rFonts w:hint="eastAsia" w:ascii="仿宋_GB2312" w:hAnsi="仿宋_GB2312" w:eastAsia="仿宋_GB2312" w:cs="仿宋_GB2312"/>
          <w:color w:val="auto"/>
          <w:sz w:val="32"/>
          <w:szCs w:val="32"/>
          <w:shd w:val="clear" w:color="auto" w:fill="FFFFFF"/>
        </w:rPr>
        <w:t>级储备粮的管理费用实行包干</w:t>
      </w:r>
      <w:r>
        <w:rPr>
          <w:rFonts w:hint="eastAsia" w:ascii="仿宋_GB2312" w:hAnsi="仿宋_GB2312" w:eastAsia="仿宋_GB2312" w:cs="仿宋_GB2312"/>
          <w:color w:val="000000"/>
          <w:sz w:val="32"/>
          <w:szCs w:val="32"/>
          <w:shd w:val="clear" w:color="auto" w:fill="FFFFFF"/>
        </w:rPr>
        <w:t>，贷款利息按银行现行规定实行据实补贴，经</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）核定后，通过</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补贴专户直接拨付到承储企业。</w:t>
      </w:r>
    </w:p>
    <w:p>
      <w:pPr>
        <w:keepNext w:val="0"/>
        <w:keepLines w:val="0"/>
        <w:pageBreakBefore w:val="0"/>
        <w:widowControl w:val="0"/>
        <w:kinsoku/>
        <w:wordWrap/>
        <w:overflowPunct w:val="0"/>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eastAsia="zh-CN"/>
        </w:rPr>
        <w:t>县</w:t>
      </w:r>
      <w:r>
        <w:rPr>
          <w:rFonts w:hint="eastAsia" w:ascii="仿宋_GB2312" w:hAnsi="仿宋_GB2312" w:eastAsia="仿宋_GB2312" w:cs="仿宋_GB2312"/>
          <w:color w:val="000000"/>
          <w:kern w:val="0"/>
          <w:sz w:val="32"/>
          <w:szCs w:val="32"/>
        </w:rPr>
        <w:t>级储备粮的管理费用标准，由</w:t>
      </w:r>
      <w:r>
        <w:rPr>
          <w:rFonts w:hint="eastAsia" w:ascii="仿宋_GB2312" w:hAnsi="仿宋_GB2312" w:eastAsia="仿宋_GB2312" w:cs="仿宋_GB2312"/>
          <w:color w:val="000000"/>
          <w:kern w:val="0"/>
          <w:sz w:val="32"/>
          <w:szCs w:val="32"/>
          <w:lang w:eastAsia="zh-CN"/>
        </w:rPr>
        <w:t>县</w:t>
      </w:r>
      <w:r>
        <w:rPr>
          <w:rFonts w:hint="eastAsia" w:ascii="仿宋_GB2312" w:hAnsi="仿宋_GB2312" w:eastAsia="仿宋_GB2312" w:cs="仿宋_GB2312"/>
          <w:color w:val="000000"/>
          <w:kern w:val="0"/>
          <w:sz w:val="32"/>
          <w:szCs w:val="32"/>
        </w:rPr>
        <w:t>财政部门会同</w:t>
      </w:r>
      <w:r>
        <w:rPr>
          <w:rFonts w:hint="eastAsia" w:ascii="仿宋_GB2312" w:hAnsi="仿宋_GB2312" w:eastAsia="仿宋_GB2312" w:cs="仿宋_GB2312"/>
          <w:color w:val="000000"/>
          <w:kern w:val="0"/>
          <w:sz w:val="32"/>
          <w:szCs w:val="32"/>
          <w:lang w:eastAsia="zh-CN"/>
        </w:rPr>
        <w:t>县</w:t>
      </w:r>
      <w:r>
        <w:rPr>
          <w:rFonts w:hint="eastAsia" w:ascii="仿宋_GB2312" w:hAnsi="仿宋_GB2312" w:eastAsia="仿宋_GB2312" w:cs="仿宋_GB2312"/>
          <w:color w:val="000000"/>
          <w:kern w:val="0"/>
          <w:sz w:val="32"/>
          <w:szCs w:val="32"/>
        </w:rPr>
        <w:t>发展改革部门（</w:t>
      </w:r>
      <w:r>
        <w:rPr>
          <w:rFonts w:hint="eastAsia" w:ascii="仿宋_GB2312" w:hAnsi="仿宋_GB2312" w:eastAsia="仿宋_GB2312" w:cs="仿宋_GB2312"/>
          <w:color w:val="000000"/>
          <w:kern w:val="0"/>
          <w:sz w:val="32"/>
          <w:szCs w:val="32"/>
          <w:lang w:eastAsia="zh-CN"/>
        </w:rPr>
        <w:t>粮食和物资储备局</w:t>
      </w:r>
      <w:r>
        <w:rPr>
          <w:rFonts w:hint="eastAsia"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lang w:eastAsia="zh-CN"/>
        </w:rPr>
        <w:t>县农发行</w:t>
      </w:r>
      <w:r>
        <w:rPr>
          <w:rFonts w:hint="eastAsia" w:ascii="仿宋_GB2312" w:hAnsi="仿宋_GB2312" w:eastAsia="仿宋_GB2312" w:cs="仿宋_GB2312"/>
          <w:color w:val="000000"/>
          <w:kern w:val="0"/>
          <w:sz w:val="32"/>
          <w:szCs w:val="32"/>
        </w:rPr>
        <w:t>参照省级储备粮管理费用标准研究确定。</w:t>
      </w:r>
    </w:p>
    <w:p>
      <w:pPr>
        <w:keepNext w:val="0"/>
        <w:keepLines w:val="0"/>
        <w:pageBreakBefore w:val="0"/>
        <w:widowControl w:val="0"/>
        <w:kinsoku/>
        <w:wordWrap/>
        <w:overflowPunct w:val="0"/>
        <w:topLinePunct w:val="0"/>
        <w:autoSpaceDE/>
        <w:autoSpaceDN/>
        <w:bidi w:val="0"/>
        <w:adjustRightInd/>
        <w:snapToGrid/>
        <w:spacing w:line="570" w:lineRule="exact"/>
        <w:ind w:firstLine="640" w:firstLineChars="200"/>
        <w:textAlignment w:val="auto"/>
        <w:rPr>
          <w:rFonts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第二十七条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级储备粮贷款实行贷款与粮食库存值增减挂钩。</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级储备粮贷款必须与入库成本保持一致，并实行专户管理、专款专用、购贷销还、全程监管。</w:t>
      </w:r>
    </w:p>
    <w:p>
      <w:pPr>
        <w:pStyle w:val="5"/>
        <w:keepNext w:val="0"/>
        <w:keepLines w:val="0"/>
        <w:pageBreakBefore w:val="0"/>
        <w:widowControl w:val="0"/>
        <w:kinsoku/>
        <w:wordWrap/>
        <w:overflowPunct w:val="0"/>
        <w:topLinePunct w:val="0"/>
        <w:autoSpaceDE/>
        <w:autoSpaceDN/>
        <w:bidi w:val="0"/>
        <w:adjustRightInd/>
        <w:snapToGrid/>
        <w:spacing w:line="570" w:lineRule="exact"/>
        <w:jc w:val="both"/>
        <w:textAlignment w:val="auto"/>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 xml:space="preserve">    承储企业应当在</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开立基本账户，并接受信贷监管。</w:t>
      </w:r>
    </w:p>
    <w:p>
      <w:pPr>
        <w:keepNext w:val="0"/>
        <w:keepLines w:val="0"/>
        <w:pageBreakBefore w:val="0"/>
        <w:widowControl w:val="0"/>
        <w:kinsoku/>
        <w:wordWrap/>
        <w:overflowPunct w:val="0"/>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000000"/>
          <w:kern w:val="0"/>
          <w:sz w:val="32"/>
          <w:szCs w:val="32"/>
          <w:shd w:val="clear" w:color="auto" w:fill="FFFFFF"/>
          <w:lang w:val="en-US" w:eastAsia="zh-CN"/>
        </w:rPr>
      </w:pPr>
      <w:r>
        <w:rPr>
          <w:rFonts w:hint="eastAsia" w:ascii="黑体" w:hAnsi="黑体" w:eastAsia="黑体" w:cs="黑体"/>
          <w:color w:val="000000"/>
          <w:sz w:val="32"/>
          <w:szCs w:val="32"/>
          <w:shd w:val="clear" w:color="auto" w:fill="FFFFFF"/>
        </w:rPr>
        <w:t>第二十八条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kern w:val="0"/>
          <w:sz w:val="32"/>
          <w:szCs w:val="32"/>
          <w:shd w:val="clear" w:color="auto" w:fill="FFFFFF"/>
        </w:rPr>
        <w:t>级储备粮的入库成本通过招</w:t>
      </w:r>
      <w:r>
        <w:rPr>
          <w:rFonts w:ascii="仿宋_GB2312" w:hAnsi="仿宋_GB2312" w:eastAsia="仿宋_GB2312" w:cs="仿宋_GB2312"/>
          <w:color w:val="000000"/>
          <w:kern w:val="0"/>
          <w:sz w:val="32"/>
          <w:szCs w:val="32"/>
          <w:shd w:val="clear" w:color="auto" w:fill="FFFFFF"/>
        </w:rPr>
        <w:t>投标的方式确定</w:t>
      </w:r>
      <w:r>
        <w:rPr>
          <w:rFonts w:hint="eastAsia" w:ascii="仿宋_GB2312" w:hAnsi="仿宋_GB2312" w:eastAsia="仿宋_GB2312" w:cs="仿宋_GB2312"/>
          <w:color w:val="000000"/>
          <w:kern w:val="0"/>
          <w:sz w:val="32"/>
          <w:szCs w:val="32"/>
          <w:shd w:val="clear" w:color="auto" w:fill="FFFFFF"/>
        </w:rPr>
        <w:t>。</w:t>
      </w:r>
      <w:r>
        <w:rPr>
          <w:rFonts w:hint="eastAsia" w:ascii="仿宋_GB2312" w:hAnsi="仿宋_GB2312" w:eastAsia="仿宋_GB2312" w:cs="仿宋_GB2312"/>
          <w:color w:val="000000"/>
          <w:kern w:val="0"/>
          <w:sz w:val="32"/>
          <w:szCs w:val="32"/>
          <w:shd w:val="clear" w:color="auto" w:fill="FFFFFF"/>
          <w:lang w:eastAsia="zh-CN"/>
        </w:rPr>
        <w:t>县</w:t>
      </w:r>
      <w:r>
        <w:rPr>
          <w:rFonts w:hint="eastAsia" w:ascii="仿宋_GB2312" w:hAnsi="仿宋_GB2312" w:eastAsia="仿宋_GB2312" w:cs="仿宋_GB2312"/>
          <w:color w:val="000000"/>
          <w:kern w:val="0"/>
          <w:sz w:val="32"/>
          <w:szCs w:val="32"/>
          <w:shd w:val="clear" w:color="auto" w:fill="FFFFFF"/>
        </w:rPr>
        <w:t>级储备粮的入库成本一经招标确定，承储企业必须遵照执行。任何单位和个人不得擅自更改市级储备粮入库成本。</w:t>
      </w:r>
      <w:bookmarkStart w:id="0" w:name="_GoBack"/>
      <w:bookmarkEnd w:id="0"/>
    </w:p>
    <w:p>
      <w:pPr>
        <w:keepNext w:val="0"/>
        <w:keepLines w:val="0"/>
        <w:pageBreakBefore w:val="0"/>
        <w:widowControl w:val="0"/>
        <w:kinsoku/>
        <w:wordWrap/>
        <w:overflowPunct w:val="0"/>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000000"/>
          <w:kern w:val="0"/>
          <w:sz w:val="32"/>
          <w:szCs w:val="32"/>
          <w:shd w:val="clear" w:color="auto" w:fill="FFFFFF"/>
        </w:rPr>
      </w:pPr>
      <w:r>
        <w:rPr>
          <w:rFonts w:hint="eastAsia" w:ascii="黑体" w:hAnsi="黑体" w:eastAsia="黑体" w:cs="黑体"/>
          <w:color w:val="000000"/>
          <w:sz w:val="32"/>
          <w:szCs w:val="32"/>
          <w:shd w:val="clear" w:color="auto" w:fill="FFFFFF"/>
        </w:rPr>
        <w:t>第二十九条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级储备粮的损失、损耗应当及时处理。具体</w:t>
      </w:r>
    </w:p>
    <w:p>
      <w:pPr>
        <w:pStyle w:val="5"/>
        <w:keepNext w:val="0"/>
        <w:keepLines w:val="0"/>
        <w:pageBreakBefore w:val="0"/>
        <w:widowControl w:val="0"/>
        <w:kinsoku/>
        <w:wordWrap/>
        <w:overflowPunct w:val="0"/>
        <w:topLinePunct w:val="0"/>
        <w:autoSpaceDE/>
        <w:autoSpaceDN/>
        <w:bidi w:val="0"/>
        <w:adjustRightInd/>
        <w:snapToGrid/>
        <w:spacing w:line="570" w:lineRule="exact"/>
        <w:jc w:val="both"/>
        <w:textAlignment w:val="auto"/>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管理办法，参照</w:t>
      </w:r>
      <w:r>
        <w:rPr>
          <w:rFonts w:ascii="仿宋_GB2312" w:hAnsi="仿宋_GB2312" w:eastAsia="仿宋_GB2312" w:cs="仿宋_GB2312"/>
          <w:color w:val="000000"/>
          <w:sz w:val="32"/>
          <w:szCs w:val="32"/>
          <w:shd w:val="clear" w:color="auto" w:fill="FFFFFF"/>
        </w:rPr>
        <w:t>省管理办法</w:t>
      </w:r>
      <w:r>
        <w:rPr>
          <w:rFonts w:hint="eastAsia" w:ascii="仿宋_GB2312" w:hAnsi="仿宋_GB2312" w:eastAsia="仿宋_GB2312" w:cs="仿宋_GB2312"/>
          <w:color w:val="000000"/>
          <w:sz w:val="32"/>
          <w:szCs w:val="32"/>
          <w:shd w:val="clear" w:color="auto" w:fill="FFFFFF"/>
        </w:rPr>
        <w:t>由</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财政部门会同</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），并征求</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的意见后制定。</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第三十条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）应当定期统计、分析</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级储备粮的储存管理情况，并将统计、分析情况及时通报</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财政部门和</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w:t>
      </w:r>
    </w:p>
    <w:p>
      <w:pPr>
        <w:pStyle w:val="5"/>
        <w:keepNext w:val="0"/>
        <w:keepLines w:val="0"/>
        <w:pageBreakBefore w:val="0"/>
        <w:widowControl w:val="0"/>
        <w:kinsoku/>
        <w:wordWrap/>
        <w:overflowPunct w:val="0"/>
        <w:topLinePunct w:val="0"/>
        <w:autoSpaceDE/>
        <w:autoSpaceDN/>
        <w:bidi w:val="0"/>
        <w:adjustRightInd/>
        <w:snapToGrid/>
        <w:spacing w:line="570" w:lineRule="exact"/>
        <w:jc w:val="center"/>
        <w:textAlignment w:val="auto"/>
        <w:rPr>
          <w:rFonts w:hint="eastAsia" w:ascii="黑体" w:hAnsi="黑体" w:eastAsia="黑体" w:cs="黑体"/>
          <w:color w:val="000000"/>
          <w:sz w:val="32"/>
          <w:szCs w:val="32"/>
          <w:shd w:val="clear" w:color="auto" w:fill="FFFFFF"/>
        </w:rPr>
      </w:pPr>
      <w:r>
        <w:rPr>
          <w:rFonts w:hint="eastAsia" w:ascii="黑体" w:hAnsi="黑体" w:eastAsia="黑体" w:cs="黑体"/>
          <w:color w:val="000000"/>
          <w:sz w:val="32"/>
          <w:szCs w:val="32"/>
          <w:shd w:val="clear" w:color="auto" w:fill="FFFFFF"/>
        </w:rPr>
        <w:t xml:space="preserve">第四章  </w:t>
      </w:r>
      <w:r>
        <w:rPr>
          <w:rFonts w:hint="eastAsia" w:ascii="黑体" w:hAnsi="黑体" w:eastAsia="黑体" w:cs="黑体"/>
          <w:color w:val="000000"/>
          <w:sz w:val="32"/>
          <w:szCs w:val="32"/>
          <w:shd w:val="clear" w:color="auto" w:fill="FFFFFF"/>
          <w:lang w:eastAsia="zh-CN"/>
        </w:rPr>
        <w:t>县</w:t>
      </w:r>
      <w:r>
        <w:rPr>
          <w:rFonts w:hint="eastAsia" w:ascii="黑体" w:hAnsi="黑体" w:eastAsia="黑体" w:cs="黑体"/>
          <w:color w:val="000000"/>
          <w:sz w:val="32"/>
          <w:szCs w:val="32"/>
          <w:shd w:val="clear" w:color="auto" w:fill="FFFFFF"/>
        </w:rPr>
        <w:t>级储备粮的轮换</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lang w:eastAsia="zh-CN"/>
        </w:rPr>
      </w:pPr>
      <w:r>
        <w:rPr>
          <w:rFonts w:hint="eastAsia" w:ascii="黑体" w:hAnsi="黑体" w:eastAsia="黑体" w:cs="黑体"/>
          <w:color w:val="000000"/>
          <w:sz w:val="32"/>
          <w:szCs w:val="32"/>
          <w:shd w:val="clear" w:color="auto" w:fill="FFFFFF"/>
        </w:rPr>
        <w:t>第三十一条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级储备粮实行均衡轮换制度</w:t>
      </w:r>
      <w:r>
        <w:rPr>
          <w:rFonts w:hint="eastAsia" w:ascii="仿宋_GB2312" w:hAnsi="仿宋_GB2312" w:eastAsia="仿宋_GB2312" w:cs="仿宋_GB2312"/>
          <w:color w:val="000000"/>
          <w:sz w:val="32"/>
          <w:szCs w:val="32"/>
          <w:shd w:val="clear" w:color="auto" w:fill="FFFFFF"/>
          <w:lang w:eastAsia="zh-CN"/>
        </w:rPr>
        <w:t>。进行县级储备粮轮换，应当以粮食理化品质检测指标为依据，以储存年限为参考标准。根据粮食理化品质检测结果，对不宜储存的粮食，以及适宜储存但粮食理化品质控制指标已经接近不宜储存标准且达到储存年限的粮食，应当及时轮换。</w:t>
      </w:r>
      <w:r>
        <w:rPr>
          <w:rFonts w:hint="eastAsia" w:ascii="仿宋_GB2312" w:hAnsi="仿宋_GB2312" w:eastAsia="仿宋_GB2312" w:cs="仿宋_GB2312"/>
          <w:color w:val="000000"/>
          <w:sz w:val="32"/>
          <w:szCs w:val="32"/>
          <w:shd w:val="clear" w:color="auto" w:fill="FFFFFF"/>
        </w:rPr>
        <w:t>每年轮换的粮食数量一般为储存总量的20%至30%</w:t>
      </w:r>
      <w:r>
        <w:rPr>
          <w:rFonts w:hint="eastAsia" w:ascii="仿宋_GB2312" w:hAnsi="仿宋_GB2312" w:eastAsia="仿宋_GB2312" w:cs="仿宋_GB2312"/>
          <w:color w:val="000000"/>
          <w:sz w:val="32"/>
          <w:szCs w:val="32"/>
          <w:shd w:val="clear" w:color="auto" w:fill="FFFFFF"/>
          <w:lang w:eastAsia="zh-CN"/>
        </w:rPr>
        <w:t>。轮入的粮食必须是当年收获的，并符合国家标准规定的中等及以上质量标准。</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第三十二条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级储备粮在轮换前后应当经过检测。</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级储备粮的品质检测，应当执行国家有关规定，并以具有相应资质的粮食质检机构出具的检测结果为依据。</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第三十三条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级储备粮的储存年限：粮食按收获年份计算，在正常储存条件下，储存年限一般为小麦5年、玉米和稻谷3年；</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第三十四条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级储备粮可以按照先购后销、边销边购和先销后购的方式轮换。各批次的具体轮换方式，由</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p>
    <w:p>
      <w:pPr>
        <w:pStyle w:val="5"/>
        <w:keepNext w:val="0"/>
        <w:keepLines w:val="0"/>
        <w:pageBreakBefore w:val="0"/>
        <w:widowControl w:val="0"/>
        <w:kinsoku/>
        <w:wordWrap/>
        <w:overflowPunct w:val="0"/>
        <w:topLinePunct w:val="0"/>
        <w:autoSpaceDE/>
        <w:autoSpaceDN/>
        <w:bidi w:val="0"/>
        <w:adjustRightInd/>
        <w:snapToGrid/>
        <w:spacing w:line="570" w:lineRule="exact"/>
        <w:jc w:val="both"/>
        <w:textAlignment w:val="auto"/>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）根据市场情况确定，并通报</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第三十五条</w:t>
      </w:r>
      <w:r>
        <w:rPr>
          <w:rFonts w:hint="eastAsia" w:ascii="仿宋_GB2312" w:hAnsi="仿宋_GB2312" w:eastAsia="仿宋_GB2312" w:cs="仿宋_GB2312"/>
          <w:color w:val="000000"/>
          <w:sz w:val="32"/>
          <w:szCs w:val="32"/>
          <w:shd w:val="clear" w:color="auto" w:fill="FFFFFF"/>
        </w:rPr>
        <w:t xml:space="preserve">  因</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级储备粮轮换形成暂时空库的，空库时间可按轮换批次滚动计算，不得超过4个月。因特殊原因，需要延长空库时间的，须报</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）批准，并征得</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财政部门同意。</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第三十六条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级储备粮轮换原则上不作库存成本调整。因特殊原因确需调整轮入粮食库存成本的，须报</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财政部门会同</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研究确定。</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第三十七条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级储备粮的轮换费用（包括出入库费用、损失损耗、价差风险）实行定额包干，经</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）根据</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级储备粮轮换计划核定后，通过</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补贴专户直接拨付到承储企业。</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lang w:eastAsia="zh-CN"/>
        </w:rPr>
        <w:t>县</w:t>
      </w:r>
      <w:r>
        <w:rPr>
          <w:rFonts w:hint="eastAsia" w:ascii="仿宋_GB2312" w:hAnsi="仿宋_GB2312" w:eastAsia="仿宋_GB2312" w:cs="仿宋_GB2312"/>
          <w:color w:val="000000"/>
          <w:sz w:val="32"/>
          <w:szCs w:val="32"/>
        </w:rPr>
        <w:t>级储备粮的轮换费用标准，由</w:t>
      </w:r>
      <w:r>
        <w:rPr>
          <w:rFonts w:hint="eastAsia" w:ascii="仿宋_GB2312" w:hAnsi="仿宋_GB2312" w:eastAsia="仿宋_GB2312" w:cs="仿宋_GB2312"/>
          <w:color w:val="000000"/>
          <w:sz w:val="32"/>
          <w:szCs w:val="32"/>
          <w:lang w:eastAsia="zh-CN"/>
        </w:rPr>
        <w:t>县</w:t>
      </w:r>
      <w:r>
        <w:rPr>
          <w:rFonts w:hint="eastAsia" w:ascii="仿宋_GB2312" w:hAnsi="仿宋_GB2312" w:eastAsia="仿宋_GB2312" w:cs="仿宋_GB2312"/>
          <w:color w:val="000000"/>
          <w:sz w:val="32"/>
          <w:szCs w:val="32"/>
        </w:rPr>
        <w:t>财政部门会同</w:t>
      </w:r>
      <w:r>
        <w:rPr>
          <w:rFonts w:hint="eastAsia" w:ascii="仿宋_GB2312" w:hAnsi="仿宋_GB2312" w:eastAsia="仿宋_GB2312" w:cs="仿宋_GB2312"/>
          <w:color w:val="000000"/>
          <w:sz w:val="32"/>
          <w:szCs w:val="32"/>
          <w:lang w:eastAsia="zh-CN"/>
        </w:rPr>
        <w:t>县</w:t>
      </w:r>
      <w:r>
        <w:rPr>
          <w:rFonts w:hint="eastAsia" w:ascii="仿宋_GB2312" w:hAnsi="仿宋_GB2312" w:eastAsia="仿宋_GB2312" w:cs="仿宋_GB2312"/>
          <w:color w:val="000000"/>
          <w:sz w:val="32"/>
          <w:szCs w:val="32"/>
        </w:rPr>
        <w:t>发展改革部门（</w:t>
      </w:r>
      <w:r>
        <w:rPr>
          <w:rFonts w:hint="eastAsia" w:ascii="仿宋_GB2312" w:hAnsi="仿宋_GB2312" w:eastAsia="仿宋_GB2312" w:cs="仿宋_GB2312"/>
          <w:color w:val="000000"/>
          <w:sz w:val="32"/>
          <w:szCs w:val="32"/>
          <w:lang w:eastAsia="zh-CN"/>
        </w:rPr>
        <w:t>粮食和物资储备局</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eastAsia="zh-CN"/>
        </w:rPr>
        <w:t>县农发行</w:t>
      </w:r>
      <w:r>
        <w:rPr>
          <w:rFonts w:hint="eastAsia" w:ascii="仿宋_GB2312" w:hAnsi="仿宋_GB2312" w:eastAsia="仿宋_GB2312" w:cs="仿宋_GB2312"/>
          <w:color w:val="000000"/>
          <w:sz w:val="32"/>
          <w:szCs w:val="32"/>
        </w:rPr>
        <w:t>参照省级储备粮轮换费用标准研究确定。</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ascii="仿宋_GB2312" w:hAnsi="仿宋_GB2312" w:eastAsia="仿宋_GB2312" w:cs="仿宋_GB2312"/>
          <w:color w:val="000000"/>
          <w:sz w:val="32"/>
          <w:szCs w:val="32"/>
        </w:rPr>
      </w:pPr>
      <w:r>
        <w:rPr>
          <w:rFonts w:hint="eastAsia" w:ascii="黑体" w:hAnsi="黑体" w:eastAsia="黑体" w:cs="仿宋_GB2312"/>
          <w:color w:val="000000"/>
          <w:sz w:val="32"/>
          <w:szCs w:val="32"/>
        </w:rPr>
        <w:t>第三</w:t>
      </w:r>
      <w:r>
        <w:rPr>
          <w:rFonts w:ascii="黑体" w:hAnsi="黑体" w:eastAsia="黑体" w:cs="仿宋_GB2312"/>
          <w:color w:val="000000"/>
          <w:sz w:val="32"/>
          <w:szCs w:val="32"/>
        </w:rPr>
        <w:t>十八条</w:t>
      </w:r>
      <w:r>
        <w:rPr>
          <w:rFonts w:hint="eastAsia" w:ascii="仿宋_GB2312" w:hAnsi="仿宋_GB2312" w:eastAsia="仿宋_GB2312" w:cs="仿宋_GB2312"/>
          <w:color w:val="000000"/>
          <w:sz w:val="32"/>
          <w:szCs w:val="32"/>
        </w:rPr>
        <w:t xml:space="preserve">  建立轮换</w:t>
      </w:r>
      <w:r>
        <w:rPr>
          <w:rFonts w:ascii="仿宋_GB2312" w:hAnsi="仿宋_GB2312" w:eastAsia="仿宋_GB2312" w:cs="仿宋_GB2312"/>
          <w:color w:val="000000"/>
          <w:sz w:val="32"/>
          <w:szCs w:val="32"/>
        </w:rPr>
        <w:t>风险</w:t>
      </w:r>
      <w:r>
        <w:rPr>
          <w:rFonts w:hint="eastAsia" w:ascii="仿宋_GB2312" w:hAnsi="仿宋_GB2312" w:eastAsia="仿宋_GB2312" w:cs="仿宋_GB2312"/>
          <w:color w:val="000000"/>
          <w:sz w:val="32"/>
          <w:szCs w:val="32"/>
        </w:rPr>
        <w:t>金</w:t>
      </w:r>
      <w:r>
        <w:rPr>
          <w:rFonts w:ascii="仿宋_GB2312" w:hAnsi="仿宋_GB2312" w:eastAsia="仿宋_GB2312" w:cs="仿宋_GB2312"/>
          <w:color w:val="000000"/>
          <w:sz w:val="32"/>
          <w:szCs w:val="32"/>
        </w:rPr>
        <w:t>制</w:t>
      </w:r>
      <w:r>
        <w:rPr>
          <w:rFonts w:hint="eastAsia" w:ascii="仿宋_GB2312" w:hAnsi="仿宋_GB2312" w:eastAsia="仿宋_GB2312" w:cs="仿宋_GB2312"/>
          <w:color w:val="000000"/>
          <w:sz w:val="32"/>
          <w:szCs w:val="32"/>
        </w:rPr>
        <w:t>度，从</w:t>
      </w:r>
      <w:r>
        <w:rPr>
          <w:rFonts w:ascii="仿宋_GB2312" w:hAnsi="仿宋_GB2312" w:eastAsia="仿宋_GB2312" w:cs="仿宋_GB2312"/>
          <w:color w:val="000000"/>
          <w:sz w:val="32"/>
          <w:szCs w:val="32"/>
        </w:rPr>
        <w:t>承储企业</w:t>
      </w:r>
      <w:r>
        <w:rPr>
          <w:rFonts w:hint="eastAsia" w:ascii="仿宋_GB2312" w:hAnsi="仿宋_GB2312" w:eastAsia="仿宋_GB2312" w:cs="仿宋_GB2312"/>
          <w:color w:val="000000"/>
          <w:sz w:val="32"/>
          <w:szCs w:val="32"/>
        </w:rPr>
        <w:t>在</w:t>
      </w:r>
      <w:r>
        <w:rPr>
          <w:rFonts w:hint="eastAsia" w:ascii="仿宋_GB2312" w:hAnsi="仿宋_GB2312" w:eastAsia="仿宋_GB2312" w:cs="仿宋_GB2312"/>
          <w:color w:val="000000"/>
          <w:sz w:val="32"/>
          <w:szCs w:val="32"/>
          <w:lang w:eastAsia="zh-CN"/>
        </w:rPr>
        <w:t>县</w:t>
      </w:r>
      <w:r>
        <w:rPr>
          <w:rFonts w:ascii="仿宋_GB2312" w:hAnsi="仿宋_GB2312" w:eastAsia="仿宋_GB2312" w:cs="仿宋_GB2312"/>
          <w:color w:val="000000"/>
          <w:sz w:val="32"/>
          <w:szCs w:val="32"/>
        </w:rPr>
        <w:t>级</w:t>
      </w:r>
      <w:r>
        <w:rPr>
          <w:rFonts w:hint="eastAsia" w:ascii="仿宋_GB2312" w:hAnsi="仿宋_GB2312" w:eastAsia="仿宋_GB2312" w:cs="仿宋_GB2312"/>
          <w:color w:val="000000"/>
          <w:sz w:val="32"/>
          <w:szCs w:val="32"/>
        </w:rPr>
        <w:t>储备粮</w:t>
      </w:r>
      <w:r>
        <w:rPr>
          <w:rFonts w:ascii="仿宋_GB2312" w:hAnsi="仿宋_GB2312" w:eastAsia="仿宋_GB2312" w:cs="仿宋_GB2312"/>
          <w:color w:val="000000"/>
          <w:sz w:val="32"/>
          <w:szCs w:val="32"/>
        </w:rPr>
        <w:t>轮</w:t>
      </w:r>
      <w:r>
        <w:rPr>
          <w:rFonts w:hint="eastAsia" w:ascii="仿宋_GB2312" w:hAnsi="仿宋_GB2312" w:eastAsia="仿宋_GB2312" w:cs="仿宋_GB2312"/>
          <w:color w:val="000000"/>
          <w:sz w:val="32"/>
          <w:szCs w:val="32"/>
        </w:rPr>
        <w:t>换时形成</w:t>
      </w:r>
      <w:r>
        <w:rPr>
          <w:rFonts w:hint="eastAsia" w:ascii="仿宋_GB2312" w:hAnsi="仿宋_GB2312" w:eastAsia="仿宋_GB2312" w:cs="仿宋_GB2312"/>
          <w:color w:val="000000"/>
          <w:sz w:val="32"/>
          <w:szCs w:val="32"/>
          <w:shd w:val="clear" w:color="auto" w:fill="FFFFFF"/>
        </w:rPr>
        <w:t>的价差收入中提取10%（累计最高不超过承储规模对应贷款总额的1%）作为</w:t>
      </w:r>
      <w:r>
        <w:rPr>
          <w:rFonts w:ascii="仿宋_GB2312" w:hAnsi="仿宋_GB2312" w:eastAsia="仿宋_GB2312" w:cs="仿宋_GB2312"/>
          <w:color w:val="000000"/>
          <w:sz w:val="32"/>
          <w:szCs w:val="32"/>
          <w:shd w:val="clear" w:color="auto" w:fill="FFFFFF"/>
        </w:rPr>
        <w:t>风险金</w:t>
      </w:r>
      <w:r>
        <w:rPr>
          <w:rFonts w:hint="eastAsia" w:ascii="仿宋_GB2312" w:hAnsi="仿宋_GB2312" w:eastAsia="仿宋_GB2312" w:cs="仿宋_GB2312"/>
          <w:color w:val="000000"/>
          <w:sz w:val="32"/>
          <w:szCs w:val="32"/>
          <w:shd w:val="clear" w:color="auto" w:fill="FFFFFF"/>
        </w:rPr>
        <w:t>，由承储企业在农发行设立专户储存，主要用于承储企业轮换风险准备，弥补企业轮换亏损，轮换风险金不足的</w:t>
      </w:r>
      <w:r>
        <w:rPr>
          <w:rFonts w:ascii="仿宋_GB2312" w:hAnsi="仿宋_GB2312" w:eastAsia="仿宋_GB2312" w:cs="仿宋_GB2312"/>
          <w:color w:val="000000"/>
          <w:sz w:val="32"/>
          <w:szCs w:val="32"/>
          <w:shd w:val="clear" w:color="auto" w:fill="FFFFFF"/>
        </w:rPr>
        <w:t>由企业自行解决</w:t>
      </w:r>
      <w:r>
        <w:rPr>
          <w:rFonts w:hint="eastAsia" w:ascii="仿宋_GB2312" w:hAnsi="仿宋_GB2312" w:eastAsia="仿宋_GB2312" w:cs="仿宋_GB2312"/>
          <w:color w:val="000000"/>
          <w:sz w:val="32"/>
          <w:szCs w:val="32"/>
          <w:shd w:val="clear" w:color="auto" w:fill="FFFFFF"/>
        </w:rPr>
        <w:t>。</w:t>
      </w:r>
    </w:p>
    <w:p>
      <w:pPr>
        <w:keepNext w:val="0"/>
        <w:keepLines w:val="0"/>
        <w:pageBreakBefore w:val="0"/>
        <w:widowControl w:val="0"/>
        <w:kinsoku/>
        <w:wordWrap/>
        <w:overflowPunct w:val="0"/>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color="auto" w:fill="FFFFFF"/>
        </w:rPr>
        <w:t>在规定的空库时间内，</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级储备粮的管理费用补贴照常拨付；</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级储备粮超过规定的空库时间（包括经批准延长的时间）不能入库的，对空库部分停止拨付贷款利息和管理费用等财政补贴。</w:t>
      </w:r>
    </w:p>
    <w:p>
      <w:pPr>
        <w:pStyle w:val="5"/>
        <w:keepNext w:val="0"/>
        <w:keepLines w:val="0"/>
        <w:pageBreakBefore w:val="0"/>
        <w:widowControl w:val="0"/>
        <w:kinsoku/>
        <w:wordWrap/>
        <w:overflowPunct w:val="0"/>
        <w:topLinePunct w:val="0"/>
        <w:autoSpaceDE/>
        <w:autoSpaceDN/>
        <w:bidi w:val="0"/>
        <w:adjustRightInd/>
        <w:snapToGrid/>
        <w:spacing w:line="570" w:lineRule="exact"/>
        <w:jc w:val="center"/>
        <w:textAlignment w:val="auto"/>
        <w:rPr>
          <w:rFonts w:hint="eastAsia" w:ascii="黑体" w:hAnsi="黑体" w:eastAsia="黑体" w:cs="黑体"/>
          <w:color w:val="000000"/>
          <w:sz w:val="32"/>
          <w:szCs w:val="32"/>
          <w:shd w:val="clear" w:color="auto" w:fill="FFFFFF"/>
        </w:rPr>
      </w:pPr>
      <w:r>
        <w:rPr>
          <w:rFonts w:hint="eastAsia" w:ascii="黑体" w:hAnsi="黑体" w:eastAsia="黑体" w:cs="黑体"/>
          <w:color w:val="000000"/>
          <w:sz w:val="32"/>
          <w:szCs w:val="32"/>
          <w:shd w:val="clear" w:color="auto" w:fill="FFFFFF"/>
        </w:rPr>
        <w:t xml:space="preserve">第五章  </w:t>
      </w:r>
      <w:r>
        <w:rPr>
          <w:rFonts w:hint="eastAsia" w:ascii="黑体" w:hAnsi="黑体" w:eastAsia="黑体" w:cs="黑体"/>
          <w:color w:val="000000"/>
          <w:sz w:val="32"/>
          <w:szCs w:val="32"/>
          <w:shd w:val="clear" w:color="auto" w:fill="FFFFFF"/>
          <w:lang w:eastAsia="zh-CN"/>
        </w:rPr>
        <w:t>县</w:t>
      </w:r>
      <w:r>
        <w:rPr>
          <w:rFonts w:hint="eastAsia" w:ascii="黑体" w:hAnsi="黑体" w:eastAsia="黑体" w:cs="黑体"/>
          <w:color w:val="000000"/>
          <w:sz w:val="32"/>
          <w:szCs w:val="32"/>
          <w:shd w:val="clear" w:color="auto" w:fill="FFFFFF"/>
        </w:rPr>
        <w:t>级储备粮的动用</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第三十九条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）应当完善</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级储备粮的动用预警机制，适时向</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政府提出动用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级储备粮的建议。</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第四十条</w:t>
      </w:r>
      <w:r>
        <w:rPr>
          <w:rFonts w:hint="eastAsia" w:ascii="仿宋_GB2312" w:hAnsi="仿宋_GB2312" w:eastAsia="仿宋_GB2312" w:cs="仿宋_GB2312"/>
          <w:color w:val="000000"/>
          <w:sz w:val="32"/>
          <w:szCs w:val="32"/>
          <w:shd w:val="clear" w:color="auto" w:fill="FFFFFF"/>
        </w:rPr>
        <w:t xml:space="preserve">  出现下列情形之一的，可以动用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color="auto" w:fill="FFFFFF"/>
        </w:rPr>
        <w:t>（一）全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或者部分</w:t>
      </w:r>
      <w:r>
        <w:rPr>
          <w:rFonts w:hint="eastAsia" w:ascii="仿宋_GB2312" w:hAnsi="仿宋_GB2312" w:eastAsia="仿宋_GB2312" w:cs="仿宋_GB2312"/>
          <w:color w:val="000000"/>
          <w:sz w:val="32"/>
          <w:szCs w:val="32"/>
          <w:shd w:val="clear" w:color="auto" w:fill="FFFFFF"/>
          <w:lang w:eastAsia="zh-CN"/>
        </w:rPr>
        <w:t>地区</w:t>
      </w:r>
      <w:r>
        <w:rPr>
          <w:rFonts w:hint="eastAsia" w:ascii="仿宋_GB2312" w:hAnsi="仿宋_GB2312" w:eastAsia="仿宋_GB2312" w:cs="仿宋_GB2312"/>
          <w:color w:val="000000"/>
          <w:sz w:val="32"/>
          <w:szCs w:val="32"/>
          <w:shd w:val="clear" w:color="auto" w:fill="FFFFFF"/>
        </w:rPr>
        <w:t>粮食明显供不应求或者市场价格异常波动的；</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color="auto" w:fill="FFFFFF"/>
        </w:rPr>
        <w:t>（二）发生突发公共事件需要动用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（三）</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政府规定的其他情形。</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第四十一条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级储备粮的动用，由</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）会同</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财政部门提出动用方案，报</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政府批准，并抄送</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。在紧急情况下，</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政府直接决定动用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级储备粮，并下达动用命令。</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级储备粮动用方案应当包括粮食的品种、数量、价格、使用安排和运输保障等内容。</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第四十二条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政府批准的</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级储备粮动用方案和下达的</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级储备粮动用命令，由</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）具体组织实施。在实施过程中，</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政府有关部门应当予以支持、配合。</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distribute"/>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第四十三条</w:t>
      </w:r>
      <w:r>
        <w:rPr>
          <w:rFonts w:hint="eastAsia" w:ascii="仿宋_GB2312" w:hAnsi="仿宋_GB2312" w:eastAsia="仿宋_GB2312" w:cs="仿宋_GB2312"/>
          <w:color w:val="000000"/>
          <w:sz w:val="32"/>
          <w:szCs w:val="32"/>
          <w:shd w:val="clear" w:color="auto" w:fill="FFFFFF"/>
        </w:rPr>
        <w:t xml:space="preserve">  任何单位和个人不得拒绝执行或者擅自改变</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政府批准的</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级储备粮动用方案和下达的</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级储备粮动</w:t>
      </w:r>
    </w:p>
    <w:p>
      <w:pPr>
        <w:pStyle w:val="5"/>
        <w:keepNext w:val="0"/>
        <w:keepLines w:val="0"/>
        <w:pageBreakBefore w:val="0"/>
        <w:widowControl w:val="0"/>
        <w:kinsoku/>
        <w:wordWrap/>
        <w:overflowPunct w:val="0"/>
        <w:topLinePunct w:val="0"/>
        <w:autoSpaceDE/>
        <w:autoSpaceDN/>
        <w:bidi w:val="0"/>
        <w:adjustRightInd/>
        <w:snapToGrid/>
        <w:spacing w:line="570" w:lineRule="exact"/>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color="auto" w:fill="FFFFFF"/>
        </w:rPr>
        <w:t>用命令。</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第四十四条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政府决定动用</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级储备粮发生的损失（包括贷款本金、利息和发生的相关费用），由</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财政部门负责弥补。</w:t>
      </w:r>
    </w:p>
    <w:p>
      <w:pPr>
        <w:pStyle w:val="5"/>
        <w:keepNext w:val="0"/>
        <w:keepLines w:val="0"/>
        <w:pageBreakBefore w:val="0"/>
        <w:widowControl w:val="0"/>
        <w:kinsoku/>
        <w:wordWrap/>
        <w:overflowPunct w:val="0"/>
        <w:topLinePunct w:val="0"/>
        <w:autoSpaceDE/>
        <w:autoSpaceDN/>
        <w:bidi w:val="0"/>
        <w:adjustRightInd/>
        <w:snapToGrid/>
        <w:spacing w:line="570" w:lineRule="exact"/>
        <w:jc w:val="center"/>
        <w:textAlignment w:val="auto"/>
        <w:rPr>
          <w:rFonts w:hint="eastAsia" w:ascii="黑体" w:hAnsi="黑体" w:eastAsia="黑体" w:cs="黑体"/>
          <w:color w:val="000000"/>
          <w:sz w:val="32"/>
          <w:szCs w:val="32"/>
          <w:shd w:val="clear" w:color="auto" w:fill="FFFFFF"/>
        </w:rPr>
      </w:pPr>
      <w:r>
        <w:rPr>
          <w:rFonts w:hint="eastAsia" w:ascii="黑体" w:hAnsi="黑体" w:eastAsia="黑体" w:cs="黑体"/>
          <w:color w:val="000000"/>
          <w:sz w:val="32"/>
          <w:szCs w:val="32"/>
          <w:shd w:val="clear" w:color="auto" w:fill="FFFFFF"/>
        </w:rPr>
        <w:t>第</w:t>
      </w:r>
      <w:r>
        <w:rPr>
          <w:rFonts w:ascii="黑体" w:hAnsi="黑体" w:eastAsia="黑体" w:cs="黑体"/>
          <w:color w:val="000000"/>
          <w:sz w:val="32"/>
          <w:szCs w:val="32"/>
          <w:shd w:val="clear" w:color="auto" w:fill="FFFFFF"/>
        </w:rPr>
        <w:t>六</w:t>
      </w:r>
      <w:r>
        <w:rPr>
          <w:rFonts w:hint="eastAsia" w:ascii="黑体" w:hAnsi="黑体" w:eastAsia="黑体" w:cs="黑体"/>
          <w:color w:val="000000"/>
          <w:sz w:val="32"/>
          <w:szCs w:val="32"/>
          <w:shd w:val="clear" w:color="auto" w:fill="FFFFFF"/>
        </w:rPr>
        <w:t>章  监督检查</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黑体" w:hAnsi="黑体" w:eastAsia="黑体" w:cs="黑体"/>
          <w:color w:val="000000"/>
          <w:sz w:val="32"/>
          <w:szCs w:val="32"/>
          <w:shd w:val="clear" w:color="auto" w:fill="FFFFFF"/>
        </w:rPr>
      </w:pPr>
      <w:r>
        <w:rPr>
          <w:rFonts w:hint="eastAsia" w:ascii="黑体" w:hAnsi="黑体" w:eastAsia="黑体" w:cs="黑体"/>
          <w:color w:val="000000"/>
          <w:sz w:val="32"/>
          <w:szCs w:val="32"/>
          <w:shd w:val="clear" w:color="auto" w:fill="FFFFFF"/>
        </w:rPr>
        <w:t>第四十五条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）和</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财政部门按照各自职责，依法对承储企业执行粮食法规、规章的情况进行监督检查。在监督检查过程中，可以行使下列职权：</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（一）进入承储企业检查</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级储备粮的数量、质量和储存安全情况；</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color="auto" w:fill="FFFFFF"/>
        </w:rPr>
        <w:t>（二）向有关单位和人员了解</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级储备粮收购、销售、轮换计划及动用命令的执行情况；</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color="auto" w:fill="FFFFFF"/>
        </w:rPr>
        <w:t>（三）调阅</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级储备粮经营管理的有关资料、凭证；</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color="auto" w:fill="FFFFFF"/>
        </w:rPr>
        <w:t>（四）依法处理违法行为。</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 xml:space="preserve">第四十六条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）和</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财政部门在监督检查中，发现</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级储备粮在数量、质量、储存安全等方面存在问题的，应当责成承储企业立即纠正或者处理；发现</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级储备粮承储企业不再具备承储条件的，应当按规定取消其承储任务。</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lang w:eastAsia="zh-CN"/>
        </w:rPr>
      </w:pPr>
      <w:r>
        <w:rPr>
          <w:rFonts w:hint="eastAsia" w:ascii="黑体" w:hAnsi="黑体" w:eastAsia="黑体" w:cs="黑体"/>
          <w:color w:val="000000"/>
          <w:sz w:val="32"/>
          <w:szCs w:val="32"/>
          <w:shd w:val="clear" w:color="auto" w:fill="FFFFFF"/>
        </w:rPr>
        <w:t>第四十七条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）和</w:t>
      </w:r>
      <w:r>
        <w:rPr>
          <w:rFonts w:hint="eastAsia" w:ascii="仿宋_GB2312" w:hAnsi="仿宋_GB2312" w:eastAsia="仿宋_GB2312" w:cs="仿宋_GB2312"/>
          <w:color w:val="000000"/>
          <w:sz w:val="32"/>
          <w:szCs w:val="32"/>
          <w:shd w:val="clear" w:color="auto" w:fill="FFFFFF"/>
          <w:lang w:eastAsia="zh-CN"/>
        </w:rPr>
        <w:t>县</w:t>
      </w:r>
    </w:p>
    <w:p>
      <w:pPr>
        <w:pStyle w:val="5"/>
        <w:keepNext w:val="0"/>
        <w:keepLines w:val="0"/>
        <w:pageBreakBefore w:val="0"/>
        <w:widowControl w:val="0"/>
        <w:kinsoku/>
        <w:wordWrap/>
        <w:overflowPunct w:val="0"/>
        <w:topLinePunct w:val="0"/>
        <w:autoSpaceDE/>
        <w:autoSpaceDN/>
        <w:bidi w:val="0"/>
        <w:adjustRightInd/>
        <w:snapToGrid/>
        <w:spacing w:line="570" w:lineRule="exact"/>
        <w:jc w:val="both"/>
        <w:textAlignment w:val="auto"/>
        <w:rPr>
          <w:rFonts w:hint="eastAsia"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财政部门的监督检查人员应当将监督检查情况作出书面记录，并由监督检查人员和被检查单位的负责人签字。被检查单位的负责</w:t>
      </w:r>
    </w:p>
    <w:p>
      <w:pPr>
        <w:pStyle w:val="5"/>
        <w:keepNext w:val="0"/>
        <w:keepLines w:val="0"/>
        <w:pageBreakBefore w:val="0"/>
        <w:widowControl w:val="0"/>
        <w:kinsoku/>
        <w:wordWrap/>
        <w:overflowPunct w:val="0"/>
        <w:topLinePunct w:val="0"/>
        <w:autoSpaceDE/>
        <w:autoSpaceDN/>
        <w:bidi w:val="0"/>
        <w:adjustRightInd/>
        <w:snapToGrid/>
        <w:spacing w:line="570" w:lineRule="exact"/>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color="auto" w:fill="FFFFFF"/>
        </w:rPr>
        <w:t>人拒绝签字的，监督检查人员应当将有关情况记录在案。</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第四十八条</w:t>
      </w:r>
      <w:r>
        <w:rPr>
          <w:rFonts w:hint="eastAsia" w:ascii="仿宋_GB2312" w:hAnsi="仿宋_GB2312" w:eastAsia="仿宋_GB2312" w:cs="仿宋_GB2312"/>
          <w:color w:val="000000"/>
          <w:sz w:val="32"/>
          <w:szCs w:val="32"/>
          <w:shd w:val="clear" w:color="auto" w:fill="FFFFFF"/>
        </w:rPr>
        <w:t xml:space="preserve">  审计机关按照规定的职责，依法对</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级储备粮的财务收支情况实施审计监督。对发现的问题，应当及时处理。</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第四十九条</w:t>
      </w:r>
      <w:r>
        <w:rPr>
          <w:rFonts w:hint="eastAsia" w:ascii="仿宋_GB2312" w:hAnsi="仿宋_GB2312" w:eastAsia="仿宋_GB2312" w:cs="仿宋_GB2312"/>
          <w:color w:val="000000"/>
          <w:sz w:val="32"/>
          <w:szCs w:val="32"/>
          <w:shd w:val="clear" w:color="auto" w:fill="FFFFFF"/>
        </w:rPr>
        <w:t xml:space="preserve">  承储企业及有关单位和人员对</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财政部门和审计机关依法实施的监督检查，应当予以配合，如实提供有关情况和资料，不得以任何理由拒绝、干涉或者阻挠。</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第五十条</w:t>
      </w:r>
      <w:r>
        <w:rPr>
          <w:rFonts w:hint="eastAsia" w:ascii="仿宋_GB2312" w:hAnsi="仿宋_GB2312" w:eastAsia="仿宋_GB2312" w:cs="仿宋_GB2312"/>
          <w:color w:val="000000"/>
          <w:sz w:val="32"/>
          <w:szCs w:val="32"/>
          <w:shd w:val="clear" w:color="auto" w:fill="FFFFFF"/>
        </w:rPr>
        <w:t xml:space="preserve">  承储企业所在地的粮食行政管理部门应当加强对</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级储备粮的日常管理和监督检查，对</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级储备粮的数量、质量存在的问题，应当及时纠正；对危及</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级储备粮储存安全的重大问题，应当立即采取有效措施处理，并向</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）报告。</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发展改革部门（</w:t>
      </w:r>
      <w:r>
        <w:rPr>
          <w:rFonts w:hint="eastAsia" w:ascii="仿宋_GB2312" w:hAnsi="仿宋_GB2312" w:eastAsia="仿宋_GB2312" w:cs="仿宋_GB2312"/>
          <w:color w:val="000000"/>
          <w:sz w:val="32"/>
          <w:szCs w:val="32"/>
          <w:shd w:val="clear" w:color="auto" w:fill="FFFFFF"/>
          <w:lang w:eastAsia="zh-CN"/>
        </w:rPr>
        <w:t>粮食和物资储备局</w:t>
      </w:r>
      <w:r>
        <w:rPr>
          <w:rFonts w:hint="eastAsia" w:ascii="仿宋_GB2312" w:hAnsi="仿宋_GB2312" w:eastAsia="仿宋_GB2312" w:cs="仿宋_GB2312"/>
          <w:color w:val="000000"/>
          <w:sz w:val="32"/>
          <w:szCs w:val="32"/>
          <w:shd w:val="clear" w:color="auto" w:fill="FFFFFF"/>
        </w:rPr>
        <w:t>）应当及时将处理情况通报</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财政部门和</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ascii="仿宋_GB2312" w:hAnsi="仿宋_GB2312" w:eastAsia="仿宋_GB2312" w:cs="仿宋_GB2312"/>
          <w:color w:val="000000"/>
          <w:sz w:val="32"/>
          <w:szCs w:val="32"/>
          <w:shd w:val="clear" w:color="auto" w:fill="FFFFFF"/>
        </w:rPr>
      </w:pPr>
      <w:r>
        <w:rPr>
          <w:rFonts w:hint="eastAsia" w:ascii="黑体" w:hAnsi="黑体" w:eastAsia="黑体" w:cs="黑体"/>
          <w:color w:val="000000"/>
          <w:sz w:val="32"/>
          <w:szCs w:val="32"/>
          <w:shd w:val="clear" w:color="auto" w:fill="FFFFFF"/>
        </w:rPr>
        <w:t>第五十一条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县农发行</w:t>
      </w:r>
      <w:r>
        <w:rPr>
          <w:rFonts w:hint="eastAsia" w:ascii="仿宋_GB2312" w:hAnsi="仿宋_GB2312" w:eastAsia="仿宋_GB2312" w:cs="仿宋_GB2312"/>
          <w:color w:val="000000"/>
          <w:sz w:val="32"/>
          <w:szCs w:val="32"/>
          <w:shd w:val="clear" w:color="auto" w:fill="FFFFFF"/>
        </w:rPr>
        <w:t>应当按照粮食收购资金封闭管理和《中国农业发展银行地方储备粮贷款管理办法》的规定，加强对</w:t>
      </w:r>
      <w:r>
        <w:rPr>
          <w:rFonts w:hint="eastAsia" w:ascii="仿宋_GB2312" w:hAnsi="仿宋_GB2312" w:eastAsia="仿宋_GB2312" w:cs="仿宋_GB2312"/>
          <w:color w:val="000000"/>
          <w:sz w:val="32"/>
          <w:szCs w:val="32"/>
          <w:shd w:val="clear" w:color="auto" w:fill="FFFFFF"/>
          <w:lang w:eastAsia="zh-CN"/>
        </w:rPr>
        <w:t>县</w:t>
      </w:r>
      <w:r>
        <w:rPr>
          <w:rFonts w:hint="eastAsia" w:ascii="仿宋_GB2312" w:hAnsi="仿宋_GB2312" w:eastAsia="仿宋_GB2312" w:cs="仿宋_GB2312"/>
          <w:color w:val="000000"/>
          <w:sz w:val="32"/>
          <w:szCs w:val="32"/>
          <w:shd w:val="clear" w:color="auto" w:fill="FFFFFF"/>
        </w:rPr>
        <w:t>级储备粮贷款的信贷监管。承储企业应当予以配合，并及时提供有关情况和资料。</w:t>
      </w:r>
    </w:p>
    <w:p>
      <w:pPr>
        <w:pStyle w:val="5"/>
        <w:keepNext w:val="0"/>
        <w:keepLines w:val="0"/>
        <w:pageBreakBefore w:val="0"/>
        <w:widowControl w:val="0"/>
        <w:kinsoku/>
        <w:wordWrap/>
        <w:overflowPunct w:val="0"/>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000000"/>
          <w:sz w:val="32"/>
          <w:szCs w:val="32"/>
        </w:rPr>
      </w:pPr>
      <w:r>
        <w:rPr>
          <w:rFonts w:hint="eastAsia" w:ascii="黑体" w:hAnsi="黑体" w:eastAsia="黑体" w:cs="黑体"/>
          <w:color w:val="000000"/>
          <w:sz w:val="32"/>
          <w:szCs w:val="32"/>
          <w:shd w:val="clear" w:color="auto" w:fill="FFFFFF"/>
        </w:rPr>
        <w:t>第五十二条</w:t>
      </w:r>
      <w:r>
        <w:rPr>
          <w:rFonts w:hint="eastAsia" w:ascii="仿宋_GB2312" w:hAnsi="仿宋_GB2312" w:eastAsia="仿宋_GB2312" w:cs="仿宋_GB2312"/>
          <w:color w:val="000000"/>
          <w:sz w:val="32"/>
          <w:szCs w:val="32"/>
          <w:shd w:val="clear" w:color="auto" w:fill="FFFFFF"/>
        </w:rPr>
        <w:t xml:space="preserve">  国家机关工作人员和承储企业违反本办法的，按有关规定给予处分；构成犯罪的，依法追究刑事责任。</w:t>
      </w:r>
    </w:p>
    <w:p>
      <w:pPr>
        <w:pStyle w:val="5"/>
        <w:keepNext w:val="0"/>
        <w:keepLines w:val="0"/>
        <w:pageBreakBefore w:val="0"/>
        <w:widowControl w:val="0"/>
        <w:kinsoku/>
        <w:wordWrap/>
        <w:overflowPunct w:val="0"/>
        <w:topLinePunct w:val="0"/>
        <w:autoSpaceDE/>
        <w:autoSpaceDN/>
        <w:bidi w:val="0"/>
        <w:adjustRightInd/>
        <w:snapToGrid/>
        <w:spacing w:line="570" w:lineRule="exact"/>
        <w:jc w:val="center"/>
        <w:textAlignment w:val="auto"/>
        <w:rPr>
          <w:rFonts w:hint="eastAsia" w:ascii="黑体" w:hAnsi="黑体" w:eastAsia="黑体" w:cs="黑体"/>
          <w:color w:val="000000"/>
          <w:sz w:val="32"/>
          <w:szCs w:val="32"/>
          <w:shd w:val="clear" w:color="auto" w:fill="FFFFFF"/>
        </w:rPr>
      </w:pPr>
      <w:r>
        <w:rPr>
          <w:rFonts w:hint="eastAsia" w:ascii="黑体" w:hAnsi="黑体" w:eastAsia="黑体" w:cs="黑体"/>
          <w:color w:val="000000"/>
          <w:sz w:val="32"/>
          <w:szCs w:val="32"/>
          <w:shd w:val="clear" w:color="auto" w:fill="FFFFFF"/>
        </w:rPr>
        <w:t>第七章  附</w:t>
      </w:r>
      <w:r>
        <w:rPr>
          <w:rFonts w:hint="eastAsia" w:ascii="黑体" w:hAnsi="黑体" w:eastAsia="黑体" w:cs="黑体"/>
          <w:color w:val="000000"/>
          <w:sz w:val="32"/>
          <w:szCs w:val="32"/>
          <w:shd w:val="clear" w:color="auto" w:fill="FFFFFF"/>
          <w:lang w:val="en-US" w:eastAsia="zh-CN"/>
        </w:rPr>
        <w:t xml:space="preserve"> </w:t>
      </w:r>
      <w:r>
        <w:rPr>
          <w:rFonts w:hint="eastAsia" w:ascii="黑体" w:hAnsi="黑体" w:eastAsia="黑体" w:cs="黑体"/>
          <w:color w:val="000000"/>
          <w:sz w:val="32"/>
          <w:szCs w:val="32"/>
          <w:shd w:val="clear" w:color="auto" w:fill="FFFFFF"/>
        </w:rPr>
        <w:t xml:space="preserve"> 则</w:t>
      </w:r>
    </w:p>
    <w:p>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shd w:val="clear" w:color="auto" w:fill="FFFFFF"/>
          <w:lang w:eastAsia="zh-CN"/>
        </w:rPr>
      </w:pPr>
      <w:r>
        <w:rPr>
          <w:rFonts w:hint="eastAsia" w:ascii="黑体" w:hAnsi="黑体" w:eastAsia="黑体" w:cs="黑体"/>
          <w:color w:val="000000"/>
          <w:sz w:val="32"/>
          <w:szCs w:val="32"/>
          <w:shd w:val="clear" w:color="auto" w:fill="FFFFFF"/>
        </w:rPr>
        <w:t>第五十三条</w:t>
      </w:r>
      <w:r>
        <w:rPr>
          <w:rFonts w:hint="eastAsia" w:ascii="仿宋_GB2312" w:hAnsi="仿宋_GB2312" w:eastAsia="仿宋_GB2312" w:cs="仿宋_GB2312"/>
          <w:color w:val="000000"/>
          <w:sz w:val="32"/>
          <w:szCs w:val="32"/>
          <w:shd w:val="clear" w:color="auto" w:fill="FFFFFF"/>
        </w:rPr>
        <w:t xml:space="preserve">  </w:t>
      </w:r>
      <w:r>
        <w:rPr>
          <w:rFonts w:hint="eastAsia" w:ascii="仿宋_GB2312" w:hAnsi="仿宋_GB2312" w:eastAsia="仿宋_GB2312" w:cs="仿宋_GB2312"/>
          <w:color w:val="000000"/>
          <w:sz w:val="32"/>
          <w:szCs w:val="32"/>
          <w:shd w:val="clear" w:color="auto" w:fill="FFFFFF"/>
          <w:lang w:eastAsia="zh-CN"/>
        </w:rPr>
        <w:t>县级成品粮储备管理参照本办法有关规定执行。</w:t>
      </w:r>
    </w:p>
    <w:p>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textAlignment w:val="auto"/>
        <w:outlineLvl w:val="9"/>
        <w:rPr>
          <w:rFonts w:hint="default" w:eastAsia="仿宋_GB2312"/>
          <w:sz w:val="32"/>
          <w:szCs w:val="32"/>
          <w:lang w:val="en-US" w:eastAsia="zh-CN"/>
        </w:rPr>
      </w:pPr>
      <w:r>
        <w:rPr>
          <w:rFonts w:hint="eastAsia" w:ascii="黑体" w:hAnsi="黑体" w:eastAsia="黑体" w:cs="黑体"/>
          <w:color w:val="000000"/>
          <w:sz w:val="32"/>
          <w:szCs w:val="32"/>
          <w:shd w:val="clear" w:color="auto" w:fill="FFFFFF"/>
          <w:lang w:eastAsia="zh-CN"/>
        </w:rPr>
        <w:t>第五十四条</w:t>
      </w:r>
      <w:r>
        <w:rPr>
          <w:rFonts w:hint="eastAsia" w:ascii="仿宋_GB2312" w:hAnsi="仿宋_GB2312" w:eastAsia="仿宋_GB2312" w:cs="仿宋_GB2312"/>
          <w:color w:val="000000"/>
          <w:sz w:val="32"/>
          <w:szCs w:val="32"/>
          <w:shd w:val="clear" w:color="auto" w:fill="FFFFFF"/>
          <w:lang w:eastAsia="zh-CN"/>
        </w:rPr>
        <w:t>本办法自发布之日</w:t>
      </w:r>
      <w:r>
        <w:rPr>
          <w:rFonts w:hint="eastAsia" w:ascii="仿宋_GB2312" w:hAnsi="仿宋_GB2312" w:eastAsia="仿宋_GB2312" w:cs="仿宋_GB2312"/>
          <w:color w:val="000000"/>
          <w:sz w:val="32"/>
          <w:szCs w:val="32"/>
          <w:shd w:val="clear" w:color="auto" w:fill="FFFFFF"/>
          <w:lang w:val="en-US" w:eastAsia="zh-CN"/>
        </w:rPr>
        <w:t>起实行。</w:t>
      </w:r>
    </w:p>
    <w:p>
      <w:pPr>
        <w:keepNext w:val="0"/>
        <w:keepLines w:val="0"/>
        <w:pageBreakBefore w:val="0"/>
        <w:widowControl w:val="0"/>
        <w:kinsoku/>
        <w:wordWrap/>
        <w:overflowPunct w:val="0"/>
        <w:topLinePunct w:val="0"/>
        <w:autoSpaceDE/>
        <w:autoSpaceDN/>
        <w:bidi w:val="0"/>
        <w:adjustRightInd/>
        <w:snapToGrid/>
        <w:spacing w:line="560" w:lineRule="exact"/>
        <w:textAlignment w:val="auto"/>
        <w:outlineLvl w:val="9"/>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rPr>
          <w:sz w:val="32"/>
          <w:szCs w:val="32"/>
        </w:rPr>
      </w:pPr>
    </w:p>
    <w:p>
      <w:pPr>
        <w:pStyle w:val="2"/>
        <w:keepNext w:val="0"/>
        <w:keepLines w:val="0"/>
        <w:pageBreakBefore w:val="0"/>
        <w:widowControl w:val="0"/>
        <w:kinsoku/>
        <w:wordWrap/>
        <w:overflowPunct w:val="0"/>
        <w:topLinePunct w:val="0"/>
        <w:autoSpaceDE/>
        <w:autoSpaceDN/>
        <w:bidi w:val="0"/>
        <w:adjustRightInd/>
        <w:snapToGrid/>
        <w:spacing w:line="240" w:lineRule="exact"/>
        <w:ind w:left="0" w:right="0"/>
        <w:textAlignment w:val="auto"/>
        <w:outlineLvl w:val="9"/>
        <w:rPr>
          <w:rFonts w:hint="eastAsia" w:ascii="仿宋_GB2312" w:hAnsi="仿宋_GB2312" w:eastAsia="仿宋_GB2312" w:cs="仿宋_GB2312"/>
          <w:color w:val="000000"/>
          <w:sz w:val="32"/>
          <w:szCs w:val="32"/>
          <w:highlight w:val="none"/>
          <w:lang w:val="en-US" w:eastAsia="zh-CN"/>
        </w:rPr>
      </w:pPr>
    </w:p>
    <w:tbl>
      <w:tblPr>
        <w:tblStyle w:val="7"/>
        <w:tblW w:w="88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8880" w:type="dxa"/>
            <w:tcBorders>
              <w:left w:val="nil"/>
              <w:right w:val="nil"/>
            </w:tcBorders>
            <w:vAlign w:val="top"/>
          </w:tcPr>
          <w:p>
            <w:pPr>
              <w:pStyle w:val="2"/>
              <w:keepNext w:val="0"/>
              <w:keepLines w:val="0"/>
              <w:pageBreakBefore w:val="0"/>
              <w:widowControl w:val="0"/>
              <w:kinsoku/>
              <w:wordWrap/>
              <w:overflowPunct w:val="0"/>
              <w:topLinePunct w:val="0"/>
              <w:autoSpaceDE/>
              <w:autoSpaceDN/>
              <w:bidi w:val="0"/>
              <w:adjustRightInd/>
              <w:snapToGrid/>
              <w:spacing w:line="500" w:lineRule="exact"/>
              <w:ind w:right="0"/>
              <w:jc w:val="center"/>
              <w:textAlignment w:val="auto"/>
              <w:outlineLvl w:val="9"/>
              <w:rPr>
                <w:rFonts w:hint="eastAsia" w:ascii="仿宋_GB2312" w:hAnsi="仿宋_GB2312" w:eastAsia="仿宋_GB2312" w:cs="仿宋_GB2312"/>
                <w:color w:val="000000"/>
                <w:sz w:val="28"/>
                <w:szCs w:val="28"/>
                <w:highlight w:val="none"/>
                <w:vertAlign w:val="baseline"/>
                <w:lang w:val="en-US" w:eastAsia="zh-CN"/>
              </w:rPr>
            </w:pPr>
            <w:r>
              <w:rPr>
                <w:rFonts w:hint="eastAsia" w:ascii="仿宋_GB2312" w:hAnsi="仿宋_GB2312" w:eastAsia="仿宋_GB2312" w:cs="仿宋_GB2312"/>
                <w:color w:val="000000"/>
                <w:sz w:val="28"/>
                <w:szCs w:val="28"/>
                <w:highlight w:val="none"/>
                <w:vertAlign w:val="baseline"/>
                <w:lang w:val="en-US" w:eastAsia="zh-CN"/>
              </w:rPr>
              <w:t>隆尧县人民政府办公室                       2023年月  日印发</w:t>
            </w:r>
          </w:p>
        </w:tc>
      </w:tr>
    </w:tbl>
    <w:p>
      <w:pPr>
        <w:keepNext w:val="0"/>
        <w:keepLines w:val="0"/>
        <w:pageBreakBefore w:val="0"/>
        <w:widowControl w:val="0"/>
        <w:kinsoku/>
        <w:wordWrap/>
        <w:overflowPunct w:val="0"/>
        <w:topLinePunct w:val="0"/>
        <w:autoSpaceDE/>
        <w:autoSpaceDN/>
        <w:bidi w:val="0"/>
        <w:adjustRightInd/>
        <w:snapToGrid/>
        <w:spacing w:line="60" w:lineRule="exact"/>
        <w:textAlignment w:val="auto"/>
        <w:outlineLvl w:val="9"/>
        <w:rPr>
          <w:sz w:val="32"/>
          <w:szCs w:val="32"/>
        </w:rPr>
      </w:pPr>
    </w:p>
    <w:sectPr>
      <w:footerReference r:id="rId5" w:type="first"/>
      <w:footerReference r:id="rId3" w:type="default"/>
      <w:footerReference r:id="rId4" w:type="even"/>
      <w:pgSz w:w="11906" w:h="16838"/>
      <w:pgMar w:top="2154" w:right="1531" w:bottom="1984" w:left="1531" w:header="567" w:footer="1701" w:gutter="0"/>
      <w:pgNumType w:fmt="numberInDash"/>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altName w:val="微软雅黑"/>
    <w:panose1 w:val="03000509000000000000"/>
    <w:charset w:val="86"/>
    <w:family w:val="auto"/>
    <w:pitch w:val="default"/>
    <w:sig w:usb0="00000000" w:usb1="00000000" w:usb2="00000000" w:usb3="00000000" w:csb0="00040000" w:csb1="00000000"/>
  </w:font>
  <w:font w:name="DejaVu Sans">
    <w:altName w:val="Times New Roman"/>
    <w:panose1 w:val="00000000000000000000"/>
    <w:charset w:val="00"/>
    <w:family w:val="roman"/>
    <w:pitch w:val="default"/>
    <w:sig w:usb0="00000000" w:usb1="00000000" w:usb2="00000008" w:usb3="00000000" w:csb0="000001F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tabs>
        <w:tab w:val="center" w:pos="4422"/>
        <w:tab w:val="clear" w:pos="4153"/>
      </w:tabs>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843915" cy="230505"/>
              <wp:effectExtent l="0" t="0" r="0" b="0"/>
              <wp:wrapNone/>
              <wp:docPr id="1" name="文本框 1"/>
              <wp:cNvGraphicFramePr/>
              <a:graphic xmlns:a="http://schemas.openxmlformats.org/drawingml/2006/main">
                <a:graphicData uri="http://schemas.microsoft.com/office/word/2010/wordprocessingShape">
                  <wps:wsp>
                    <wps:cNvSpPr/>
                    <wps:spPr>
                      <a:xfrm>
                        <a:off x="0" y="0"/>
                        <a:ext cx="843915" cy="230505"/>
                      </a:xfrm>
                      <a:prstGeom prst="rect">
                        <a:avLst/>
                      </a:prstGeom>
                      <a:noFill/>
                      <a:ln>
                        <a:noFill/>
                      </a:ln>
                    </wps:spPr>
                    <wps:txbx>
                      <w:txbxContent>
                        <w:p>
                          <w:pPr>
                            <w:pStyle w:val="3"/>
                            <w:wordWrap w:val="0"/>
                            <w:jc w:val="right"/>
                            <w:rPr>
                              <w:rFonts w:hint="eastAsia" w:eastAsia="仿宋_GB2312"/>
                              <w:lang w:val="en-US" w:eastAsia="zh-CN"/>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- 1 -</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lang w:val="en-US" w:eastAsia="zh-CN"/>
                            </w:rPr>
                            <w:t xml:space="preserve">  </w:t>
                          </w:r>
                        </w:p>
                      </w:txbxContent>
                    </wps:txbx>
                    <wps:bodyPr wrap="square" lIns="0" tIns="0" rIns="0" bIns="0" upright="1">
                      <a:noAutofit/>
                    </wps:bodyPr>
                  </wps:wsp>
                </a:graphicData>
              </a:graphic>
            </wp:anchor>
          </w:drawing>
        </mc:Choice>
        <mc:Fallback>
          <w:pict>
            <v:rect id="文本框 1" o:spid="_x0000_s1026" o:spt="1" style="position:absolute;left:0pt;margin-top:0pt;height:18.15pt;width:66.45pt;mso-position-horizontal:right;mso-position-horizontal-relative:margin;z-index:251659264;mso-width-relative:page;mso-height-relative:page;" filled="f" stroked="f" coordsize="21600,21600" o:gfxdata="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nuVy09YAAAAEAQAADwAAAAAAAAABACAAAAAiAAAAZHJzL2Rv&#10;d25yZXYueG1sUEsBAhQAFAAAAAgAh07iQG5uTfPKAQAAjwMAAA4AAAAAAAAAAQAgAAAAJQEAAGRy&#10;cy9lMm9Eb2MueG1sUEsFBgAAAAAGAAYAWQEAAGEFAAAAAA==&#10;">
              <v:fill on="f" focussize="0,0"/>
              <v:stroke on="f"/>
              <v:imagedata o:title=""/>
              <o:lock v:ext="edit" aspectratio="f"/>
              <v:textbox inset="0mm,0mm,0mm,0mm">
                <w:txbxContent>
                  <w:p>
                    <w:pPr>
                      <w:pStyle w:val="3"/>
                      <w:wordWrap w:val="0"/>
                      <w:jc w:val="right"/>
                      <w:rPr>
                        <w:rFonts w:hint="eastAsia" w:eastAsia="仿宋_GB2312"/>
                        <w:lang w:val="en-US" w:eastAsia="zh-CN"/>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- 1 -</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lang w:val="en-US" w:eastAsia="zh-CN"/>
                      </w:rPr>
                      <w:t xml:space="preserve">  </w:t>
                    </w:r>
                  </w:p>
                </w:txbxContent>
              </v:textbox>
            </v:rect>
          </w:pict>
        </mc:Fallback>
      </mc:AlternateContent>
    </w:r>
    <w:r>
      <w:rPr>
        <w:rFonts w:hint="eastAsia"/>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- 2 -</w:t>
                          </w:r>
                          <w:r>
                            <w:rPr>
                              <w:rFonts w:hint="eastAsia" w:ascii="仿宋_GB2312" w:hAnsi="仿宋_GB2312" w:eastAsia="仿宋_GB2312" w:cs="仿宋_GB2312"/>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- 2 -</w:t>
                    </w:r>
                    <w:r>
                      <w:rPr>
                        <w:rFonts w:hint="eastAsia" w:ascii="仿宋_GB2312" w:hAnsi="仿宋_GB2312" w:eastAsia="仿宋_GB2312" w:cs="仿宋_GB2312"/>
                        <w:sz w:val="28"/>
                        <w:szCs w:val="28"/>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631825"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63182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ascii="仿宋_GB2312" w:hAnsi="仿宋_GB2312" w:eastAsia="仿宋_GB2312" w:cs="仿宋_GB2312"/>
                              <w:color w:val="FFFFFF" w:themeColor="background1"/>
                              <w:sz w:val="28"/>
                              <w:szCs w:val="28"/>
                              <w:lang w:eastAsia="zh-CN"/>
                              <w14:textFill>
                                <w14:solidFill>
                                  <w14:schemeClr w14:val="bg1"/>
                                </w14:solidFill>
                              </w14:textFill>
                            </w:rPr>
                            <w:fldChar w:fldCharType="begin"/>
                          </w:r>
                          <w:r>
                            <w:rPr>
                              <w:rFonts w:hint="eastAsia" w:ascii="仿宋_GB2312" w:hAnsi="仿宋_GB2312" w:eastAsia="仿宋_GB2312" w:cs="仿宋_GB2312"/>
                              <w:color w:val="FFFFFF" w:themeColor="background1"/>
                              <w:sz w:val="28"/>
                              <w:szCs w:val="28"/>
                              <w:lang w:eastAsia="zh-CN"/>
                              <w14:textFill>
                                <w14:solidFill>
                                  <w14:schemeClr w14:val="bg1"/>
                                </w14:solidFill>
                              </w14:textFill>
                            </w:rPr>
                            <w:instrText xml:space="preserve"> PAGE  \* MERGEFORMAT </w:instrText>
                          </w:r>
                          <w:r>
                            <w:rPr>
                              <w:rFonts w:hint="eastAsia" w:ascii="仿宋_GB2312" w:hAnsi="仿宋_GB2312" w:eastAsia="仿宋_GB2312" w:cs="仿宋_GB2312"/>
                              <w:color w:val="FFFFFF" w:themeColor="background1"/>
                              <w:sz w:val="28"/>
                              <w:szCs w:val="28"/>
                              <w:lang w:eastAsia="zh-CN"/>
                              <w14:textFill>
                                <w14:solidFill>
                                  <w14:schemeClr w14:val="bg1"/>
                                </w14:solidFill>
                              </w14:textFill>
                            </w:rPr>
                            <w:fldChar w:fldCharType="separate"/>
                          </w:r>
                          <w:r>
                            <w:rPr>
                              <w:rFonts w:hint="eastAsia" w:ascii="仿宋_GB2312" w:hAnsi="仿宋_GB2312" w:eastAsia="仿宋_GB2312" w:cs="仿宋_GB2312"/>
                              <w:color w:val="FFFFFF" w:themeColor="background1"/>
                              <w:sz w:val="28"/>
                              <w:szCs w:val="28"/>
                              <w:lang w:eastAsia="zh-CN"/>
                              <w14:textFill>
                                <w14:solidFill>
                                  <w14:schemeClr w14:val="bg1"/>
                                </w14:solidFill>
                              </w14:textFill>
                            </w:rPr>
                            <w:t>- 1 -</w:t>
                          </w:r>
                          <w:r>
                            <w:rPr>
                              <w:rFonts w:hint="eastAsia" w:ascii="仿宋_GB2312" w:hAnsi="仿宋_GB2312" w:eastAsia="仿宋_GB2312" w:cs="仿宋_GB2312"/>
                              <w:color w:val="FFFFFF" w:themeColor="background1"/>
                              <w:sz w:val="28"/>
                              <w:szCs w:val="28"/>
                              <w:lang w:eastAsia="zh-CN"/>
                              <w14:textFill>
                                <w14:solidFill>
                                  <w14:schemeClr w14:val="bg1"/>
                                </w14:solidFill>
                              </w14:textFill>
                            </w:rPr>
                            <w:fldChar w:fldCharType="end"/>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49.75pt;mso-position-horizontal:right;mso-position-horizontal-relative:margin;z-index:251661312;mso-width-relative:page;mso-height-relative:page;" filled="f" stroked="f" coordsize="21600,21600" o:gfxdata="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beo6O9QAAAAEAQAADwAAAAAAAAABACAAAAAiAAAAZHJzL2Rvd25yZXYueG1s&#10;UEsBAhQAFAAAAAgAh07iQHBwNvA1AgAAYgQAAA4AAAAAAAAAAQAgAAAAIwEAAGRycy9lMm9Eb2Mu&#10;eG1sUEsFBgAAAAAGAAYAWQEAAMo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ascii="仿宋_GB2312" w:hAnsi="仿宋_GB2312" w:eastAsia="仿宋_GB2312" w:cs="仿宋_GB2312"/>
                        <w:color w:val="FFFFFF" w:themeColor="background1"/>
                        <w:sz w:val="28"/>
                        <w:szCs w:val="28"/>
                        <w:lang w:eastAsia="zh-CN"/>
                        <w14:textFill>
                          <w14:solidFill>
                            <w14:schemeClr w14:val="bg1"/>
                          </w14:solidFill>
                        </w14:textFill>
                      </w:rPr>
                      <w:fldChar w:fldCharType="begin"/>
                    </w:r>
                    <w:r>
                      <w:rPr>
                        <w:rFonts w:hint="eastAsia" w:ascii="仿宋_GB2312" w:hAnsi="仿宋_GB2312" w:eastAsia="仿宋_GB2312" w:cs="仿宋_GB2312"/>
                        <w:color w:val="FFFFFF" w:themeColor="background1"/>
                        <w:sz w:val="28"/>
                        <w:szCs w:val="28"/>
                        <w:lang w:eastAsia="zh-CN"/>
                        <w14:textFill>
                          <w14:solidFill>
                            <w14:schemeClr w14:val="bg1"/>
                          </w14:solidFill>
                        </w14:textFill>
                      </w:rPr>
                      <w:instrText xml:space="preserve"> PAGE  \* MERGEFORMAT </w:instrText>
                    </w:r>
                    <w:r>
                      <w:rPr>
                        <w:rFonts w:hint="eastAsia" w:ascii="仿宋_GB2312" w:hAnsi="仿宋_GB2312" w:eastAsia="仿宋_GB2312" w:cs="仿宋_GB2312"/>
                        <w:color w:val="FFFFFF" w:themeColor="background1"/>
                        <w:sz w:val="28"/>
                        <w:szCs w:val="28"/>
                        <w:lang w:eastAsia="zh-CN"/>
                        <w14:textFill>
                          <w14:solidFill>
                            <w14:schemeClr w14:val="bg1"/>
                          </w14:solidFill>
                        </w14:textFill>
                      </w:rPr>
                      <w:fldChar w:fldCharType="separate"/>
                    </w:r>
                    <w:r>
                      <w:rPr>
                        <w:rFonts w:hint="eastAsia" w:ascii="仿宋_GB2312" w:hAnsi="仿宋_GB2312" w:eastAsia="仿宋_GB2312" w:cs="仿宋_GB2312"/>
                        <w:color w:val="FFFFFF" w:themeColor="background1"/>
                        <w:sz w:val="28"/>
                        <w:szCs w:val="28"/>
                        <w:lang w:eastAsia="zh-CN"/>
                        <w14:textFill>
                          <w14:solidFill>
                            <w14:schemeClr w14:val="bg1"/>
                          </w14:solidFill>
                        </w14:textFill>
                      </w:rPr>
                      <w:t>- 1 -</w:t>
                    </w:r>
                    <w:r>
                      <w:rPr>
                        <w:rFonts w:hint="eastAsia" w:ascii="仿宋_GB2312" w:hAnsi="仿宋_GB2312" w:eastAsia="仿宋_GB2312" w:cs="仿宋_GB2312"/>
                        <w:color w:val="FFFFFF" w:themeColor="background1"/>
                        <w:sz w:val="28"/>
                        <w:szCs w:val="28"/>
                        <w:lang w:eastAsia="zh-CN"/>
                        <w14:textFill>
                          <w14:solidFill>
                            <w14:schemeClr w14:val="bg1"/>
                          </w14:solidFill>
                        </w14:textFill>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5YzlhOWZhMGExMGU0YzEyYjBhMWUzNWZiYzU3Y2EifQ=="/>
  </w:docVars>
  <w:rsids>
    <w:rsidRoot w:val="008C03BE"/>
    <w:rsid w:val="000169C9"/>
    <w:rsid w:val="002D7BF1"/>
    <w:rsid w:val="00310906"/>
    <w:rsid w:val="00323CE4"/>
    <w:rsid w:val="00412513"/>
    <w:rsid w:val="00446412"/>
    <w:rsid w:val="004A6191"/>
    <w:rsid w:val="004B6691"/>
    <w:rsid w:val="00547871"/>
    <w:rsid w:val="005C11CF"/>
    <w:rsid w:val="0062254E"/>
    <w:rsid w:val="006D743B"/>
    <w:rsid w:val="00734E8C"/>
    <w:rsid w:val="007A56E1"/>
    <w:rsid w:val="007B7CE2"/>
    <w:rsid w:val="00854118"/>
    <w:rsid w:val="008875FE"/>
    <w:rsid w:val="008B66EC"/>
    <w:rsid w:val="008C03BE"/>
    <w:rsid w:val="00975F37"/>
    <w:rsid w:val="00BF4AE7"/>
    <w:rsid w:val="00C61E65"/>
    <w:rsid w:val="00CA18D5"/>
    <w:rsid w:val="00E96CC7"/>
    <w:rsid w:val="024A043C"/>
    <w:rsid w:val="0F0614D7"/>
    <w:rsid w:val="1030579C"/>
    <w:rsid w:val="124F6979"/>
    <w:rsid w:val="131E461C"/>
    <w:rsid w:val="13225A14"/>
    <w:rsid w:val="149337A4"/>
    <w:rsid w:val="16993D04"/>
    <w:rsid w:val="1C9579AA"/>
    <w:rsid w:val="23D91471"/>
    <w:rsid w:val="247D7E09"/>
    <w:rsid w:val="27C810CA"/>
    <w:rsid w:val="27E56D4A"/>
    <w:rsid w:val="2C545F44"/>
    <w:rsid w:val="2D6A0F21"/>
    <w:rsid w:val="2E4A46C0"/>
    <w:rsid w:val="2FEE2E2B"/>
    <w:rsid w:val="32937A4E"/>
    <w:rsid w:val="38B67A98"/>
    <w:rsid w:val="3B0507B4"/>
    <w:rsid w:val="3B94201A"/>
    <w:rsid w:val="3BF43C1A"/>
    <w:rsid w:val="4B0652CE"/>
    <w:rsid w:val="4ECD2664"/>
    <w:rsid w:val="4ED12602"/>
    <w:rsid w:val="514A75E6"/>
    <w:rsid w:val="51AE109D"/>
    <w:rsid w:val="57F92378"/>
    <w:rsid w:val="588347E9"/>
    <w:rsid w:val="59FC4F4D"/>
    <w:rsid w:val="5D4A62C8"/>
    <w:rsid w:val="5F12794C"/>
    <w:rsid w:val="68CA6050"/>
    <w:rsid w:val="69623BDD"/>
    <w:rsid w:val="69B51601"/>
    <w:rsid w:val="6B7B2693"/>
    <w:rsid w:val="6CFA0337"/>
    <w:rsid w:val="6D031C26"/>
    <w:rsid w:val="6EAB6480"/>
    <w:rsid w:val="6F5D3224"/>
    <w:rsid w:val="700C6080"/>
    <w:rsid w:val="7D4D1DEA"/>
    <w:rsid w:val="7EF14283"/>
    <w:rsid w:val="7FD057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方正书宋_GBK" w:hAnsi="DejaVu Sans"/>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qFormat/>
    <w:uiPriority w:val="0"/>
    <w:rPr>
      <w:b/>
    </w:rPr>
  </w:style>
  <w:style w:type="character" w:customStyle="1" w:styleId="10">
    <w:name w:val="页眉 字符"/>
    <w:basedOn w:val="8"/>
    <w:link w:val="4"/>
    <w:qFormat/>
    <w:uiPriority w:val="99"/>
    <w:rPr>
      <w:sz w:val="18"/>
      <w:szCs w:val="18"/>
    </w:rPr>
  </w:style>
  <w:style w:type="character" w:customStyle="1" w:styleId="11">
    <w:name w:val="页脚 字符"/>
    <w:basedOn w:val="8"/>
    <w:link w:val="3"/>
    <w:qFormat/>
    <w:uiPriority w:val="99"/>
    <w:rPr>
      <w:sz w:val="18"/>
      <w:szCs w:val="18"/>
    </w:rPr>
  </w:style>
  <w:style w:type="paragraph" w:customStyle="1" w:styleId="12">
    <w:name w:val="Body Text First Indent 2"/>
    <w:basedOn w:val="13"/>
    <w:qFormat/>
    <w:uiPriority w:val="0"/>
    <w:pPr>
      <w:ind w:firstLine="420" w:firstLineChars="200"/>
    </w:pPr>
    <w:rPr>
      <w:rFonts w:ascii="Times New Roman" w:hAnsi="Times New Roman" w:eastAsia="宋体" w:cs="Times New Roman"/>
      <w:szCs w:val="20"/>
    </w:rPr>
  </w:style>
  <w:style w:type="paragraph" w:customStyle="1" w:styleId="13">
    <w:name w:val="Body Text Indent"/>
    <w:basedOn w:val="1"/>
    <w:qFormat/>
    <w:uiPriority w:val="0"/>
    <w:pPr>
      <w:spacing w:after="120" w:afterLines="0"/>
      <w:ind w:left="420" w:leftChars="200"/>
    </w:pPr>
    <w:rPr>
      <w:rFonts w:ascii="Times New Roman" w:hAnsi="Times New Roman" w:eastAsia="宋体" w:cs="Times New Roman"/>
      <w:szCs w:val="2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customXml/item2.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CB0DB8B-FB41-412D-8D15-ED2285ABE2B5}">
  <ds:schemaRefs/>
</ds:datastoreItem>
</file>

<file path=docProps/app.xml><?xml version="1.0" encoding="utf-8"?>
<Properties xmlns="http://schemas.openxmlformats.org/officeDocument/2006/extended-properties" xmlns:vt="http://schemas.openxmlformats.org/officeDocument/2006/docPropsVTypes">
  <Template>Normal.dotm</Template>
  <Company>DoubleOX</Company>
  <Pages>12</Pages>
  <Words>5279</Words>
  <Characters>5290</Characters>
  <Lines>1</Lines>
  <Paragraphs>1</Paragraphs>
  <TotalTime>1</TotalTime>
  <ScaleCrop>false</ScaleCrop>
  <LinksUpToDate>false</LinksUpToDate>
  <CharactersWithSpaces>5450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2020-04-16T13:01:00Z</dcterms:created>
  <dc:creator>liujihua</dc:creator>
  <cp:lastModifiedBy>Administrator</cp:lastModifiedBy>
  <cp:lastPrinted>2023-03-15T01:52:00Z</cp:lastPrinted>
  <dcterms:modified xsi:type="dcterms:W3CDTF">2023-03-28T01:33:57Z</dcterms:modified>
  <cp:revision>3</cp:revision>
  <dc:title>邢台市人民政府办公室</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18F24D5CB55B416C946E84AB3E48721E</vt:lpwstr>
  </property>
</Properties>
</file>