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80" w:lineRule="exact"/>
        <w:rPr>
          <w:rFonts w:ascii="方正仿宋_GBK" w:hAnsi="Tahoma" w:eastAsia="方正仿宋_GBK" w:cs="Tahoma"/>
          <w:kern w:val="0"/>
          <w:sz w:val="32"/>
          <w:szCs w:val="32"/>
        </w:rPr>
      </w:pPr>
      <w:r>
        <w:rPr>
          <w:rFonts w:hint="eastAsia" w:ascii="方正仿宋_GBK" w:hAnsi="黑体" w:eastAsia="方正仿宋_GBK"/>
          <w:sz w:val="32"/>
          <w:szCs w:val="32"/>
        </w:rPr>
        <w:t>附件6</w:t>
      </w:r>
    </w:p>
    <w:p>
      <w:pPr>
        <w:snapToGrid w:val="0"/>
        <w:spacing w:line="580" w:lineRule="exact"/>
        <w:jc w:val="center"/>
        <w:rPr>
          <w:rFonts w:hint="default" w:cs="Tahoma" w:asciiTheme="majorEastAsia" w:hAnsiTheme="majorEastAsia" w:eastAsiaTheme="majorEastAsia"/>
          <w:kern w:val="0"/>
          <w:sz w:val="44"/>
          <w:szCs w:val="44"/>
          <w:lang w:val="en-US" w:eastAsia="zh-CN"/>
        </w:rPr>
      </w:pPr>
      <w:r>
        <w:rPr>
          <w:rFonts w:hint="eastAsia" w:cs="Tahoma" w:asciiTheme="majorEastAsia" w:hAnsiTheme="majorEastAsia" w:eastAsiaTheme="majorEastAsia"/>
          <w:kern w:val="0"/>
          <w:sz w:val="44"/>
          <w:szCs w:val="44"/>
        </w:rPr>
        <w:t>2022年度</w:t>
      </w:r>
      <w:r>
        <w:rPr>
          <w:rFonts w:hint="eastAsia" w:cs="Tahoma" w:asciiTheme="majorEastAsia" w:hAnsiTheme="majorEastAsia" w:eastAsiaTheme="majorEastAsia"/>
          <w:kern w:val="0"/>
          <w:sz w:val="44"/>
          <w:szCs w:val="44"/>
          <w:lang w:val="en-US" w:eastAsia="zh-CN"/>
        </w:rPr>
        <w:t>残疾人联合会</w:t>
      </w:r>
    </w:p>
    <w:p>
      <w:pPr>
        <w:snapToGrid w:val="0"/>
        <w:spacing w:line="580" w:lineRule="exact"/>
        <w:jc w:val="center"/>
        <w:rPr>
          <w:rFonts w:asciiTheme="majorEastAsia" w:hAnsiTheme="majorEastAsia" w:eastAsiaTheme="majorEastAsia"/>
          <w:sz w:val="44"/>
          <w:szCs w:val="44"/>
        </w:rPr>
      </w:pPr>
      <w:r>
        <w:rPr>
          <w:rFonts w:hint="eastAsia" w:cs="Tahoma" w:asciiTheme="majorEastAsia" w:hAnsiTheme="majorEastAsia" w:eastAsiaTheme="majorEastAsia"/>
          <w:kern w:val="0"/>
          <w:sz w:val="44"/>
          <w:szCs w:val="44"/>
        </w:rPr>
        <w:t>部门整体</w:t>
      </w:r>
      <w:r>
        <w:rPr>
          <w:rFonts w:hint="eastAsia" w:asciiTheme="majorEastAsia" w:hAnsiTheme="majorEastAsia" w:eastAsiaTheme="majorEastAsia"/>
          <w:sz w:val="44"/>
          <w:szCs w:val="44"/>
        </w:rPr>
        <w:t>绩效自评工作报告</w:t>
      </w:r>
    </w:p>
    <w:p>
      <w:pPr>
        <w:snapToGrid w:val="0"/>
        <w:spacing w:line="400" w:lineRule="exact"/>
        <w:ind w:firstLine="643" w:firstLineChars="200"/>
        <w:rPr>
          <w:rFonts w:ascii="仿宋_GB2312" w:hAnsi="宋体" w:eastAsia="仿宋_GB2312"/>
          <w:b/>
          <w:sz w:val="32"/>
          <w:szCs w:val="32"/>
        </w:rPr>
      </w:pPr>
    </w:p>
    <w:p>
      <w:pPr>
        <w:snapToGrid w:val="0"/>
        <w:spacing w:line="580" w:lineRule="exact"/>
        <w:ind w:firstLine="800" w:firstLineChars="250"/>
        <w:rPr>
          <w:rFonts w:ascii="黑体" w:hAnsi="黑体" w:eastAsia="黑体"/>
          <w:sz w:val="32"/>
          <w:szCs w:val="32"/>
        </w:rPr>
      </w:pPr>
      <w:r>
        <w:rPr>
          <w:rFonts w:hint="eastAsia" w:ascii="黑体" w:hAnsi="黑体" w:eastAsia="黑体"/>
          <w:sz w:val="32"/>
          <w:szCs w:val="32"/>
        </w:rPr>
        <w:t>一、绩效自评工作组织开展情况</w:t>
      </w:r>
    </w:p>
    <w:p>
      <w:pPr>
        <w:adjustRightInd w:val="0"/>
        <w:ind w:firstLine="640" w:firstLineChars="200"/>
        <w:rPr>
          <w:rFonts w:hint="eastAsia" w:ascii="仿宋" w:hAnsi="仿宋" w:eastAsia="仿宋" w:cs="仿宋_GB2312"/>
          <w:b/>
          <w:bCs/>
          <w:sz w:val="32"/>
          <w:szCs w:val="32"/>
        </w:rPr>
      </w:pPr>
      <w:r>
        <w:rPr>
          <w:rFonts w:hint="eastAsia" w:ascii="仿宋" w:hAnsi="仿宋" w:eastAsia="仿宋" w:cs="仿宋"/>
          <w:sz w:val="32"/>
          <w:szCs w:val="32"/>
        </w:rPr>
        <w:t>(一)部门主要职责职能和部门组织架构</w:t>
      </w:r>
    </w:p>
    <w:p>
      <w:pPr>
        <w:ind w:firstLine="630"/>
        <w:rPr>
          <w:rFonts w:hint="eastAsia" w:ascii="仿宋" w:hAnsi="仿宋" w:eastAsia="仿宋" w:cs="仿宋"/>
          <w:sz w:val="32"/>
          <w:szCs w:val="32"/>
        </w:rPr>
      </w:pPr>
      <w:r>
        <w:rPr>
          <w:rFonts w:hint="eastAsia" w:ascii="仿宋" w:hAnsi="仿宋" w:eastAsia="仿宋" w:cs="仿宋"/>
          <w:sz w:val="32"/>
          <w:szCs w:val="32"/>
        </w:rPr>
        <w:t xml:space="preserve"> 1、健全残疾人法律服务体系，切实保障残疾人合法权益；全面推进城乡无障碍环境建设；开展康复、扶贫、教育培训等活动，直接为残疾人服务</w:t>
      </w: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2、对持证残疾人需求情况进行调查，加强和规范残疾人基层组织建设，协调残疾人就业保障金的征收，加强残疾人工作建设。</w:t>
      </w:r>
      <w:r>
        <w:rPr>
          <w:rFonts w:hint="eastAsia" w:ascii="仿宋" w:hAnsi="仿宋" w:eastAsia="仿宋" w:cs="仿宋"/>
          <w:kern w:val="0"/>
          <w:sz w:val="32"/>
          <w:szCs w:val="32"/>
        </w:rPr>
        <w:t>。</w:t>
      </w:r>
    </w:p>
    <w:p>
      <w:pPr>
        <w:keepNext w:val="0"/>
        <w:keepLines w:val="0"/>
        <w:pageBreakBefore w:val="0"/>
        <w:widowControl/>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kern w:val="0"/>
          <w:sz w:val="32"/>
          <w:szCs w:val="32"/>
        </w:rPr>
      </w:pPr>
      <w:r>
        <w:rPr>
          <w:rFonts w:hint="eastAsia" w:ascii="仿宋" w:hAnsi="仿宋" w:eastAsia="仿宋" w:cs="仿宋"/>
          <w:b w:val="0"/>
          <w:bCs w:val="0"/>
          <w:sz w:val="32"/>
          <w:szCs w:val="32"/>
          <w:lang w:val="en-US" w:eastAsia="zh-CN"/>
        </w:rPr>
        <w:t>3、部门组织架构</w:t>
      </w:r>
      <w:r>
        <w:rPr>
          <w:rFonts w:hint="eastAsia" w:ascii="仿宋" w:hAnsi="仿宋" w:eastAsia="仿宋" w:cs="仿宋"/>
          <w:b w:val="0"/>
          <w:bCs w:val="0"/>
          <w:sz w:val="32"/>
          <w:szCs w:val="32"/>
          <w:lang w:eastAsia="zh-CN"/>
        </w:rPr>
        <w:t>：</w:t>
      </w:r>
      <w:r>
        <w:rPr>
          <w:rFonts w:hint="eastAsia" w:ascii="仿宋" w:hAnsi="仿宋" w:eastAsia="仿宋" w:cs="仿宋"/>
          <w:sz w:val="32"/>
          <w:szCs w:val="32"/>
          <w:lang w:eastAsia="zh-CN"/>
        </w:rPr>
        <w:t>隆尧县残疾人联合会</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属一级预算单位</w:t>
      </w:r>
      <w:r>
        <w:rPr>
          <w:rFonts w:hint="eastAsia" w:ascii="仿宋" w:hAnsi="仿宋" w:eastAsia="仿宋" w:cs="仿宋"/>
          <w:kern w:val="0"/>
          <w:sz w:val="32"/>
          <w:szCs w:val="32"/>
          <w:lang w:eastAsia="zh-CN"/>
        </w:rPr>
        <w:t>。下设二个部室，分别为</w:t>
      </w:r>
      <w:r>
        <w:rPr>
          <w:rFonts w:hint="eastAsia" w:ascii="仿宋" w:hAnsi="仿宋" w:eastAsia="仿宋" w:cs="仿宋"/>
          <w:kern w:val="0"/>
          <w:sz w:val="32"/>
          <w:szCs w:val="32"/>
        </w:rPr>
        <w:t>办公室、</w:t>
      </w:r>
      <w:r>
        <w:rPr>
          <w:rFonts w:hint="eastAsia" w:ascii="仿宋" w:hAnsi="仿宋" w:eastAsia="仿宋" w:cs="仿宋"/>
          <w:kern w:val="0"/>
          <w:sz w:val="32"/>
          <w:szCs w:val="32"/>
          <w:lang w:eastAsia="zh-CN"/>
        </w:rPr>
        <w:t>教育就业康复部</w:t>
      </w:r>
      <w:r>
        <w:rPr>
          <w:rFonts w:hint="eastAsia" w:ascii="仿宋" w:hAnsi="仿宋" w:eastAsia="仿宋" w:cs="仿宋"/>
          <w:kern w:val="0"/>
          <w:sz w:val="32"/>
          <w:szCs w:val="32"/>
          <w:lang w:val="en-US" w:eastAsia="zh-CN"/>
        </w:rPr>
        <w:t>。</w:t>
      </w:r>
    </w:p>
    <w:p>
      <w:pPr>
        <w:keepNext w:val="0"/>
        <w:keepLines w:val="0"/>
        <w:pageBreakBefore w:val="0"/>
        <w:widowControl/>
        <w:kinsoku/>
        <w:wordWrap/>
        <w:overflowPunct/>
        <w:topLinePunct w:val="0"/>
        <w:autoSpaceDE/>
        <w:autoSpaceDN/>
        <w:bidi w:val="0"/>
        <w:adjustRightInd/>
        <w:snapToGrid/>
        <w:spacing w:line="360" w:lineRule="auto"/>
        <w:ind w:left="0" w:lef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结合本单位实际情况，按月发放职工工资和社会保障费，支付正常运转及业务费用；开展职工活动；完成上级残联下达的任务，做好残联自身的改革和建设，充分发挥残联的职能，保障单位的正常运转。协助县委、县政府做好帮扶工作；努力为广大残联人办实事、解难题，对在档管理的困难残疾人开展帮扶救助，维护残疾人服务队伍的和谐稳定。</w:t>
      </w:r>
    </w:p>
    <w:p>
      <w:pPr>
        <w:snapToGrid w:val="0"/>
        <w:spacing w:line="580" w:lineRule="exact"/>
        <w:ind w:firstLine="800" w:firstLineChars="250"/>
        <w:rPr>
          <w:rFonts w:ascii="黑体" w:hAnsi="黑体" w:eastAsia="黑体"/>
          <w:sz w:val="32"/>
          <w:szCs w:val="32"/>
        </w:rPr>
      </w:pPr>
      <w:r>
        <w:rPr>
          <w:rFonts w:hint="eastAsia" w:ascii="黑体" w:hAnsi="黑体" w:eastAsia="黑体"/>
          <w:sz w:val="32"/>
          <w:szCs w:val="32"/>
        </w:rPr>
        <w:t>二、绩效目标实现情况</w:t>
      </w:r>
    </w:p>
    <w:p>
      <w:pPr>
        <w:numPr>
          <w:ilvl w:val="0"/>
          <w:numId w:val="1"/>
        </w:numPr>
        <w:adjustRightInd w:val="0"/>
        <w:ind w:left="-60" w:leftChars="0" w:firstLine="480" w:firstLineChars="0"/>
        <w:rPr>
          <w:rFonts w:hint="eastAsia" w:ascii="仿宋" w:hAnsi="仿宋" w:eastAsia="仿宋" w:cs="仿宋"/>
          <w:sz w:val="32"/>
          <w:szCs w:val="32"/>
        </w:rPr>
      </w:pPr>
      <w:r>
        <w:rPr>
          <w:rFonts w:hint="eastAsia" w:ascii="仿宋" w:hAnsi="仿宋" w:eastAsia="仿宋" w:cs="仿宋"/>
          <w:sz w:val="32"/>
          <w:szCs w:val="32"/>
        </w:rPr>
        <w:t>部门开展预算绩效管理情况。</w:t>
      </w:r>
    </w:p>
    <w:p>
      <w:pPr>
        <w:pStyle w:val="6"/>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根据本单位年初工作规划和重点工作，围绕</w:t>
      </w:r>
      <w:r>
        <w:rPr>
          <w:rFonts w:hint="eastAsia" w:ascii="仿宋" w:hAnsi="仿宋" w:eastAsia="仿宋" w:cs="仿宋"/>
          <w:sz w:val="32"/>
          <w:szCs w:val="32"/>
          <w:lang w:eastAsia="zh-CN"/>
        </w:rPr>
        <w:t>县</w:t>
      </w:r>
      <w:r>
        <w:rPr>
          <w:rFonts w:hint="eastAsia" w:ascii="仿宋" w:hAnsi="仿宋" w:eastAsia="仿宋" w:cs="仿宋"/>
          <w:sz w:val="32"/>
          <w:szCs w:val="32"/>
        </w:rPr>
        <w:t>委、</w:t>
      </w:r>
      <w:r>
        <w:rPr>
          <w:rFonts w:hint="eastAsia" w:ascii="仿宋" w:hAnsi="仿宋" w:eastAsia="仿宋" w:cs="仿宋"/>
          <w:sz w:val="32"/>
          <w:szCs w:val="32"/>
          <w:lang w:eastAsia="zh-CN"/>
        </w:rPr>
        <w:t>县</w:t>
      </w:r>
      <w:r>
        <w:rPr>
          <w:rFonts w:hint="eastAsia" w:ascii="仿宋" w:hAnsi="仿宋" w:eastAsia="仿宋" w:cs="仿宋"/>
          <w:sz w:val="32"/>
          <w:szCs w:val="32"/>
        </w:rPr>
        <w:t>政府以及</w:t>
      </w:r>
      <w:r>
        <w:rPr>
          <w:rFonts w:hint="eastAsia" w:ascii="仿宋" w:hAnsi="仿宋" w:eastAsia="仿宋" w:cs="仿宋"/>
          <w:sz w:val="32"/>
          <w:szCs w:val="32"/>
          <w:lang w:eastAsia="zh-CN"/>
        </w:rPr>
        <w:t>市残联</w:t>
      </w:r>
      <w:r>
        <w:rPr>
          <w:rFonts w:hint="eastAsia" w:ascii="仿宋" w:hAnsi="仿宋" w:eastAsia="仿宋" w:cs="仿宋"/>
          <w:sz w:val="32"/>
          <w:szCs w:val="32"/>
        </w:rPr>
        <w:t>的工作部署，积极履行职责，强化管理，较好地完成了年度工作目标，同时加强预算收支的管理，建立健全内部管理制度，严格内部管理流程，单位整体支出管理得到了提升</w:t>
      </w:r>
      <w:r>
        <w:rPr>
          <w:rFonts w:hint="eastAsia" w:ascii="仿宋" w:hAnsi="仿宋" w:eastAsia="仿宋" w:cs="仿宋"/>
          <w:sz w:val="32"/>
          <w:szCs w:val="32"/>
          <w:lang w:eastAsia="zh-CN"/>
        </w:rPr>
        <w:t>。</w:t>
      </w:r>
      <w:r>
        <w:rPr>
          <w:rFonts w:hint="eastAsia" w:ascii="仿宋" w:hAnsi="仿宋" w:eastAsia="仿宋" w:cs="仿宋"/>
          <w:sz w:val="32"/>
          <w:szCs w:val="32"/>
          <w:shd w:val="clear" w:fill="FFFFFF"/>
        </w:rPr>
        <w:t>通过对20</w:t>
      </w:r>
      <w:r>
        <w:rPr>
          <w:rFonts w:hint="eastAsia" w:ascii="仿宋" w:hAnsi="仿宋" w:eastAsia="仿宋" w:cs="仿宋"/>
          <w:sz w:val="32"/>
          <w:szCs w:val="32"/>
          <w:shd w:val="clear" w:fill="FFFFFF"/>
          <w:lang w:val="en-US" w:eastAsia="zh-CN"/>
        </w:rPr>
        <w:t>22</w:t>
      </w:r>
      <w:r>
        <w:rPr>
          <w:rFonts w:hint="eastAsia" w:ascii="仿宋" w:hAnsi="仿宋" w:eastAsia="仿宋" w:cs="仿宋"/>
          <w:sz w:val="32"/>
          <w:szCs w:val="32"/>
          <w:shd w:val="clear" w:fill="FFFFFF"/>
        </w:rPr>
        <w:t>年部门整体支出绩效自评的结果分析如下：</w:t>
      </w:r>
    </w:p>
    <w:p>
      <w:pPr>
        <w:pStyle w:val="6"/>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1</w:t>
      </w:r>
      <w:r>
        <w:rPr>
          <w:rFonts w:hint="eastAsia" w:ascii="仿宋" w:hAnsi="仿宋" w:eastAsia="仿宋" w:cs="仿宋"/>
          <w:sz w:val="32"/>
          <w:szCs w:val="32"/>
          <w:shd w:val="clear" w:fill="FFFFFF"/>
        </w:rPr>
        <w:t>、管理制度健全性：本单位根据&lt;中华人民共和国会计法&gt;、&lt;会计基础工作规范&gt;</w:t>
      </w:r>
      <w:r>
        <w:rPr>
          <w:rFonts w:hint="eastAsia" w:ascii="仿宋" w:hAnsi="仿宋" w:eastAsia="仿宋" w:cs="仿宋"/>
          <w:sz w:val="32"/>
          <w:szCs w:val="32"/>
          <w:shd w:val="clear" w:fill="FFFFFF"/>
          <w:lang w:eastAsia="zh-CN"/>
        </w:rPr>
        <w:t>及</w:t>
      </w:r>
      <w:r>
        <w:rPr>
          <w:rFonts w:hint="eastAsia" w:ascii="仿宋" w:hAnsi="仿宋" w:eastAsia="仿宋" w:cs="仿宋"/>
          <w:sz w:val="32"/>
          <w:szCs w:val="32"/>
          <w:shd w:val="clear" w:fill="FFFFFF"/>
        </w:rPr>
        <w:t>《</w:t>
      </w:r>
      <w:r>
        <w:rPr>
          <w:rFonts w:hint="eastAsia" w:ascii="仿宋" w:hAnsi="仿宋" w:eastAsia="仿宋" w:cs="仿宋"/>
          <w:sz w:val="32"/>
          <w:szCs w:val="32"/>
          <w:shd w:val="clear" w:fill="FFFFFF"/>
          <w:lang w:eastAsia="zh-CN"/>
        </w:rPr>
        <w:t>工会会计制度</w:t>
      </w:r>
      <w:r>
        <w:rPr>
          <w:rFonts w:hint="eastAsia" w:ascii="仿宋" w:hAnsi="仿宋" w:eastAsia="仿宋" w:cs="仿宋"/>
          <w:sz w:val="32"/>
          <w:szCs w:val="32"/>
          <w:shd w:val="clear" w:fill="FFFFFF"/>
        </w:rPr>
        <w:t>》结合本单位的实际情况制定了相关的财务管理制度。</w:t>
      </w:r>
    </w:p>
    <w:p>
      <w:pPr>
        <w:pStyle w:val="6"/>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2</w:t>
      </w:r>
      <w:r>
        <w:rPr>
          <w:rFonts w:hint="eastAsia" w:ascii="仿宋" w:hAnsi="仿宋" w:eastAsia="仿宋" w:cs="仿宋"/>
          <w:sz w:val="32"/>
          <w:szCs w:val="32"/>
          <w:shd w:val="clear" w:fill="FFFFFF"/>
        </w:rPr>
        <w:t>、资金使用合规性：本单位在资金使用上一直按照国家财经法规和本单位财务管理制度规定以及有关资金管理办法的规定收支，资金拨付有完整的审批程序和手续</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单位财务</w:t>
      </w:r>
      <w:r>
        <w:rPr>
          <w:rFonts w:hint="eastAsia" w:ascii="仿宋" w:hAnsi="仿宋" w:eastAsia="仿宋" w:cs="仿宋"/>
          <w:sz w:val="32"/>
          <w:szCs w:val="32"/>
          <w:shd w:val="clear" w:fill="FFFFFF"/>
          <w:lang w:eastAsia="zh-CN"/>
        </w:rPr>
        <w:t>部长</w:t>
      </w:r>
      <w:r>
        <w:rPr>
          <w:rFonts w:hint="eastAsia" w:ascii="仿宋" w:hAnsi="仿宋" w:eastAsia="仿宋" w:cs="仿宋"/>
          <w:sz w:val="32"/>
          <w:szCs w:val="32"/>
          <w:shd w:val="clear" w:fill="FFFFFF"/>
        </w:rPr>
        <w:t>和分管财务领导对资金的使用进行全程监督</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按照财经制度的有关要求，保证资金使用的合规性。</w:t>
      </w:r>
    </w:p>
    <w:p>
      <w:pPr>
        <w:pStyle w:val="6"/>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shd w:val="clear" w:fill="FFFFFF"/>
          <w:lang w:val="en-US" w:eastAsia="zh-CN"/>
        </w:rPr>
        <w:t>3</w:t>
      </w:r>
      <w:r>
        <w:rPr>
          <w:rFonts w:hint="eastAsia" w:ascii="仿宋" w:hAnsi="仿宋" w:eastAsia="仿宋" w:cs="仿宋"/>
          <w:sz w:val="32"/>
          <w:szCs w:val="32"/>
          <w:shd w:val="clear" w:fill="FFFFFF"/>
        </w:rPr>
        <w:t>.预决算信息公开性：本单位20</w:t>
      </w:r>
      <w:r>
        <w:rPr>
          <w:rFonts w:hint="eastAsia" w:ascii="仿宋" w:hAnsi="仿宋" w:eastAsia="仿宋" w:cs="仿宋"/>
          <w:sz w:val="32"/>
          <w:szCs w:val="32"/>
          <w:shd w:val="clear" w:fill="FFFFFF"/>
          <w:lang w:val="en-US" w:eastAsia="zh-CN"/>
        </w:rPr>
        <w:t>22</w:t>
      </w:r>
      <w:r>
        <w:rPr>
          <w:rFonts w:hint="eastAsia" w:ascii="仿宋" w:hAnsi="仿宋" w:eastAsia="仿宋" w:cs="仿宋"/>
          <w:sz w:val="32"/>
          <w:szCs w:val="32"/>
          <w:shd w:val="clear" w:fill="FFFFFF"/>
        </w:rPr>
        <w:t>年度的预决算数据已经按照</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财政局的相关要求及时报送</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财政局有关部门，并在单位全体人员会议上公开。</w:t>
      </w:r>
    </w:p>
    <w:p>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（二）工作履行活动完成情况。</w:t>
      </w:r>
    </w:p>
    <w:p>
      <w:pPr>
        <w:pStyle w:val="6"/>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本部门绩效评价工作活动由残联理事长王江华同志任组长，刘会霞、王文欣为成员，</w:t>
      </w:r>
      <w:r>
        <w:rPr>
          <w:rFonts w:hint="eastAsia" w:ascii="仿宋" w:hAnsi="仿宋" w:eastAsia="仿宋" w:cs="Times New Roman"/>
          <w:color w:val="000000"/>
          <w:sz w:val="32"/>
          <w:szCs w:val="32"/>
          <w:lang w:val="en-US" w:eastAsia="zh-CN"/>
        </w:rPr>
        <w:t>项目绩效目标均已完成。</w:t>
      </w:r>
    </w:p>
    <w:p>
      <w:pPr>
        <w:adjustRightInd w:val="0"/>
        <w:ind w:firstLine="480" w:firstLineChars="150"/>
        <w:rPr>
          <w:rFonts w:hint="eastAsia" w:ascii="仿宋" w:hAnsi="仿宋" w:eastAsia="仿宋" w:cs="仿宋"/>
          <w:sz w:val="32"/>
          <w:szCs w:val="32"/>
        </w:rPr>
      </w:pPr>
    </w:p>
    <w:p>
      <w:pPr>
        <w:numPr>
          <w:ilvl w:val="0"/>
          <w:numId w:val="0"/>
        </w:numPr>
        <w:adjustRightInd w:val="0"/>
        <w:ind w:left="420" w:leftChars="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三</w:t>
      </w:r>
      <w:r>
        <w:rPr>
          <w:rFonts w:hint="eastAsia" w:ascii="仿宋" w:hAnsi="仿宋" w:eastAsia="仿宋" w:cs="仿宋"/>
          <w:sz w:val="32"/>
          <w:szCs w:val="32"/>
          <w:lang w:eastAsia="zh-CN"/>
        </w:rPr>
        <w:t>）</w:t>
      </w:r>
      <w:r>
        <w:rPr>
          <w:rFonts w:hint="eastAsia" w:ascii="仿宋" w:hAnsi="仿宋" w:eastAsia="仿宋" w:cs="仿宋"/>
          <w:sz w:val="32"/>
          <w:szCs w:val="32"/>
        </w:rPr>
        <w:t>实施履职活动产生的效果或服务对象满意程度。</w:t>
      </w:r>
    </w:p>
    <w:p>
      <w:pPr>
        <w:snapToGrid/>
        <w:spacing w:line="240" w:lineRule="auto"/>
        <w:ind w:firstLine="640" w:firstLineChars="200"/>
        <w:rPr>
          <w:rFonts w:hint="eastAsia" w:ascii="仿宋" w:hAnsi="仿宋" w:eastAsia="仿宋" w:cs="仿宋"/>
          <w:sz w:val="32"/>
          <w:szCs w:val="32"/>
        </w:rPr>
      </w:pPr>
      <w:r>
        <w:rPr>
          <w:rFonts w:ascii="仿宋" w:hAnsi="仿宋" w:eastAsia="仿宋" w:cs="仿宋"/>
          <w:sz w:val="32"/>
          <w:szCs w:val="32"/>
        </w:rPr>
        <w:t>20</w:t>
      </w:r>
      <w:r>
        <w:rPr>
          <w:rFonts w:hint="eastAsia" w:ascii="仿宋" w:hAnsi="仿宋" w:eastAsia="仿宋" w:cs="仿宋"/>
          <w:sz w:val="32"/>
          <w:szCs w:val="32"/>
          <w:lang w:val="en-US" w:eastAsia="zh-CN"/>
        </w:rPr>
        <w:t>22</w:t>
      </w:r>
      <w:r>
        <w:rPr>
          <w:rFonts w:hint="eastAsia" w:ascii="仿宋" w:hAnsi="仿宋" w:eastAsia="仿宋" w:cs="仿宋"/>
          <w:sz w:val="32"/>
          <w:szCs w:val="32"/>
        </w:rPr>
        <w:t>年度</w:t>
      </w:r>
      <w:r>
        <w:rPr>
          <w:rFonts w:hint="eastAsia" w:ascii="仿宋" w:hAnsi="仿宋" w:eastAsia="仿宋" w:cs="仿宋"/>
          <w:sz w:val="32"/>
          <w:szCs w:val="32"/>
          <w:lang w:val="en-US" w:eastAsia="zh-CN"/>
        </w:rPr>
        <w:t>预算</w:t>
      </w:r>
      <w:bookmarkStart w:id="0" w:name="_GoBack"/>
      <w:bookmarkEnd w:id="0"/>
      <w:r>
        <w:rPr>
          <w:rFonts w:hint="eastAsia" w:ascii="仿宋" w:hAnsi="仿宋" w:eastAsia="仿宋" w:cs="仿宋"/>
          <w:sz w:val="32"/>
          <w:szCs w:val="32"/>
          <w:lang w:eastAsia="zh-CN"/>
        </w:rPr>
        <w:t>项目活动</w:t>
      </w:r>
      <w:r>
        <w:rPr>
          <w:rFonts w:hint="eastAsia" w:ascii="仿宋" w:hAnsi="仿宋" w:eastAsia="仿宋" w:cs="仿宋"/>
          <w:sz w:val="32"/>
          <w:szCs w:val="32"/>
        </w:rPr>
        <w:t>已全部完成，完成率</w:t>
      </w:r>
      <w:r>
        <w:rPr>
          <w:rFonts w:ascii="仿宋" w:hAnsi="仿宋" w:eastAsia="仿宋" w:cs="仿宋"/>
          <w:sz w:val="32"/>
          <w:szCs w:val="32"/>
        </w:rPr>
        <w:t>100%</w:t>
      </w:r>
      <w:r>
        <w:rPr>
          <w:rFonts w:hint="eastAsia" w:ascii="仿宋" w:hAnsi="仿宋" w:eastAsia="仿宋" w:cs="仿宋"/>
          <w:sz w:val="32"/>
          <w:szCs w:val="32"/>
        </w:rPr>
        <w:t>，残联各项项目</w:t>
      </w:r>
      <w:r>
        <w:rPr>
          <w:rFonts w:hint="eastAsia" w:ascii="仿宋" w:hAnsi="仿宋" w:eastAsia="仿宋" w:cs="宋体"/>
          <w:kern w:val="0"/>
          <w:sz w:val="32"/>
          <w:szCs w:val="32"/>
          <w:shd w:val="clear" w:color="auto" w:fill="FFFFFF"/>
        </w:rPr>
        <w:t>资金全部用于残疾人事业发展服务</w:t>
      </w:r>
      <w:r>
        <w:rPr>
          <w:rFonts w:hint="eastAsia" w:ascii="仿宋" w:hAnsi="仿宋" w:eastAsia="仿宋" w:cs="仿宋"/>
          <w:sz w:val="32"/>
          <w:szCs w:val="32"/>
        </w:rPr>
        <w:t>，资金使用合理规规，得到群众认可</w:t>
      </w:r>
      <w:r>
        <w:rPr>
          <w:rFonts w:hint="eastAsia" w:ascii="仿宋" w:hAnsi="仿宋" w:eastAsia="仿宋" w:cs="宋体"/>
          <w:kern w:val="0"/>
          <w:sz w:val="32"/>
          <w:szCs w:val="32"/>
          <w:shd w:val="clear" w:color="auto" w:fill="FFFFFF"/>
        </w:rPr>
        <w:t>并取得了很好的社会反响</w:t>
      </w:r>
      <w:r>
        <w:rPr>
          <w:rFonts w:hint="eastAsia" w:ascii="仿宋" w:hAnsi="仿宋" w:eastAsia="仿宋" w:cs="仿宋"/>
          <w:sz w:val="32"/>
          <w:szCs w:val="32"/>
        </w:rPr>
        <w:t>。</w:t>
      </w:r>
    </w:p>
    <w:p>
      <w:pPr>
        <w:snapToGrid w:val="0"/>
        <w:spacing w:line="580" w:lineRule="exact"/>
        <w:ind w:firstLine="800" w:firstLineChars="250"/>
        <w:rPr>
          <w:rFonts w:ascii="黑体" w:hAnsi="黑体" w:eastAsia="黑体"/>
          <w:sz w:val="32"/>
          <w:szCs w:val="32"/>
        </w:rPr>
      </w:pPr>
      <w:r>
        <w:rPr>
          <w:rFonts w:hint="eastAsia" w:ascii="黑体" w:hAnsi="黑体" w:eastAsia="黑体"/>
          <w:sz w:val="32"/>
          <w:szCs w:val="32"/>
        </w:rPr>
        <w:t>三、绩效目标设定质量情况</w:t>
      </w:r>
    </w:p>
    <w:p>
      <w:pPr>
        <w:snapToGrid w:val="0"/>
        <w:spacing w:line="580" w:lineRule="exact"/>
        <w:ind w:firstLine="640" w:firstLineChars="200"/>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隆尧县残疾人联合会2022年项目绩效目标设定质量严格，</w:t>
      </w:r>
      <w:r>
        <w:rPr>
          <w:rFonts w:hint="eastAsia" w:ascii="仿宋" w:hAnsi="仿宋" w:eastAsia="仿宋" w:cs="仿宋"/>
          <w:sz w:val="32"/>
          <w:szCs w:val="32"/>
          <w:lang w:eastAsia="zh-CN"/>
        </w:rPr>
        <w:t>评价标准依据行业标准和中国残疾人联合会及河北省残疾人联合会下发文件。</w:t>
      </w:r>
      <w:r>
        <w:rPr>
          <w:rFonts w:hint="eastAsia" w:ascii="仿宋" w:hAnsi="仿宋" w:eastAsia="仿宋"/>
          <w:sz w:val="32"/>
          <w:szCs w:val="32"/>
        </w:rPr>
        <w:t>全面总结绩效目标设定清晰准确，绩效指标全面完整、科学合理，绩效标准恰当适宜、易于评价，</w:t>
      </w:r>
      <w:r>
        <w:rPr>
          <w:rFonts w:hint="eastAsia" w:ascii="仿宋_GB2312" w:hAnsi="仿宋_GB2312" w:eastAsia="仿宋_GB2312" w:cs="仿宋_GB2312"/>
          <w:sz w:val="32"/>
          <w:szCs w:val="40"/>
          <w:lang w:val="en-US" w:eastAsia="zh-CN"/>
        </w:rPr>
        <w:t>项目立项规范，绩效目标合理，绩效指标明确。财政的相关资金到位及时，为资金的使用提供了保障。在专项资金的执行过程中，管理制度较健全，制度执行有效。</w:t>
      </w:r>
    </w:p>
    <w:p>
      <w:pPr>
        <w:snapToGrid w:val="0"/>
        <w:spacing w:line="580" w:lineRule="exact"/>
        <w:ind w:firstLine="800" w:firstLineChars="250"/>
        <w:rPr>
          <w:rFonts w:ascii="黑体" w:hAnsi="黑体" w:eastAsia="黑体"/>
          <w:sz w:val="32"/>
          <w:szCs w:val="32"/>
        </w:rPr>
      </w:pPr>
      <w:r>
        <w:rPr>
          <w:rFonts w:hint="eastAsia" w:ascii="黑体" w:hAnsi="黑体" w:eastAsia="黑体"/>
          <w:sz w:val="32"/>
          <w:szCs w:val="32"/>
        </w:rPr>
        <w:t>四、整改措施及结果应用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按照预算规定的项目和用途严格财务审核，经费支出严格按预算规定项目的财务支出内容进行财务核算，在预算金额内严格控制费用的支出。</w:t>
      </w:r>
    </w:p>
    <w:p>
      <w:pPr>
        <w:snapToGrid w:val="0"/>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预算财务分析常态化，定期做好预算支出财务分析，做好单位整体支出预算评价工作。</w:t>
      </w:r>
      <w:r>
        <w:rPr>
          <w:rFonts w:hint="eastAsia" w:ascii="仿宋" w:hAnsi="仿宋" w:eastAsia="仿宋"/>
          <w:sz w:val="32"/>
          <w:szCs w:val="32"/>
        </w:rPr>
        <w:t>全面提升预算绩效管理质量加强业务培训，树立责任意识，提高绩效目标管理意识和能力。</w:t>
      </w:r>
    </w:p>
    <w:p>
      <w:pPr>
        <w:snapToGrid w:val="0"/>
        <w:spacing w:line="580" w:lineRule="exact"/>
        <w:ind w:firstLine="640" w:firstLineChars="200"/>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切实加快预算支出进度。从源头上控制好预算编制，与各职能处室充分沟通，对项目实施的必要性、可行性、经济性进行论证，增强预算资金安排的科学性。</w:t>
      </w:r>
    </w:p>
    <w:p>
      <w:pPr>
        <w:snapToGrid w:val="0"/>
        <w:spacing w:line="580" w:lineRule="exact"/>
        <w:ind w:firstLine="640" w:firstLineChars="200"/>
        <w:rPr>
          <w:rFonts w:ascii="仿宋" w:hAnsi="仿宋" w:eastAsia="仿宋"/>
          <w:sz w:val="32"/>
          <w:szCs w:val="32"/>
        </w:rPr>
      </w:pPr>
    </w:p>
    <w:sectPr>
      <w:pgSz w:w="11906" w:h="16838"/>
      <w:pgMar w:top="2098" w:right="1418" w:bottom="153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1941B4"/>
    <w:multiLevelType w:val="singleLevel"/>
    <w:tmpl w:val="B11941B4"/>
    <w:lvl w:ilvl="0" w:tentative="0">
      <w:start w:val="1"/>
      <w:numFmt w:val="chineseCounting"/>
      <w:suff w:val="nothing"/>
      <w:lvlText w:val="（%1）"/>
      <w:lvlJc w:val="left"/>
      <w:pPr>
        <w:ind w:left="-6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NlZmY4M2Q2NWUzNjgxYTM3NzQ1MjY3NzdmY2ExZmYifQ=="/>
  </w:docVars>
  <w:rsids>
    <w:rsidRoot w:val="00EF16A3"/>
    <w:rsid w:val="0003266D"/>
    <w:rsid w:val="000B5213"/>
    <w:rsid w:val="001627CF"/>
    <w:rsid w:val="00172022"/>
    <w:rsid w:val="00176210"/>
    <w:rsid w:val="001D2D4C"/>
    <w:rsid w:val="002B509A"/>
    <w:rsid w:val="003444DB"/>
    <w:rsid w:val="00383AC5"/>
    <w:rsid w:val="003A03E0"/>
    <w:rsid w:val="003B412A"/>
    <w:rsid w:val="00432709"/>
    <w:rsid w:val="0047487F"/>
    <w:rsid w:val="00491FCD"/>
    <w:rsid w:val="004E6C05"/>
    <w:rsid w:val="004F6F9F"/>
    <w:rsid w:val="00546BCB"/>
    <w:rsid w:val="005A559F"/>
    <w:rsid w:val="005B7C01"/>
    <w:rsid w:val="005C236C"/>
    <w:rsid w:val="005C5417"/>
    <w:rsid w:val="005E6EC9"/>
    <w:rsid w:val="00605123"/>
    <w:rsid w:val="00665896"/>
    <w:rsid w:val="00693A60"/>
    <w:rsid w:val="006E7D57"/>
    <w:rsid w:val="0071336C"/>
    <w:rsid w:val="0071475B"/>
    <w:rsid w:val="00793214"/>
    <w:rsid w:val="007D43DA"/>
    <w:rsid w:val="007E50DB"/>
    <w:rsid w:val="007E661D"/>
    <w:rsid w:val="007F4797"/>
    <w:rsid w:val="007F5EE6"/>
    <w:rsid w:val="0081530B"/>
    <w:rsid w:val="008C31C3"/>
    <w:rsid w:val="008E0E58"/>
    <w:rsid w:val="00941865"/>
    <w:rsid w:val="00986803"/>
    <w:rsid w:val="0099577A"/>
    <w:rsid w:val="009F1522"/>
    <w:rsid w:val="00A06D88"/>
    <w:rsid w:val="00A909F6"/>
    <w:rsid w:val="00AA64AC"/>
    <w:rsid w:val="00AB70A8"/>
    <w:rsid w:val="00AF5C06"/>
    <w:rsid w:val="00B0713E"/>
    <w:rsid w:val="00B20499"/>
    <w:rsid w:val="00B273F9"/>
    <w:rsid w:val="00B27489"/>
    <w:rsid w:val="00B8177D"/>
    <w:rsid w:val="00B86365"/>
    <w:rsid w:val="00BA723B"/>
    <w:rsid w:val="00BE032C"/>
    <w:rsid w:val="00BE07DC"/>
    <w:rsid w:val="00C242EC"/>
    <w:rsid w:val="00CE156F"/>
    <w:rsid w:val="00CE74D5"/>
    <w:rsid w:val="00D20FB9"/>
    <w:rsid w:val="00D23678"/>
    <w:rsid w:val="00D43ED6"/>
    <w:rsid w:val="00DA1AC7"/>
    <w:rsid w:val="00DC2768"/>
    <w:rsid w:val="00DE50A2"/>
    <w:rsid w:val="00DF6FF4"/>
    <w:rsid w:val="00E57322"/>
    <w:rsid w:val="00E841B7"/>
    <w:rsid w:val="00E963F0"/>
    <w:rsid w:val="00ED5E84"/>
    <w:rsid w:val="00EE0B52"/>
    <w:rsid w:val="00EF16A3"/>
    <w:rsid w:val="00F57E52"/>
    <w:rsid w:val="09EF425B"/>
    <w:rsid w:val="26976BC0"/>
    <w:rsid w:val="4B911D13"/>
    <w:rsid w:val="569A1834"/>
    <w:rsid w:val="7BF6796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4</Pages>
  <Words>1302</Words>
  <Characters>1321</Characters>
  <Lines>3</Lines>
  <Paragraphs>1</Paragraphs>
  <TotalTime>1</TotalTime>
  <ScaleCrop>false</ScaleCrop>
  <LinksUpToDate>false</LinksUpToDate>
  <CharactersWithSpaces>1323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2019-11-14T00:58:00Z</dcterms:created>
  <dc:creator>user</dc:creator>
  <cp:lastModifiedBy>HC</cp:lastModifiedBy>
  <cp:lastPrinted>2020-01-06T00:47:00Z</cp:lastPrinted>
  <dcterms:modified xsi:type="dcterms:W3CDTF">2023-03-22T06:55:12Z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0FDA8D127BDA4260A8B732B738DFB284</vt:lpwstr>
  </property>
</Properties>
</file>