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rPr>
          <w:rFonts w:ascii="仿宋_GB2312" w:hAnsi="仿宋_GB2312" w:eastAsia="仿宋_GB2312" w:cs="仿宋_GB2312"/>
          <w:color w:val="000000"/>
          <w:sz w:val="24"/>
        </w:rPr>
      </w:pPr>
      <w:r>
        <w:rPr>
          <w:rFonts w:hint="eastAsia" w:ascii="仿宋_GB2312" w:hAnsi="仿宋_GB2312" w:eastAsia="仿宋_GB2312" w:cs="仿宋_GB2312"/>
          <w:color w:val="000000"/>
          <w:sz w:val="24"/>
        </w:rPr>
        <w:t>附件5：</w:t>
      </w:r>
    </w:p>
    <w:p>
      <w:pPr>
        <w:spacing w:line="580" w:lineRule="exact"/>
        <w:ind w:firstLine="720" w:firstLineChars="199"/>
        <w:rPr>
          <w:rFonts w:ascii="仿宋_GB2312" w:hAnsi="仿宋_GB2312" w:eastAsia="仿宋_GB2312" w:cs="仿宋_GB2312"/>
          <w:b/>
          <w:bCs/>
          <w:spacing w:val="-20"/>
          <w:sz w:val="40"/>
          <w:szCs w:val="48"/>
        </w:rPr>
      </w:pPr>
    </w:p>
    <w:p>
      <w:pPr>
        <w:spacing w:line="580" w:lineRule="exact"/>
        <w:ind w:firstLine="720" w:firstLineChars="199"/>
        <w:jc w:val="center"/>
        <w:rPr>
          <w:rFonts w:hint="default" w:ascii="仿宋_GB2312" w:hAnsi="仿宋_GB2312" w:eastAsia="仿宋_GB2312" w:cs="仿宋_GB2312"/>
          <w:b/>
          <w:bCs/>
          <w:spacing w:val="-20"/>
          <w:sz w:val="40"/>
          <w:szCs w:val="48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pacing w:val="-20"/>
          <w:sz w:val="40"/>
          <w:szCs w:val="48"/>
        </w:rPr>
        <w:t>隆尧县</w:t>
      </w:r>
      <w:r>
        <w:rPr>
          <w:rFonts w:hint="eastAsia" w:ascii="仿宋_GB2312" w:hAnsi="仿宋_GB2312" w:eastAsia="仿宋_GB2312" w:cs="仿宋_GB2312"/>
          <w:b/>
          <w:bCs/>
          <w:spacing w:val="-20"/>
          <w:sz w:val="40"/>
          <w:szCs w:val="48"/>
          <w:lang w:val="en-US" w:eastAsia="zh-CN"/>
        </w:rPr>
        <w:t>残疾人联合会</w:t>
      </w:r>
    </w:p>
    <w:p>
      <w:pPr>
        <w:spacing w:line="580" w:lineRule="exact"/>
        <w:ind w:firstLine="799" w:firstLineChars="199"/>
        <w:jc w:val="center"/>
        <w:rPr>
          <w:rFonts w:ascii="仿宋_GB2312" w:hAnsi="仿宋_GB2312" w:eastAsia="仿宋_GB2312" w:cs="仿宋_GB2312"/>
          <w:b/>
          <w:bCs/>
          <w:sz w:val="40"/>
          <w:szCs w:val="48"/>
        </w:rPr>
      </w:pPr>
      <w:r>
        <w:rPr>
          <w:rFonts w:hint="eastAsia" w:ascii="仿宋_GB2312" w:hAnsi="仿宋_GB2312" w:eastAsia="仿宋_GB2312" w:cs="仿宋_GB2312"/>
          <w:b/>
          <w:bCs/>
          <w:sz w:val="40"/>
          <w:szCs w:val="48"/>
          <w:lang w:val="en-US" w:eastAsia="zh-CN"/>
        </w:rPr>
        <w:t>残疾人事业发展发展</w:t>
      </w:r>
      <w:r>
        <w:rPr>
          <w:rFonts w:hint="eastAsia" w:ascii="仿宋_GB2312" w:hAnsi="仿宋_GB2312" w:eastAsia="仿宋_GB2312" w:cs="仿宋_GB2312"/>
          <w:b/>
          <w:bCs/>
          <w:sz w:val="40"/>
          <w:szCs w:val="48"/>
        </w:rPr>
        <w:t>项目重点自评绩效报告</w:t>
      </w:r>
    </w:p>
    <w:p>
      <w:pPr>
        <w:rPr>
          <w:rFonts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 xml:space="preserve">                         </w:t>
      </w:r>
    </w:p>
    <w:p>
      <w:pPr>
        <w:rPr>
          <w:rFonts w:ascii="仿宋_GB2312" w:hAnsi="仿宋_GB2312" w:eastAsia="仿宋_GB2312" w:cs="仿宋_GB2312"/>
        </w:rPr>
      </w:pPr>
    </w:p>
    <w:p>
      <w:pPr>
        <w:rPr>
          <w:rFonts w:ascii="仿宋_GB2312" w:hAnsi="仿宋_GB2312" w:eastAsia="仿宋_GB2312" w:cs="仿宋_GB2312"/>
        </w:rPr>
      </w:pPr>
    </w:p>
    <w:p>
      <w:pPr>
        <w:rPr>
          <w:rFonts w:ascii="仿宋_GB2312" w:hAnsi="仿宋_GB2312" w:eastAsia="仿宋_GB2312" w:cs="仿宋_GB2312"/>
        </w:rPr>
      </w:pPr>
    </w:p>
    <w:p>
      <w:pPr>
        <w:rPr>
          <w:rFonts w:ascii="仿宋_GB2312" w:hAnsi="仿宋_GB2312" w:eastAsia="仿宋_GB2312" w:cs="仿宋_GB2312"/>
        </w:rPr>
      </w:pPr>
    </w:p>
    <w:p>
      <w:pPr>
        <w:rPr>
          <w:rFonts w:ascii="仿宋_GB2312" w:hAnsi="仿宋_GB2312" w:eastAsia="仿宋_GB2312" w:cs="仿宋_GB2312"/>
        </w:rPr>
      </w:pPr>
    </w:p>
    <w:p>
      <w:pPr>
        <w:rPr>
          <w:rFonts w:ascii="仿宋_GB2312" w:hAnsi="仿宋_GB2312" w:eastAsia="仿宋_GB2312" w:cs="仿宋_GB2312"/>
        </w:rPr>
      </w:pPr>
    </w:p>
    <w:p>
      <w:pPr>
        <w:rPr>
          <w:rFonts w:ascii="仿宋_GB2312" w:hAnsi="仿宋_GB2312" w:eastAsia="仿宋_GB2312" w:cs="仿宋_GB2312"/>
        </w:rPr>
      </w:pPr>
    </w:p>
    <w:p>
      <w:pPr>
        <w:pStyle w:val="2"/>
        <w:ind w:firstLine="560"/>
      </w:pPr>
    </w:p>
    <w:p/>
    <w:p>
      <w:pPr>
        <w:pStyle w:val="2"/>
        <w:ind w:firstLine="560"/>
      </w:pPr>
    </w:p>
    <w:p/>
    <w:p>
      <w:pPr>
        <w:pStyle w:val="2"/>
        <w:ind w:firstLine="560"/>
      </w:pPr>
    </w:p>
    <w:p>
      <w:pPr>
        <w:spacing w:line="760" w:lineRule="exact"/>
        <w:rPr>
          <w:rFonts w:ascii="仿宋_GB2312" w:hAnsi="仿宋_GB2312" w:eastAsia="仿宋_GB2312" w:cs="仿宋_GB2312"/>
          <w:spacing w:val="-20"/>
          <w:sz w:val="28"/>
          <w:szCs w:val="28"/>
          <w:u w:val="single"/>
        </w:rPr>
      </w:pPr>
      <w:r>
        <w:rPr>
          <w:rFonts w:hint="eastAsia" w:ascii="仿宋_GB2312" w:hAnsi="仿宋_GB2312" w:eastAsia="仿宋_GB2312" w:cs="仿宋_GB2312"/>
          <w:spacing w:val="11"/>
          <w:sz w:val="28"/>
          <w:szCs w:val="28"/>
        </w:rPr>
        <w:t>项 目 名 称：</w:t>
      </w:r>
      <w:r>
        <w:rPr>
          <w:rFonts w:hint="eastAsia" w:ascii="仿宋_GB2312" w:hAnsi="仿宋_GB2312" w:eastAsia="仿宋_GB2312" w:cs="仿宋_GB2312"/>
          <w:spacing w:val="11"/>
          <w:sz w:val="28"/>
          <w:szCs w:val="28"/>
          <w:lang w:val="en-US" w:eastAsia="zh-CN"/>
        </w:rPr>
        <w:t>残疾人基本康复服务</w:t>
      </w:r>
      <w:r>
        <w:rPr>
          <w:rFonts w:hint="eastAsia" w:ascii="仿宋_GB2312" w:hAnsi="仿宋_GB2312" w:eastAsia="仿宋_GB2312" w:cs="仿宋_GB2312"/>
          <w:b/>
          <w:bCs/>
          <w:sz w:val="28"/>
          <w:szCs w:val="28"/>
          <w:u w:val="single"/>
        </w:rPr>
        <w:t xml:space="preserve">项目  </w:t>
      </w:r>
    </w:p>
    <w:p>
      <w:pPr>
        <w:spacing w:line="760" w:lineRule="exact"/>
        <w:rPr>
          <w:rFonts w:hint="default" w:ascii="仿宋_GB2312" w:hAnsi="仿宋_GB2312" w:eastAsia="仿宋_GB2312" w:cs="仿宋_GB2312"/>
          <w:sz w:val="28"/>
          <w:szCs w:val="28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项目实施单位：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隆尧县残疾人联合会</w:t>
      </w:r>
    </w:p>
    <w:p>
      <w:pPr>
        <w:spacing w:line="760" w:lineRule="exact"/>
        <w:rPr>
          <w:rFonts w:ascii="仿宋_GB2312" w:hAnsi="仿宋_GB2312" w:eastAsia="仿宋_GB2312" w:cs="仿宋_GB2312"/>
          <w:sz w:val="28"/>
          <w:szCs w:val="28"/>
          <w:u w:val="single"/>
        </w:rPr>
      </w:pPr>
      <w:r>
        <w:rPr>
          <w:rFonts w:hint="eastAsia" w:ascii="仿宋_GB2312" w:hAnsi="仿宋_GB2312" w:eastAsia="仿宋_GB2312" w:cs="仿宋_GB2312"/>
          <w:spacing w:val="28"/>
          <w:sz w:val="28"/>
          <w:szCs w:val="28"/>
        </w:rPr>
        <w:t>项目总金额：</w:t>
      </w:r>
      <w:r>
        <w:rPr>
          <w:rFonts w:hint="eastAsia" w:ascii="仿宋_GB2312" w:hAnsi="仿宋_GB2312" w:eastAsia="仿宋_GB2312" w:cs="仿宋_GB2312"/>
          <w:spacing w:val="28"/>
          <w:sz w:val="28"/>
          <w:szCs w:val="28"/>
          <w:lang w:val="en-US" w:eastAsia="zh-CN"/>
        </w:rPr>
        <w:t>39.1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u w:val="single"/>
        </w:rPr>
        <w:t>万元</w:t>
      </w:r>
    </w:p>
    <w:p>
      <w:pPr>
        <w:spacing w:line="760" w:lineRule="exact"/>
        <w:rPr>
          <w:rFonts w:ascii="仿宋_GB2312" w:hAnsi="仿宋_GB2312" w:eastAsia="仿宋_GB2312" w:cs="仿宋_GB2312"/>
          <w:sz w:val="28"/>
          <w:szCs w:val="28"/>
          <w:u w:val="single"/>
        </w:rPr>
      </w:pPr>
      <w:r>
        <w:rPr>
          <w:rFonts w:hint="eastAsia" w:ascii="仿宋_GB2312" w:hAnsi="仿宋_GB2312" w:eastAsia="仿宋_GB2312" w:cs="仿宋_GB2312"/>
          <w:spacing w:val="11"/>
          <w:sz w:val="28"/>
          <w:szCs w:val="28"/>
        </w:rPr>
        <w:t>评 价 年 度：</w:t>
      </w:r>
      <w:r>
        <w:rPr>
          <w:rFonts w:hint="eastAsia" w:ascii="仿宋_GB2312" w:hAnsi="仿宋_GB2312" w:eastAsia="仿宋_GB2312" w:cs="仿宋_GB2312"/>
          <w:sz w:val="28"/>
          <w:szCs w:val="28"/>
          <w:u w:val="single"/>
        </w:rPr>
        <w:t>2022年度</w:t>
      </w:r>
    </w:p>
    <w:p>
      <w:pPr>
        <w:spacing w:line="760" w:lineRule="exact"/>
        <w:rPr>
          <w:rFonts w:ascii="仿宋_GB2312" w:hAnsi="仿宋_GB2312" w:eastAsia="仿宋_GB2312" w:cs="仿宋_GB2312"/>
          <w:sz w:val="28"/>
          <w:szCs w:val="28"/>
          <w:u w:val="single"/>
        </w:rPr>
      </w:pPr>
      <w:r>
        <w:rPr>
          <w:rFonts w:hint="eastAsia" w:ascii="仿宋_GB2312" w:hAnsi="仿宋_GB2312" w:eastAsia="仿宋_GB2312" w:cs="仿宋_GB2312"/>
          <w:spacing w:val="28"/>
          <w:sz w:val="28"/>
          <w:szCs w:val="28"/>
        </w:rPr>
        <w:t>评价组组长：</w:t>
      </w:r>
      <w:r>
        <w:rPr>
          <w:rFonts w:hint="eastAsia" w:ascii="仿宋_GB2312" w:hAnsi="仿宋_GB2312" w:eastAsia="仿宋_GB2312" w:cs="仿宋_GB2312"/>
          <w:sz w:val="28"/>
          <w:szCs w:val="28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28"/>
          <w:szCs w:val="28"/>
          <w:u w:val="single"/>
          <w:lang w:val="en-US" w:eastAsia="zh-CN"/>
        </w:rPr>
        <w:t>王江华</w:t>
      </w:r>
      <w:r>
        <w:rPr>
          <w:rFonts w:hint="eastAsia" w:ascii="仿宋_GB2312" w:hAnsi="仿宋_GB2312" w:eastAsia="仿宋_GB2312" w:cs="仿宋_GB2312"/>
          <w:sz w:val="28"/>
          <w:szCs w:val="28"/>
          <w:u w:val="single"/>
        </w:rPr>
        <w:t xml:space="preserve">       </w:t>
      </w:r>
    </w:p>
    <w:p>
      <w:pPr>
        <w:spacing w:line="760" w:lineRule="exact"/>
        <w:rPr>
          <w:rFonts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  <w:spacing w:val="28"/>
          <w:sz w:val="28"/>
          <w:szCs w:val="28"/>
        </w:rPr>
        <w:t>评价组成员：</w:t>
      </w:r>
      <w:r>
        <w:rPr>
          <w:rFonts w:hint="eastAsia" w:ascii="仿宋_GB2312" w:hAnsi="仿宋_GB2312" w:eastAsia="仿宋_GB2312" w:cs="仿宋_GB2312"/>
          <w:sz w:val="28"/>
          <w:szCs w:val="28"/>
          <w:u w:val="single"/>
        </w:rPr>
        <w:t xml:space="preserve">   </w:t>
      </w:r>
      <w:r>
        <w:rPr>
          <w:rFonts w:hint="eastAsia" w:ascii="仿宋_GB2312" w:hAnsi="仿宋_GB2312" w:eastAsia="仿宋_GB2312" w:cs="仿宋_GB2312"/>
          <w:sz w:val="28"/>
          <w:szCs w:val="28"/>
          <w:u w:val="single"/>
          <w:lang w:val="en-US" w:eastAsia="zh-CN"/>
        </w:rPr>
        <w:t>王文欣、刘会霞</w:t>
      </w:r>
      <w:r>
        <w:rPr>
          <w:rFonts w:hint="eastAsia" w:ascii="仿宋_GB2312" w:hAnsi="仿宋_GB2312" w:eastAsia="仿宋_GB2312" w:cs="仿宋_GB2312"/>
          <w:sz w:val="28"/>
          <w:szCs w:val="28"/>
          <w:u w:val="single"/>
        </w:rPr>
        <w:t xml:space="preserve">                                          </w:t>
      </w:r>
    </w:p>
    <w:p>
      <w:pPr>
        <w:rPr>
          <w:rFonts w:ascii="仿宋_GB2312" w:hAnsi="仿宋_GB2312" w:eastAsia="仿宋_GB2312" w:cs="仿宋_GB2312"/>
        </w:rPr>
      </w:pPr>
      <w:bookmarkStart w:id="0" w:name="_Toc7470_WPSOffice_Level1"/>
      <w:bookmarkStart w:id="1" w:name="_Toc5909_WPSOffice_Level1"/>
    </w:p>
    <w:bookmarkEnd w:id="0"/>
    <w:bookmarkEnd w:id="1"/>
    <w:p>
      <w:pPr>
        <w:pStyle w:val="2"/>
        <w:spacing w:line="120" w:lineRule="exact"/>
        <w:ind w:firstLine="560"/>
        <w:rPr>
          <w:rFonts w:ascii="仿宋_GB2312" w:hAnsi="仿宋_GB2312" w:eastAsia="仿宋_GB2312" w:cs="仿宋_GB2312"/>
        </w:rPr>
      </w:pPr>
    </w:p>
    <w:p>
      <w:pPr>
        <w:spacing w:line="580" w:lineRule="exact"/>
        <w:ind w:firstLine="643" w:firstLineChars="200"/>
        <w:outlineLvl w:val="0"/>
        <w:rPr>
          <w:rFonts w:ascii="仿宋_GB2312" w:hAnsi="仿宋_GB2312" w:eastAsia="仿宋_GB2312" w:cs="仿宋_GB2312"/>
          <w:b/>
          <w:bCs/>
          <w:sz w:val="32"/>
          <w:szCs w:val="40"/>
        </w:rPr>
      </w:pPr>
      <w:bookmarkStart w:id="2" w:name="_Toc16913"/>
      <w:bookmarkStart w:id="3" w:name="_Toc30335"/>
      <w:bookmarkStart w:id="4" w:name="_Toc4013"/>
      <w:bookmarkStart w:id="5" w:name="_Toc2245"/>
      <w:bookmarkStart w:id="6" w:name="_Toc11301"/>
      <w:bookmarkStart w:id="7" w:name="_Toc13153"/>
      <w:bookmarkStart w:id="8" w:name="_Toc9525"/>
      <w:bookmarkStart w:id="9" w:name="_Toc23411"/>
      <w:bookmarkStart w:id="10" w:name="_Toc6314"/>
      <w:bookmarkStart w:id="11" w:name="_Toc18334"/>
    </w:p>
    <w:p>
      <w:pPr>
        <w:spacing w:line="580" w:lineRule="exact"/>
        <w:ind w:firstLine="643" w:firstLineChars="200"/>
        <w:outlineLvl w:val="0"/>
        <w:rPr>
          <w:rFonts w:ascii="仿宋_GB2312" w:hAnsi="仿宋_GB2312" w:eastAsia="仿宋_GB2312" w:cs="仿宋_GB2312"/>
          <w:b/>
          <w:bCs/>
          <w:sz w:val="32"/>
          <w:szCs w:val="40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40"/>
        </w:rPr>
        <w:t>一、项目概况</w:t>
      </w:r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</w:p>
    <w:p>
      <w:pPr>
        <w:spacing w:line="580" w:lineRule="exact"/>
        <w:ind w:firstLine="640" w:firstLineChars="200"/>
        <w:outlineLvl w:val="1"/>
        <w:rPr>
          <w:rFonts w:ascii="仿宋_GB2312" w:hAnsi="仿宋_GB2312" w:eastAsia="仿宋_GB2312" w:cs="仿宋_GB2312"/>
          <w:sz w:val="32"/>
          <w:szCs w:val="40"/>
        </w:rPr>
      </w:pPr>
      <w:bookmarkStart w:id="12" w:name="_Toc22453"/>
      <w:bookmarkStart w:id="13" w:name="_Toc15831"/>
      <w:bookmarkStart w:id="14" w:name="_Toc24784"/>
      <w:bookmarkStart w:id="15" w:name="_Toc19370"/>
      <w:bookmarkStart w:id="16" w:name="_Toc32742"/>
      <w:bookmarkStart w:id="17" w:name="_Toc19963"/>
      <w:bookmarkStart w:id="18" w:name="_Toc23957"/>
      <w:bookmarkStart w:id="19" w:name="_Toc30895"/>
      <w:bookmarkStart w:id="20" w:name="_Toc937"/>
      <w:bookmarkStart w:id="21" w:name="_Toc22285"/>
      <w:r>
        <w:rPr>
          <w:rFonts w:hint="eastAsia" w:ascii="仿宋_GB2312" w:hAnsi="仿宋_GB2312" w:eastAsia="仿宋_GB2312" w:cs="仿宋_GB2312"/>
          <w:sz w:val="32"/>
          <w:szCs w:val="40"/>
        </w:rPr>
        <w:t>（一）项目单位基本情况</w:t>
      </w:r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</w:p>
    <w:p>
      <w:pPr>
        <w:spacing w:line="580" w:lineRule="exact"/>
        <w:ind w:firstLine="640" w:firstLineChars="200"/>
        <w:outlineLvl w:val="1"/>
        <w:rPr>
          <w:rFonts w:hint="eastAsia" w:ascii="仿宋_GB2312" w:hAnsi="仿宋_GB2312" w:eastAsia="仿宋_GB2312" w:cs="仿宋_GB2312"/>
          <w:sz w:val="32"/>
          <w:szCs w:val="40"/>
        </w:rPr>
      </w:pPr>
      <w:bookmarkStart w:id="22" w:name="_Toc8843"/>
      <w:bookmarkStart w:id="23" w:name="_Toc15167"/>
      <w:bookmarkStart w:id="24" w:name="_Toc29308"/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>隆尧县残疾人联合会地址是隆尧县昭庆街98号，属于参公事业单位，对基本状况调查系统中有康复医疗、康复训练、护理需求的残疾人实施康复服务。</w:t>
      </w:r>
    </w:p>
    <w:p>
      <w:pPr>
        <w:spacing w:line="580" w:lineRule="exact"/>
        <w:ind w:firstLine="640" w:firstLineChars="200"/>
        <w:outlineLvl w:val="1"/>
        <w:rPr>
          <w:rFonts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（二）项目基本情况</w:t>
      </w:r>
      <w:bookmarkEnd w:id="22"/>
      <w:bookmarkEnd w:id="23"/>
      <w:bookmarkEnd w:id="24"/>
    </w:p>
    <w:p>
      <w:pPr>
        <w:ind w:firstLine="640" w:firstLineChars="200"/>
        <w:rPr>
          <w:rFonts w:hint="default" w:ascii="仿宋_GB2312" w:hAnsi="仿宋_GB2312" w:eastAsia="仿宋_GB2312" w:cs="仿宋_GB2312"/>
          <w:b/>
          <w:sz w:val="32"/>
          <w:szCs w:val="32"/>
          <w:lang w:val="en-US"/>
        </w:rPr>
      </w:pPr>
      <w:bookmarkStart w:id="25" w:name="_Toc24191"/>
      <w:bookmarkStart w:id="26" w:name="_Toc32656"/>
      <w:bookmarkStart w:id="27" w:name="_Toc27552"/>
      <w:bookmarkStart w:id="28" w:name="_Toc26594"/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>（1）资金情况：2022年省级专款康复服务专项经费44.23万元；（2）预期绩效目标，目标1：为残疾人提供基本康复服务，减轻功能障碍，增强生活自理和参与能力。目标2：为残疾人提供基本辅具适配服务，减轻功能障碍，增强生活自理和参与能力。本年度计划残疾人基本康复782人，辅助器具适配450人，残疾人家庭医生签约905人，总计服务残疾人数2137人，2022年省级专项资金已全部拨付到位。</w:t>
      </w:r>
    </w:p>
    <w:bookmarkEnd w:id="25"/>
    <w:bookmarkEnd w:id="26"/>
    <w:bookmarkEnd w:id="27"/>
    <w:bookmarkEnd w:id="28"/>
    <w:p>
      <w:pPr>
        <w:spacing w:line="580" w:lineRule="exact"/>
        <w:ind w:firstLine="643" w:firstLineChars="200"/>
        <w:outlineLvl w:val="0"/>
        <w:rPr>
          <w:rFonts w:ascii="仿宋_GB2312" w:hAnsi="仿宋_GB2312" w:eastAsia="仿宋_GB2312" w:cs="仿宋_GB2312"/>
          <w:b/>
          <w:bCs/>
          <w:sz w:val="32"/>
          <w:szCs w:val="40"/>
        </w:rPr>
      </w:pPr>
      <w:bookmarkStart w:id="29" w:name="_Toc14644"/>
      <w:bookmarkStart w:id="30" w:name="_Toc28908"/>
      <w:bookmarkStart w:id="31" w:name="_Toc17782"/>
      <w:bookmarkStart w:id="32" w:name="_Toc18992"/>
      <w:bookmarkStart w:id="33" w:name="_Toc4859"/>
      <w:bookmarkStart w:id="34" w:name="_Toc2988"/>
      <w:bookmarkStart w:id="35" w:name="_Toc7839"/>
      <w:bookmarkStart w:id="36" w:name="_Toc26109"/>
      <w:bookmarkStart w:id="37" w:name="_Toc6781"/>
      <w:bookmarkStart w:id="38" w:name="_Toc12860"/>
      <w:r>
        <w:rPr>
          <w:rFonts w:hint="eastAsia" w:ascii="仿宋_GB2312" w:hAnsi="仿宋_GB2312" w:eastAsia="仿宋_GB2312" w:cs="仿宋_GB2312"/>
          <w:b/>
          <w:bCs/>
          <w:sz w:val="32"/>
          <w:szCs w:val="40"/>
        </w:rPr>
        <w:t>二、项目实施情况</w:t>
      </w:r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</w:p>
    <w:p>
      <w:pPr>
        <w:numPr>
          <w:ilvl w:val="0"/>
          <w:numId w:val="0"/>
        </w:numPr>
        <w:spacing w:line="58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40"/>
        </w:rPr>
      </w:pPr>
      <w:bookmarkStart w:id="39" w:name="_Toc20844"/>
      <w:bookmarkStart w:id="40" w:name="_Toc11365"/>
      <w:bookmarkStart w:id="41" w:name="_Toc9227"/>
      <w:bookmarkStart w:id="42" w:name="_Toc13114"/>
      <w:bookmarkStart w:id="43" w:name="_Toc17067"/>
      <w:bookmarkStart w:id="44" w:name="_Toc4138"/>
      <w:bookmarkStart w:id="45" w:name="_Toc31876"/>
      <w:bookmarkStart w:id="46" w:name="_Toc10886"/>
      <w:bookmarkStart w:id="47" w:name="_Toc17743"/>
      <w:bookmarkStart w:id="48" w:name="_Toc22812"/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>2022年隆尧县残联在资金使用过程中，加强管理，使项目实施组织有序，质量标准较高。县残联本着求真务实、厉行节约的原则，让有限的资金发挥最大的社会效益，做到经济效益与社会效益相同步，有效改善了</w:t>
      </w:r>
      <w:r>
        <w:rPr>
          <w:rFonts w:hint="eastAsia" w:ascii="仿宋_GB2312" w:hAnsi="仿宋_GB2312" w:eastAsia="仿宋_GB2312" w:cs="仿宋_GB2312"/>
          <w:sz w:val="32"/>
          <w:szCs w:val="40"/>
          <w:u w:val="none"/>
          <w:lang w:val="en-US" w:eastAsia="zh-CN"/>
        </w:rPr>
        <w:t>我县残疾人的生活质量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>。项目科室、财务室共同做好2022年残疾人基本康复、辅助器具适配、家庭医生签约三个项目的绩效自评工作。工作任务责任到部门、责任到人，有效地加快了工作进度。</w:t>
      </w:r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</w:p>
    <w:p>
      <w:pPr>
        <w:spacing w:line="580" w:lineRule="exact"/>
        <w:ind w:firstLine="643" w:firstLineChars="200"/>
        <w:outlineLvl w:val="0"/>
        <w:rPr>
          <w:rFonts w:ascii="仿宋_GB2312" w:hAnsi="仿宋_GB2312" w:eastAsia="仿宋_GB2312" w:cs="仿宋_GB2312"/>
          <w:b/>
          <w:bCs/>
          <w:sz w:val="32"/>
          <w:szCs w:val="40"/>
        </w:rPr>
      </w:pPr>
      <w:bookmarkStart w:id="49" w:name="_Toc20904"/>
      <w:bookmarkStart w:id="50" w:name="_Toc18915"/>
      <w:bookmarkStart w:id="51" w:name="_Toc26855"/>
      <w:bookmarkStart w:id="52" w:name="_Toc5317"/>
      <w:bookmarkStart w:id="53" w:name="_Toc10651"/>
      <w:bookmarkStart w:id="54" w:name="_Toc12150"/>
      <w:bookmarkStart w:id="55" w:name="_Toc5215"/>
      <w:bookmarkStart w:id="56" w:name="_Toc21501"/>
      <w:bookmarkStart w:id="57" w:name="_Toc29800"/>
      <w:bookmarkStart w:id="58" w:name="_Toc6451"/>
      <w:r>
        <w:rPr>
          <w:rFonts w:hint="eastAsia" w:ascii="仿宋_GB2312" w:hAnsi="仿宋_GB2312" w:eastAsia="仿宋_GB2312" w:cs="仿宋_GB2312"/>
          <w:b/>
          <w:bCs/>
          <w:sz w:val="32"/>
          <w:szCs w:val="40"/>
        </w:rPr>
        <w:t>三、绩效评价工作情况</w:t>
      </w:r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</w:p>
    <w:p>
      <w:pPr>
        <w:spacing w:line="580" w:lineRule="exact"/>
        <w:ind w:firstLine="640" w:firstLineChars="200"/>
        <w:outlineLvl w:val="1"/>
        <w:rPr>
          <w:rFonts w:hint="eastAsia" w:ascii="仿宋_GB2312" w:hAnsi="仿宋_GB2312" w:eastAsia="仿宋_GB2312" w:cs="仿宋_GB2312"/>
          <w:sz w:val="32"/>
          <w:szCs w:val="40"/>
        </w:rPr>
      </w:pPr>
      <w:bookmarkStart w:id="59" w:name="_Toc17355"/>
      <w:bookmarkStart w:id="60" w:name="_Toc22771"/>
      <w:bookmarkStart w:id="61" w:name="_Toc14742"/>
      <w:bookmarkStart w:id="62" w:name="_Toc4056"/>
      <w:bookmarkStart w:id="63" w:name="_Toc23608"/>
      <w:bookmarkStart w:id="64" w:name="_Toc7570"/>
      <w:bookmarkStart w:id="65" w:name="_Toc15730"/>
      <w:bookmarkStart w:id="66" w:name="_Toc5105"/>
      <w:bookmarkStart w:id="67" w:name="_Toc25600"/>
      <w:bookmarkStart w:id="68" w:name="_Toc8077"/>
      <w:r>
        <w:rPr>
          <w:rFonts w:hint="eastAsia" w:ascii="仿宋_GB2312" w:hAnsi="仿宋_GB2312" w:eastAsia="仿宋_GB2312" w:cs="仿宋_GB2312"/>
          <w:sz w:val="32"/>
          <w:szCs w:val="40"/>
        </w:rPr>
        <w:t>（一）评价目的</w:t>
      </w:r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</w:p>
    <w:p>
      <w:pPr>
        <w:spacing w:line="580" w:lineRule="exact"/>
        <w:ind w:firstLine="640" w:firstLineChars="200"/>
        <w:outlineLvl w:val="1"/>
        <w:rPr>
          <w:rFonts w:ascii="仿宋_GB2312" w:hAnsi="仿宋_GB2312" w:eastAsia="仿宋_GB2312" w:cs="仿宋_GB2312"/>
          <w:sz w:val="32"/>
          <w:szCs w:val="40"/>
        </w:rPr>
      </w:pPr>
      <w:bookmarkStart w:id="69" w:name="_Toc8288"/>
      <w:bookmarkStart w:id="70" w:name="_Toc18502"/>
      <w:bookmarkStart w:id="71" w:name="_Toc16971"/>
      <w:bookmarkStart w:id="72" w:name="_Toc27346"/>
      <w:bookmarkStart w:id="73" w:name="_Toc25746"/>
      <w:bookmarkStart w:id="74" w:name="_Toc30351"/>
      <w:bookmarkStart w:id="75" w:name="_Toc22727"/>
      <w:bookmarkStart w:id="76" w:name="_Toc3910"/>
      <w:bookmarkStart w:id="77" w:name="_Toc27199"/>
      <w:bookmarkStart w:id="78" w:name="_Toc16121"/>
      <w:r>
        <w:rPr>
          <w:rFonts w:hint="eastAsia" w:ascii="仿宋_GB2312" w:hAnsi="仿宋_GB2312" w:eastAsia="仿宋_GB2312" w:cs="仿宋_GB2312"/>
          <w:sz w:val="32"/>
          <w:szCs w:val="40"/>
        </w:rPr>
        <w:t>一是通过绩效自评，发现管理中存在问题，进一步提升绩效管理水平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；</w:t>
      </w:r>
      <w:r>
        <w:rPr>
          <w:rFonts w:hint="eastAsia" w:ascii="仿宋_GB2312" w:hAnsi="仿宋_GB2312" w:eastAsia="仿宋_GB2312" w:cs="仿宋_GB2312"/>
          <w:sz w:val="32"/>
          <w:szCs w:val="40"/>
        </w:rPr>
        <w:t>二是通过绩效自评验证支出是否科学合理，项目执行是否高效，项目产出是否达标，项目效果是否明显，以强化支出责任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；</w:t>
      </w:r>
      <w:r>
        <w:rPr>
          <w:rFonts w:hint="eastAsia" w:ascii="仿宋_GB2312" w:hAnsi="仿宋_GB2312" w:eastAsia="仿宋_GB2312" w:cs="仿宋_GB2312"/>
          <w:sz w:val="32"/>
          <w:szCs w:val="40"/>
        </w:rPr>
        <w:t>三是通过对财政支出资金项目绩效目标的综合评价，实现政府财政资源的合理配置，规范预算分配，优化财政支出结构，降低政府运行成本，提高财政资金使用的经济性、效率性和有效性。</w:t>
      </w:r>
    </w:p>
    <w:p>
      <w:pPr>
        <w:numPr>
          <w:ilvl w:val="0"/>
          <w:numId w:val="1"/>
        </w:numPr>
        <w:spacing w:line="580" w:lineRule="exact"/>
        <w:ind w:firstLine="640" w:firstLineChars="200"/>
        <w:outlineLvl w:val="1"/>
        <w:rPr>
          <w:rFonts w:hint="eastAsia"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评价指标</w:t>
      </w:r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</w:p>
    <w:p>
      <w:pPr>
        <w:spacing w:line="580" w:lineRule="exact"/>
        <w:ind w:firstLine="420" w:firstLineChars="200"/>
        <w:outlineLvl w:val="1"/>
        <w:rPr>
          <w:rFonts w:ascii="仿宋_GB2312" w:hAnsi="仿宋_GB2312" w:eastAsia="仿宋_GB2312" w:cs="仿宋_GB2312"/>
          <w:sz w:val="32"/>
          <w:szCs w:val="40"/>
        </w:rPr>
      </w:pPr>
      <w:r>
        <w:rPr>
          <w:rFonts w:hint="eastAsia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2022年残疾人基本康复服务评价指标</w:t>
      </w:r>
      <w:r>
        <w:rPr>
          <w:rFonts w:hint="eastAsia" w:ascii="仿宋_GB2312" w:hAnsi="仿宋_GB2312" w:eastAsia="仿宋_GB2312" w:cs="仿宋_GB2312"/>
          <w:sz w:val="32"/>
          <w:szCs w:val="40"/>
        </w:rPr>
        <w:t>把职责履行、履职效益、预算配置和预算执行作为重点，进行逐一评价，查找不足。</w:t>
      </w:r>
    </w:p>
    <w:p>
      <w:pPr>
        <w:numPr>
          <w:ilvl w:val="0"/>
          <w:numId w:val="1"/>
        </w:numPr>
        <w:spacing w:line="580" w:lineRule="exact"/>
        <w:ind w:left="0" w:leftChars="0" w:firstLine="640" w:firstLineChars="200"/>
        <w:outlineLvl w:val="1"/>
        <w:rPr>
          <w:rFonts w:hint="eastAsia" w:ascii="仿宋_GB2312" w:hAnsi="仿宋_GB2312" w:eastAsia="仿宋_GB2312" w:cs="仿宋_GB2312"/>
          <w:sz w:val="32"/>
          <w:szCs w:val="40"/>
        </w:rPr>
      </w:pPr>
      <w:bookmarkStart w:id="79" w:name="_Toc11684"/>
      <w:bookmarkStart w:id="80" w:name="_Toc19154"/>
      <w:bookmarkStart w:id="81" w:name="_Toc12572"/>
      <w:bookmarkStart w:id="82" w:name="_Toc32241"/>
      <w:bookmarkStart w:id="83" w:name="_Toc25343"/>
      <w:bookmarkStart w:id="84" w:name="_Toc23270"/>
      <w:bookmarkStart w:id="85" w:name="_Toc5304"/>
      <w:bookmarkStart w:id="86" w:name="_Toc19068"/>
      <w:bookmarkStart w:id="87" w:name="_Toc32306"/>
      <w:bookmarkStart w:id="88" w:name="_Toc5587"/>
      <w:r>
        <w:rPr>
          <w:rFonts w:hint="eastAsia" w:ascii="仿宋_GB2312" w:hAnsi="仿宋_GB2312" w:eastAsia="仿宋_GB2312" w:cs="仿宋_GB2312"/>
          <w:sz w:val="32"/>
          <w:szCs w:val="40"/>
        </w:rPr>
        <w:t>评价依据</w:t>
      </w:r>
      <w:bookmarkEnd w:id="79"/>
      <w:bookmarkEnd w:id="80"/>
      <w:bookmarkEnd w:id="81"/>
      <w:bookmarkEnd w:id="82"/>
      <w:bookmarkEnd w:id="83"/>
      <w:bookmarkEnd w:id="84"/>
      <w:bookmarkEnd w:id="85"/>
      <w:bookmarkEnd w:id="86"/>
      <w:bookmarkEnd w:id="87"/>
      <w:bookmarkEnd w:id="88"/>
    </w:p>
    <w:p>
      <w:pPr>
        <w:spacing w:line="580" w:lineRule="exact"/>
        <w:ind w:firstLine="640" w:firstLineChars="200"/>
        <w:outlineLvl w:val="1"/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评价标准依据</w:t>
      </w:r>
      <w:r>
        <w:rPr>
          <w:rFonts w:hint="eastAsia" w:ascii="仿宋_GB2312" w:hAnsi="仿宋_GB2312" w:eastAsia="仿宋_GB2312" w:cs="仿宋_GB2312"/>
          <w:sz w:val="32"/>
          <w:szCs w:val="40"/>
        </w:rPr>
        <w:t>主要为年初设定的绩效目标及评价指标完成情况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>和</w:t>
      </w:r>
      <w:r>
        <w:rPr>
          <w:rFonts w:hint="eastAsia" w:ascii="仿宋_GB2312" w:hAnsi="仿宋_GB2312" w:eastAsia="仿宋_GB2312" w:cs="仿宋_GB2312"/>
          <w:sz w:val="32"/>
          <w:szCs w:val="40"/>
        </w:rPr>
        <w:t>该项目立项文件为标准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>以及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中国残疾人联合会及河北省残疾人联合会下发文件。</w:t>
      </w:r>
    </w:p>
    <w:p>
      <w:pPr>
        <w:numPr>
          <w:ilvl w:val="0"/>
          <w:numId w:val="1"/>
        </w:numPr>
        <w:spacing w:line="580" w:lineRule="exact"/>
        <w:ind w:left="0" w:leftChars="0" w:firstLine="640" w:firstLineChars="200"/>
        <w:outlineLvl w:val="1"/>
        <w:rPr>
          <w:rFonts w:hint="eastAsia" w:ascii="仿宋_GB2312" w:hAnsi="仿宋_GB2312" w:eastAsia="仿宋_GB2312" w:cs="仿宋_GB2312"/>
          <w:sz w:val="32"/>
          <w:szCs w:val="40"/>
        </w:rPr>
      </w:pPr>
      <w:bookmarkStart w:id="89" w:name="_Toc11243"/>
      <w:bookmarkStart w:id="90" w:name="_Toc6747"/>
      <w:bookmarkStart w:id="91" w:name="_Toc24302"/>
      <w:bookmarkStart w:id="92" w:name="_Toc7393"/>
      <w:bookmarkStart w:id="93" w:name="_Toc22038"/>
      <w:bookmarkStart w:id="94" w:name="_Toc9401"/>
      <w:bookmarkStart w:id="95" w:name="_Toc13179"/>
      <w:bookmarkStart w:id="96" w:name="_Toc12940"/>
      <w:bookmarkStart w:id="97" w:name="_Toc26780"/>
      <w:bookmarkStart w:id="98" w:name="_Toc1868"/>
      <w:r>
        <w:rPr>
          <w:rFonts w:hint="eastAsia" w:ascii="仿宋_GB2312" w:hAnsi="仿宋_GB2312" w:eastAsia="仿宋_GB2312" w:cs="仿宋_GB2312"/>
          <w:sz w:val="32"/>
          <w:szCs w:val="40"/>
        </w:rPr>
        <w:t>评价的主要方法及等级设定</w:t>
      </w:r>
      <w:bookmarkEnd w:id="89"/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98"/>
    </w:p>
    <w:p>
      <w:pPr>
        <w:numPr>
          <w:ilvl w:val="0"/>
          <w:numId w:val="0"/>
        </w:numPr>
        <w:spacing w:line="580" w:lineRule="exact"/>
        <w:ind w:leftChars="200" w:firstLine="640" w:firstLineChars="200"/>
        <w:outlineLvl w:val="1"/>
        <w:rPr>
          <w:rFonts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评价主要通过内部测评来进行，通过测评，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>残疾人基本康复服务</w:t>
      </w:r>
      <w:r>
        <w:rPr>
          <w:rFonts w:hint="eastAsia" w:ascii="仿宋_GB2312" w:hAnsi="仿宋_GB2312" w:eastAsia="仿宋_GB2312" w:cs="仿宋_GB2312"/>
          <w:sz w:val="32"/>
          <w:szCs w:val="40"/>
        </w:rPr>
        <w:t>项目得分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>100</w:t>
      </w:r>
      <w:r>
        <w:rPr>
          <w:rFonts w:hint="eastAsia" w:ascii="仿宋_GB2312" w:hAnsi="仿宋_GB2312" w:eastAsia="仿宋_GB2312" w:cs="仿宋_GB2312"/>
          <w:sz w:val="32"/>
          <w:szCs w:val="40"/>
        </w:rPr>
        <w:t>分，属于优秀等级。</w:t>
      </w:r>
    </w:p>
    <w:p>
      <w:pPr>
        <w:spacing w:line="580" w:lineRule="exact"/>
        <w:ind w:firstLine="640" w:firstLineChars="200"/>
        <w:outlineLvl w:val="1"/>
        <w:rPr>
          <w:rFonts w:ascii="仿宋_GB2312" w:hAnsi="仿宋_GB2312" w:eastAsia="仿宋_GB2312" w:cs="仿宋_GB2312"/>
          <w:sz w:val="32"/>
          <w:szCs w:val="40"/>
        </w:rPr>
      </w:pPr>
    </w:p>
    <w:p>
      <w:pPr>
        <w:spacing w:line="580" w:lineRule="exact"/>
        <w:ind w:firstLine="643" w:firstLineChars="200"/>
        <w:outlineLvl w:val="0"/>
        <w:rPr>
          <w:rFonts w:ascii="仿宋_GB2312" w:hAnsi="仿宋_GB2312" w:eastAsia="仿宋_GB2312" w:cs="仿宋_GB2312"/>
        </w:rPr>
      </w:pPr>
      <w:bookmarkStart w:id="99" w:name="_Toc21014"/>
      <w:bookmarkStart w:id="100" w:name="_Toc6105"/>
      <w:bookmarkStart w:id="101" w:name="_Toc22222"/>
      <w:bookmarkStart w:id="102" w:name="_Toc30508"/>
      <w:bookmarkStart w:id="103" w:name="_Toc28621"/>
      <w:bookmarkStart w:id="104" w:name="_Toc5623"/>
      <w:bookmarkStart w:id="105" w:name="_Toc17025"/>
      <w:bookmarkStart w:id="106" w:name="_Toc18842"/>
      <w:bookmarkStart w:id="107" w:name="_Toc20748"/>
      <w:bookmarkStart w:id="108" w:name="_Toc10113"/>
      <w:r>
        <w:rPr>
          <w:rFonts w:hint="eastAsia" w:ascii="仿宋_GB2312" w:hAnsi="仿宋_GB2312" w:eastAsia="仿宋_GB2312" w:cs="仿宋_GB2312"/>
          <w:b/>
          <w:bCs/>
          <w:sz w:val="32"/>
          <w:szCs w:val="40"/>
        </w:rPr>
        <w:t>四、绩效评价指标体系及得分情况</w:t>
      </w:r>
      <w:bookmarkEnd w:id="99"/>
      <w:bookmarkEnd w:id="100"/>
      <w:bookmarkEnd w:id="101"/>
      <w:bookmarkEnd w:id="102"/>
      <w:bookmarkEnd w:id="103"/>
      <w:bookmarkEnd w:id="104"/>
      <w:bookmarkEnd w:id="105"/>
      <w:bookmarkEnd w:id="106"/>
      <w:bookmarkEnd w:id="107"/>
      <w:bookmarkEnd w:id="108"/>
    </w:p>
    <w:p>
      <w:pPr>
        <w:ind w:firstLine="2080" w:firstLineChars="740"/>
      </w:pPr>
      <w:r>
        <w:rPr>
          <w:rFonts w:hint="eastAsia" w:ascii="仿宋_GB2312" w:hAnsi="仿宋_GB2312" w:eastAsia="仿宋_GB2312" w:cs="仿宋_GB2312"/>
          <w:b/>
          <w:color w:val="000000"/>
          <w:kern w:val="0"/>
          <w:sz w:val="28"/>
          <w:szCs w:val="28"/>
          <w:lang w:val="en-US" w:eastAsia="zh-CN"/>
        </w:rPr>
        <w:t>残疾人康复</w:t>
      </w:r>
      <w:r>
        <w:rPr>
          <w:rFonts w:hint="eastAsia" w:ascii="仿宋_GB2312" w:hAnsi="仿宋_GB2312" w:eastAsia="仿宋_GB2312" w:cs="仿宋_GB2312"/>
          <w:b/>
          <w:color w:val="000000"/>
          <w:kern w:val="0"/>
          <w:sz w:val="28"/>
          <w:szCs w:val="28"/>
        </w:rPr>
        <w:t>项目重点绩效评价指标表</w:t>
      </w:r>
    </w:p>
    <w:tbl>
      <w:tblPr>
        <w:tblStyle w:val="7"/>
        <w:tblW w:w="9098" w:type="dxa"/>
        <w:tblInd w:w="-13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76"/>
        <w:gridCol w:w="491"/>
        <w:gridCol w:w="2498"/>
        <w:gridCol w:w="426"/>
        <w:gridCol w:w="3696"/>
        <w:gridCol w:w="711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0" w:hRule="atLeast"/>
        </w:trPr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b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4"/>
              </w:rPr>
              <w:t xml:space="preserve">一级指标  </w:t>
            </w: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b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4"/>
              </w:rPr>
              <w:t>二级指标</w:t>
            </w:r>
          </w:p>
        </w:tc>
        <w:tc>
          <w:tcPr>
            <w:tcW w:w="2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b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4"/>
              </w:rPr>
              <w:t xml:space="preserve"> 三级指标</w:t>
            </w:r>
          </w:p>
        </w:tc>
        <w:tc>
          <w:tcPr>
            <w:tcW w:w="426" w:type="dxa"/>
            <w:vMerge w:val="restar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b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4"/>
              </w:rPr>
              <w:t>分值</w:t>
            </w:r>
          </w:p>
        </w:tc>
        <w:tc>
          <w:tcPr>
            <w:tcW w:w="369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b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4"/>
              </w:rPr>
              <w:t>指标说明</w:t>
            </w:r>
          </w:p>
        </w:tc>
        <w:tc>
          <w:tcPr>
            <w:tcW w:w="71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b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4"/>
              </w:rPr>
              <w:t>得分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8" w:hRule="atLeast"/>
        </w:trPr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b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4"/>
              </w:rPr>
              <w:t>名称</w:t>
            </w: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b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4"/>
              </w:rPr>
              <w:t>名称</w:t>
            </w:r>
          </w:p>
        </w:tc>
        <w:tc>
          <w:tcPr>
            <w:tcW w:w="2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b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4"/>
              </w:rPr>
              <w:t>名称</w:t>
            </w:r>
          </w:p>
        </w:tc>
        <w:tc>
          <w:tcPr>
            <w:tcW w:w="426" w:type="dxa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b/>
                <w:color w:val="000000"/>
                <w:sz w:val="24"/>
              </w:rPr>
            </w:pPr>
          </w:p>
        </w:tc>
        <w:tc>
          <w:tcPr>
            <w:tcW w:w="369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b/>
                <w:color w:val="000000"/>
                <w:sz w:val="24"/>
              </w:rPr>
            </w:pPr>
          </w:p>
        </w:tc>
        <w:tc>
          <w:tcPr>
            <w:tcW w:w="71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b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6" w:hRule="atLeast"/>
        </w:trPr>
        <w:tc>
          <w:tcPr>
            <w:tcW w:w="127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“工作活动”设置（*分）</w:t>
            </w:r>
          </w:p>
        </w:tc>
        <w:tc>
          <w:tcPr>
            <w:tcW w:w="49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项目立项情况</w:t>
            </w:r>
          </w:p>
        </w:tc>
        <w:tc>
          <w:tcPr>
            <w:tcW w:w="2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是否符合政府经济和社会总体发展规划</w:t>
            </w:r>
          </w:p>
        </w:tc>
        <w:tc>
          <w:tcPr>
            <w:tcW w:w="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  <w:lang w:val="en-US" w:eastAsia="zh-CN"/>
              </w:rPr>
              <w:t>5</w:t>
            </w:r>
          </w:p>
        </w:tc>
        <w:tc>
          <w:tcPr>
            <w:tcW w:w="3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有政府相关政策、规划、任务等文件得*分；无不得分。</w:t>
            </w:r>
          </w:p>
        </w:tc>
        <w:tc>
          <w:tcPr>
            <w:tcW w:w="7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  <w:lang w:val="en-US" w:eastAsia="zh-CN"/>
              </w:rPr>
              <w:t>5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74" w:hRule="atLeast"/>
        </w:trPr>
        <w:tc>
          <w:tcPr>
            <w:tcW w:w="127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49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2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项目活动与职责相关性</w:t>
            </w:r>
          </w:p>
        </w:tc>
        <w:tc>
          <w:tcPr>
            <w:tcW w:w="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  <w:lang w:val="en-US" w:eastAsia="zh-CN"/>
              </w:rPr>
              <w:t>5</w:t>
            </w:r>
          </w:p>
        </w:tc>
        <w:tc>
          <w:tcPr>
            <w:tcW w:w="3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工作活动与部门职责、工作规划和重点工作相关，工作活动项下确定的预算项目合理，与工作活动密切相关，工作活动和项目预算安排合理，得*分；否则不得分。</w:t>
            </w:r>
          </w:p>
        </w:tc>
        <w:tc>
          <w:tcPr>
            <w:tcW w:w="7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  <w:lang w:val="en-US" w:eastAsia="zh-CN"/>
              </w:rPr>
              <w:t>5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9" w:hRule="atLeast"/>
        </w:trPr>
        <w:tc>
          <w:tcPr>
            <w:tcW w:w="127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49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绩效自评情况</w:t>
            </w:r>
          </w:p>
        </w:tc>
        <w:tc>
          <w:tcPr>
            <w:tcW w:w="2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项目设立绩效目标合理性</w:t>
            </w:r>
          </w:p>
        </w:tc>
        <w:tc>
          <w:tcPr>
            <w:tcW w:w="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  <w:lang w:val="en-US" w:eastAsia="zh-CN"/>
              </w:rPr>
              <w:t>5</w:t>
            </w:r>
          </w:p>
        </w:tc>
        <w:tc>
          <w:tcPr>
            <w:tcW w:w="3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①是否将项目绩效目标细化分解为具体的绩效指标；</w:t>
            </w:r>
          </w:p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②是否通过清晰、可衡量的指标值予以体现；</w:t>
            </w:r>
          </w:p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③是否与项目年度任务数或计划数相对应；</w:t>
            </w:r>
          </w:p>
          <w:p>
            <w:pPr>
              <w:widowControl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④是否与预算确定的项目投资额或资金量相匹配。</w:t>
            </w:r>
          </w:p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缺少一项扣*分,扣完为止。</w:t>
            </w:r>
          </w:p>
        </w:tc>
        <w:tc>
          <w:tcPr>
            <w:tcW w:w="7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  <w:lang w:val="en-US" w:eastAsia="zh-CN"/>
              </w:rPr>
              <w:t>5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72" w:hRule="atLeast"/>
        </w:trPr>
        <w:tc>
          <w:tcPr>
            <w:tcW w:w="127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49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2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自评报告情况</w:t>
            </w:r>
          </w:p>
        </w:tc>
        <w:tc>
          <w:tcPr>
            <w:tcW w:w="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  <w:lang w:val="en-US" w:eastAsia="zh-CN"/>
              </w:rPr>
              <w:t>5</w:t>
            </w:r>
          </w:p>
        </w:tc>
        <w:tc>
          <w:tcPr>
            <w:tcW w:w="3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是否有绩效评价报告，报告是否依据充分、内容真实完整；数据准确、分析透彻。每存在一项问题扣*分，扣完为止。</w:t>
            </w:r>
          </w:p>
        </w:tc>
        <w:tc>
          <w:tcPr>
            <w:tcW w:w="7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  <w:lang w:val="en-US" w:eastAsia="zh-CN"/>
              </w:rPr>
              <w:t>5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9" w:hRule="atLeast"/>
        </w:trPr>
        <w:tc>
          <w:tcPr>
            <w:tcW w:w="127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“工作活动”管理（*分）</w:t>
            </w:r>
          </w:p>
        </w:tc>
        <w:tc>
          <w:tcPr>
            <w:tcW w:w="49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资金管理</w:t>
            </w:r>
          </w:p>
        </w:tc>
        <w:tc>
          <w:tcPr>
            <w:tcW w:w="2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预算调整率</w:t>
            </w:r>
          </w:p>
        </w:tc>
        <w:tc>
          <w:tcPr>
            <w:tcW w:w="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  <w:lang w:val="en-US" w:eastAsia="zh-CN"/>
              </w:rPr>
              <w:t>5</w:t>
            </w:r>
          </w:p>
        </w:tc>
        <w:tc>
          <w:tcPr>
            <w:tcW w:w="3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预算调整率=（预算调整数/预算数）×100%。预算调整率每大于1%扣*分，扣完为止。</w:t>
            </w:r>
          </w:p>
        </w:tc>
        <w:tc>
          <w:tcPr>
            <w:tcW w:w="7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  <w:lang w:val="en-US" w:eastAsia="zh-CN"/>
              </w:rPr>
              <w:t>5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9" w:hRule="atLeast"/>
        </w:trPr>
        <w:tc>
          <w:tcPr>
            <w:tcW w:w="127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49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2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资金使用合规性</w:t>
            </w:r>
          </w:p>
        </w:tc>
        <w:tc>
          <w:tcPr>
            <w:tcW w:w="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  <w:lang w:val="en-US" w:eastAsia="zh-CN"/>
              </w:rPr>
              <w:t>5</w:t>
            </w:r>
          </w:p>
        </w:tc>
        <w:tc>
          <w:tcPr>
            <w:tcW w:w="3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项目资金使用是否符合国家财经法规及相关的财务管理制度规定，资金支出程序是否规范,报账手续是否齐全。每存在一项不合规问题扣*分，扣完为止。</w:t>
            </w:r>
          </w:p>
        </w:tc>
        <w:tc>
          <w:tcPr>
            <w:tcW w:w="7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  <w:lang w:val="en-US" w:eastAsia="zh-CN"/>
              </w:rPr>
              <w:t>5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36" w:hRule="atLeast"/>
        </w:trPr>
        <w:tc>
          <w:tcPr>
            <w:tcW w:w="127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49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2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会计核算规范性</w:t>
            </w:r>
          </w:p>
        </w:tc>
        <w:tc>
          <w:tcPr>
            <w:tcW w:w="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  <w:lang w:val="en-US" w:eastAsia="zh-CN"/>
              </w:rPr>
              <w:t>5</w:t>
            </w:r>
          </w:p>
        </w:tc>
        <w:tc>
          <w:tcPr>
            <w:tcW w:w="3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会计核算是否符合《会计法》、《政府会计制度》、《会计基础工作规范》等法律法规和相关制度规定。每存在一项不合规问题扣*分，扣完为止。</w:t>
            </w:r>
          </w:p>
        </w:tc>
        <w:tc>
          <w:tcPr>
            <w:tcW w:w="7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  <w:lang w:val="en-US" w:eastAsia="zh-CN"/>
              </w:rPr>
              <w:t>5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55" w:hRule="atLeast"/>
        </w:trPr>
        <w:tc>
          <w:tcPr>
            <w:tcW w:w="127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49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项目管理</w:t>
            </w:r>
          </w:p>
        </w:tc>
        <w:tc>
          <w:tcPr>
            <w:tcW w:w="2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项目责任机制是否健全</w:t>
            </w:r>
          </w:p>
        </w:tc>
        <w:tc>
          <w:tcPr>
            <w:tcW w:w="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  <w:lang w:val="en-US" w:eastAsia="zh-CN"/>
              </w:rPr>
              <w:t>5</w:t>
            </w:r>
          </w:p>
        </w:tc>
        <w:tc>
          <w:tcPr>
            <w:tcW w:w="3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是否建立责任机制，项目管理和责任落实到有关人。每存在一项问题扣*分，扣完为止。</w:t>
            </w:r>
          </w:p>
        </w:tc>
        <w:tc>
          <w:tcPr>
            <w:tcW w:w="7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  <w:lang w:val="en-US" w:eastAsia="zh-CN"/>
              </w:rPr>
              <w:t>5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2" w:hRule="atLeast"/>
        </w:trPr>
        <w:tc>
          <w:tcPr>
            <w:tcW w:w="127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49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2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管理制度健全性</w:t>
            </w:r>
          </w:p>
        </w:tc>
        <w:tc>
          <w:tcPr>
            <w:tcW w:w="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  <w:lang w:val="en-US" w:eastAsia="zh-CN"/>
              </w:rPr>
              <w:t>5</w:t>
            </w:r>
          </w:p>
        </w:tc>
        <w:tc>
          <w:tcPr>
            <w:tcW w:w="3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制定管理制度和措施（包括财务制度）是否明确、清晰、具有可操作性，能否保障工作活动顺利实施。每缺少一项制度扣*分，扣完为止。</w:t>
            </w:r>
          </w:p>
        </w:tc>
        <w:tc>
          <w:tcPr>
            <w:tcW w:w="7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  <w:lang w:val="en-US" w:eastAsia="zh-CN"/>
              </w:rPr>
              <w:t>5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1" w:hRule="atLeast"/>
        </w:trPr>
        <w:tc>
          <w:tcPr>
            <w:tcW w:w="1276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“工作活动”产出（*分）</w:t>
            </w:r>
          </w:p>
        </w:tc>
        <w:tc>
          <w:tcPr>
            <w:tcW w:w="49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数量指标</w:t>
            </w:r>
          </w:p>
        </w:tc>
        <w:tc>
          <w:tcPr>
            <w:tcW w:w="2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家庭医生签约残疾人人数</w:t>
            </w:r>
          </w:p>
        </w:tc>
        <w:tc>
          <w:tcPr>
            <w:tcW w:w="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  <w:lang w:val="en-US" w:eastAsia="zh-CN"/>
              </w:rPr>
              <w:t>5</w:t>
            </w:r>
          </w:p>
        </w:tc>
        <w:tc>
          <w:tcPr>
            <w:tcW w:w="3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通过家庭医生签约，接受康复服务的残疾人人数</w:t>
            </w:r>
          </w:p>
        </w:tc>
        <w:tc>
          <w:tcPr>
            <w:tcW w:w="7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  <w:lang w:val="en-US" w:eastAsia="zh-CN"/>
              </w:rPr>
              <w:t>5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3" w:hRule="atLeast"/>
        </w:trPr>
        <w:tc>
          <w:tcPr>
            <w:tcW w:w="127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49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2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基本辅具适配服务人数</w:t>
            </w:r>
          </w:p>
        </w:tc>
        <w:tc>
          <w:tcPr>
            <w:tcW w:w="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  <w:lang w:val="en-US" w:eastAsia="zh-CN"/>
              </w:rPr>
              <w:t>5</w:t>
            </w:r>
          </w:p>
        </w:tc>
        <w:tc>
          <w:tcPr>
            <w:tcW w:w="3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基本辅具适配服务人数</w:t>
            </w:r>
          </w:p>
        </w:tc>
        <w:tc>
          <w:tcPr>
            <w:tcW w:w="7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  <w:lang w:val="en-US" w:eastAsia="zh-CN"/>
              </w:rPr>
              <w:t>5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3" w:hRule="atLeast"/>
        </w:trPr>
        <w:tc>
          <w:tcPr>
            <w:tcW w:w="127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49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2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基本康复服务人数</w:t>
            </w:r>
          </w:p>
        </w:tc>
        <w:tc>
          <w:tcPr>
            <w:tcW w:w="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  <w:lang w:val="en-US" w:eastAsia="zh-CN"/>
              </w:rPr>
              <w:t>5</w:t>
            </w:r>
          </w:p>
        </w:tc>
        <w:tc>
          <w:tcPr>
            <w:tcW w:w="3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基本康复服务人数</w:t>
            </w:r>
          </w:p>
        </w:tc>
        <w:tc>
          <w:tcPr>
            <w:tcW w:w="7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  <w:lang w:val="en-US" w:eastAsia="zh-CN"/>
              </w:rPr>
              <w:t>5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7" w:hRule="atLeast"/>
        </w:trPr>
        <w:tc>
          <w:tcPr>
            <w:tcW w:w="127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49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质量指标</w:t>
            </w:r>
          </w:p>
        </w:tc>
        <w:tc>
          <w:tcPr>
            <w:tcW w:w="2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康复工作圆满完成率</w:t>
            </w:r>
          </w:p>
        </w:tc>
        <w:tc>
          <w:tcPr>
            <w:tcW w:w="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3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康复工作圆满完成率</w:t>
            </w:r>
          </w:p>
        </w:tc>
        <w:tc>
          <w:tcPr>
            <w:tcW w:w="7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  <w:lang w:val="en-US" w:eastAsia="zh-CN"/>
              </w:rPr>
              <w:t>5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2" w:hRule="atLeast"/>
        </w:trPr>
        <w:tc>
          <w:tcPr>
            <w:tcW w:w="127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49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2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康复培训合格率</w:t>
            </w:r>
          </w:p>
        </w:tc>
        <w:tc>
          <w:tcPr>
            <w:tcW w:w="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3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康复培训合格率</w:t>
            </w:r>
          </w:p>
        </w:tc>
        <w:tc>
          <w:tcPr>
            <w:tcW w:w="7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  <w:lang w:val="en-US" w:eastAsia="zh-CN"/>
              </w:rPr>
              <w:t>5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7" w:hRule="atLeast"/>
        </w:trPr>
        <w:tc>
          <w:tcPr>
            <w:tcW w:w="127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49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2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康复工作圆满完成率</w:t>
            </w:r>
          </w:p>
        </w:tc>
        <w:tc>
          <w:tcPr>
            <w:tcW w:w="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  <w:lang w:val="en-US" w:eastAsia="zh-CN"/>
              </w:rPr>
              <w:t>5</w:t>
            </w:r>
          </w:p>
        </w:tc>
        <w:tc>
          <w:tcPr>
            <w:tcW w:w="3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残疾人康复各项工作圆满完成率</w:t>
            </w:r>
          </w:p>
        </w:tc>
        <w:tc>
          <w:tcPr>
            <w:tcW w:w="7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  <w:lang w:val="en-US" w:eastAsia="zh-CN"/>
              </w:rPr>
              <w:t>5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9" w:hRule="atLeast"/>
        </w:trPr>
        <w:tc>
          <w:tcPr>
            <w:tcW w:w="127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49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2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康复培训合格率</w:t>
            </w:r>
          </w:p>
        </w:tc>
        <w:tc>
          <w:tcPr>
            <w:tcW w:w="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  <w:lang w:val="en-US" w:eastAsia="zh-CN"/>
              </w:rPr>
              <w:t>5</w:t>
            </w:r>
          </w:p>
        </w:tc>
        <w:tc>
          <w:tcPr>
            <w:tcW w:w="3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康复培训合格率</w:t>
            </w:r>
          </w:p>
        </w:tc>
        <w:tc>
          <w:tcPr>
            <w:tcW w:w="7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  <w:lang w:val="en-US" w:eastAsia="zh-CN"/>
              </w:rPr>
              <w:t>5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1" w:hRule="atLeast"/>
        </w:trPr>
        <w:tc>
          <w:tcPr>
            <w:tcW w:w="127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49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时效指标</w:t>
            </w:r>
          </w:p>
        </w:tc>
        <w:tc>
          <w:tcPr>
            <w:tcW w:w="2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康复工作按时完成率</w:t>
            </w:r>
          </w:p>
        </w:tc>
        <w:tc>
          <w:tcPr>
            <w:tcW w:w="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3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各项康复工作按照时间进度完成的比例</w:t>
            </w:r>
          </w:p>
        </w:tc>
        <w:tc>
          <w:tcPr>
            <w:tcW w:w="7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  <w:lang w:val="en-US" w:eastAsia="zh-CN"/>
              </w:rPr>
              <w:t>5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4" w:hRule="atLeast"/>
        </w:trPr>
        <w:tc>
          <w:tcPr>
            <w:tcW w:w="127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49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2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辅具适配按时完成率</w:t>
            </w:r>
          </w:p>
        </w:tc>
        <w:tc>
          <w:tcPr>
            <w:tcW w:w="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3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_GB2312" w:hAnsi="仿宋_GB2312" w:eastAsia="仿宋_GB2312" w:cs="仿宋_GB2312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辅具适配工作按照时间进度完成的比例</w:t>
            </w:r>
          </w:p>
        </w:tc>
        <w:tc>
          <w:tcPr>
            <w:tcW w:w="7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  <w:lang w:val="en-US" w:eastAsia="zh-CN"/>
              </w:rPr>
              <w:t>5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8" w:hRule="atLeast"/>
        </w:trPr>
        <w:tc>
          <w:tcPr>
            <w:tcW w:w="1276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  <w:t>“工作活动”效果（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*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  <w:t>分）</w:t>
            </w:r>
          </w:p>
        </w:tc>
        <w:tc>
          <w:tcPr>
            <w:tcW w:w="491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满意度</w:t>
            </w:r>
          </w:p>
        </w:tc>
        <w:tc>
          <w:tcPr>
            <w:tcW w:w="2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康复服务对象满意度</w:t>
            </w:r>
          </w:p>
        </w:tc>
        <w:tc>
          <w:tcPr>
            <w:tcW w:w="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/>
              </w:rPr>
              <w:t>10</w:t>
            </w:r>
          </w:p>
        </w:tc>
        <w:tc>
          <w:tcPr>
            <w:tcW w:w="3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通过问卷调查或抽查，对基本康复、家庭医生签约等服务满意的残疾人或其家属占调查人数的比例</w:t>
            </w:r>
          </w:p>
        </w:tc>
        <w:tc>
          <w:tcPr>
            <w:tcW w:w="7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/>
              </w:rPr>
              <w:t>10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8" w:hRule="atLeast"/>
        </w:trPr>
        <w:tc>
          <w:tcPr>
            <w:tcW w:w="1276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491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2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3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7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8" w:hRule="atLeast"/>
        </w:trPr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ind w:firstLine="220" w:firstLineChars="100"/>
              <w:rPr>
                <w:rFonts w:ascii="仿宋_GB2312" w:hAnsi="仿宋_GB2312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2"/>
                <w:szCs w:val="22"/>
              </w:rPr>
              <w:t>合计</w:t>
            </w:r>
          </w:p>
        </w:tc>
        <w:tc>
          <w:tcPr>
            <w:tcW w:w="4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24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100</w:t>
            </w:r>
          </w:p>
        </w:tc>
        <w:tc>
          <w:tcPr>
            <w:tcW w:w="3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7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/>
              </w:rPr>
              <w:t>100</w:t>
            </w:r>
          </w:p>
        </w:tc>
      </w:tr>
    </w:tbl>
    <w:p>
      <w:pPr>
        <w:pStyle w:val="2"/>
        <w:spacing w:line="560" w:lineRule="exact"/>
        <w:ind w:left="420" w:leftChars="200" w:firstLine="320" w:firstLineChars="100"/>
        <w:outlineLvl w:val="0"/>
        <w:rPr>
          <w:rFonts w:ascii="仿宋_GB2312" w:hAnsi="仿宋_GB2312" w:eastAsia="仿宋_GB2312" w:cs="仿宋_GB2312"/>
          <w:color w:val="000000"/>
          <w:sz w:val="32"/>
          <w:szCs w:val="32"/>
        </w:rPr>
      </w:pPr>
      <w:bookmarkStart w:id="109" w:name="_Toc2634_WPSOffice_Level1"/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五、评价分析</w:t>
      </w:r>
      <w:bookmarkEnd w:id="109"/>
    </w:p>
    <w:p>
      <w:pPr>
        <w:spacing w:line="560" w:lineRule="exact"/>
        <w:ind w:firstLine="640" w:firstLineChars="200"/>
        <w:outlineLvl w:val="1"/>
        <w:rPr>
          <w:rFonts w:ascii="仿宋_GB2312" w:hAnsi="仿宋_GB2312" w:eastAsia="仿宋_GB2312" w:cs="仿宋_GB2312"/>
          <w:color w:val="000000"/>
          <w:sz w:val="32"/>
          <w:szCs w:val="40"/>
        </w:rPr>
      </w:pPr>
      <w:bookmarkStart w:id="110" w:name="_Toc18513_WPSOffice_Level2"/>
      <w:r>
        <w:rPr>
          <w:rFonts w:hint="eastAsia" w:ascii="仿宋_GB2312" w:hAnsi="仿宋_GB2312" w:eastAsia="仿宋_GB2312" w:cs="仿宋_GB2312"/>
          <w:color w:val="000000"/>
          <w:sz w:val="32"/>
          <w:szCs w:val="40"/>
        </w:rPr>
        <w:t>（一）主要扣分事项及原因分析</w:t>
      </w:r>
      <w:bookmarkEnd w:id="110"/>
    </w:p>
    <w:p>
      <w:pPr>
        <w:ind w:firstLine="420" w:firstLineChars="200"/>
        <w:rPr>
          <w:sz w:val="30"/>
          <w:szCs w:val="30"/>
        </w:rPr>
      </w:pPr>
      <w:r>
        <w:rPr>
          <w:rFonts w:hint="eastAsia"/>
        </w:rPr>
        <w:t xml:space="preserve"> 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我县残疾人专项资金项目在2022年底已完成绩效目标，项目立项规范，绩效目标合理，绩效指标明确。财政的相关资金到位及时，为资金的使用提供了保障。在省级专项资金的执行过程中，管理制度较健全，制度执行有效。</w:t>
      </w:r>
    </w:p>
    <w:p>
      <w:bookmarkStart w:id="112" w:name="_GoBack"/>
      <w:bookmarkEnd w:id="112"/>
    </w:p>
    <w:p>
      <w:pPr>
        <w:pStyle w:val="2"/>
        <w:spacing w:line="560" w:lineRule="exact"/>
        <w:ind w:left="420" w:leftChars="200" w:firstLine="320" w:firstLineChars="100"/>
        <w:outlineLvl w:val="0"/>
        <w:rPr>
          <w:rFonts w:ascii="仿宋_GB2312" w:hAnsi="仿宋_GB2312" w:eastAsia="仿宋_GB2312" w:cs="仿宋_GB2312"/>
          <w:color w:val="000000"/>
          <w:sz w:val="32"/>
          <w:szCs w:val="32"/>
        </w:rPr>
      </w:pPr>
      <w:bookmarkStart w:id="111" w:name="_Toc11279_WPSOffice_Level1"/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六、意见及建议</w:t>
      </w:r>
      <w:bookmarkEnd w:id="111"/>
    </w:p>
    <w:p>
      <w:pPr>
        <w:pStyle w:val="2"/>
        <w:ind w:firstLine="393" w:firstLineChars="131"/>
        <w:rPr>
          <w:rFonts w:ascii="仿宋_GB2312" w:hAnsi="仿宋_GB2312" w:eastAsia="仿宋_GB2312" w:cs="仿宋_GB2312"/>
          <w:color w:val="000000"/>
          <w:sz w:val="30"/>
          <w:szCs w:val="30"/>
        </w:rPr>
      </w:pPr>
      <w:r>
        <w:rPr>
          <w:rFonts w:hint="eastAsia" w:ascii="仿宋_GB2312" w:hAnsi="仿宋_GB2312" w:eastAsia="仿宋_GB2312" w:cs="仿宋_GB2312"/>
          <w:color w:val="000000"/>
          <w:sz w:val="30"/>
          <w:szCs w:val="30"/>
          <w:lang w:val="en-US" w:eastAsia="zh-CN"/>
        </w:rPr>
        <w:t>下一步将加大残疾人各项政策宣传力度，提升群众对残疾人工作的认识。</w:t>
      </w:r>
    </w:p>
    <w:p>
      <w:pPr>
        <w:pStyle w:val="2"/>
        <w:spacing w:line="560" w:lineRule="exact"/>
        <w:ind w:left="420" w:leftChars="200" w:firstLine="4960" w:firstLineChars="1550"/>
        <w:outlineLvl w:val="0"/>
        <w:rPr>
          <w:rFonts w:ascii="仿宋_GB2312" w:hAnsi="仿宋_GB2312" w:eastAsia="仿宋_GB2312" w:cs="仿宋_GB2312"/>
          <w:color w:val="000000"/>
          <w:sz w:val="32"/>
          <w:szCs w:val="32"/>
        </w:rPr>
      </w:pPr>
    </w:p>
    <w:p>
      <w:pPr>
        <w:pStyle w:val="2"/>
        <w:spacing w:line="560" w:lineRule="exact"/>
        <w:ind w:left="0" w:leftChars="0" w:firstLine="0" w:firstLineChars="0"/>
        <w:outlineLvl w:val="0"/>
        <w:rPr>
          <w:rFonts w:ascii="仿宋_GB2312" w:hAnsi="仿宋_GB2312" w:eastAsia="仿宋_GB2312" w:cs="仿宋_GB2312"/>
          <w:color w:val="000000"/>
          <w:sz w:val="32"/>
          <w:szCs w:val="32"/>
        </w:rPr>
      </w:pPr>
    </w:p>
    <w:p>
      <w:pPr>
        <w:pStyle w:val="2"/>
        <w:spacing w:line="560" w:lineRule="exact"/>
        <w:ind w:left="420" w:leftChars="200" w:firstLine="4960" w:firstLineChars="1550"/>
        <w:outlineLvl w:val="0"/>
        <w:rPr>
          <w:rFonts w:ascii="仿宋_GB2312" w:hAnsi="仿宋_GB2312" w:eastAsia="仿宋_GB2312" w:cs="仿宋_GB2312"/>
          <w:color w:val="000000"/>
          <w:sz w:val="32"/>
          <w:szCs w:val="32"/>
        </w:rPr>
      </w:pPr>
    </w:p>
    <w:p>
      <w:pPr>
        <w:pStyle w:val="2"/>
        <w:spacing w:line="560" w:lineRule="exact"/>
        <w:ind w:left="420" w:leftChars="200" w:firstLine="4960" w:firstLineChars="1550"/>
        <w:outlineLvl w:val="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2023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日</w:t>
      </w:r>
    </w:p>
    <w:p>
      <w:pPr>
        <w:rPr>
          <w:rFonts w:ascii="仿宋_GB2312" w:hAnsi="仿宋_GB2312" w:eastAsia="仿宋_GB2312" w:cs="仿宋_GB2312"/>
        </w:rPr>
      </w:pPr>
    </w:p>
    <w:sectPr>
      <w:footerReference r:id="rId3" w:type="default"/>
      <w:pgSz w:w="11906" w:h="16838"/>
      <w:pgMar w:top="2154" w:right="1474" w:bottom="1984" w:left="1587" w:header="851" w:footer="992" w:gutter="0"/>
      <w:pgNumType w:start="1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pict>
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>
                <w:pPr>
                  <w:pStyle w:val="4"/>
                </w:pPr>
                <w:r>
                  <w:rPr>
                    <w:rFonts w:hint="eastAsia"/>
                  </w:rPr>
                  <w:fldChar w:fldCharType="begin"/>
                </w:r>
                <w:r>
                  <w:rPr>
                    <w:rFonts w:hint="eastAsia"/>
                  </w:rPr>
                  <w:instrText xml:space="preserve"> PAGE  \* MERGEFORMAT </w:instrText>
                </w:r>
                <w:r>
                  <w:rPr>
                    <w:rFonts w:hint="eastAsia"/>
                  </w:rPr>
                  <w:fldChar w:fldCharType="separate"/>
                </w:r>
                <w:r>
                  <w:t>2</w:t>
                </w:r>
                <w:r>
                  <w:rPr>
                    <w:rFonts w:hint="eastAsia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42B4717"/>
    <w:multiLevelType w:val="singleLevel"/>
    <w:tmpl w:val="542B4717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1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MTNlZmY4M2Q2NWUzNjgxYTM3NzQ1MjY3NzdmY2ExZmYifQ=="/>
  </w:docVars>
  <w:rsids>
    <w:rsidRoot w:val="07CC499B"/>
    <w:rsid w:val="00092B14"/>
    <w:rsid w:val="000D47D0"/>
    <w:rsid w:val="001373BE"/>
    <w:rsid w:val="001F3212"/>
    <w:rsid w:val="00212CDA"/>
    <w:rsid w:val="002707C6"/>
    <w:rsid w:val="00280F82"/>
    <w:rsid w:val="003170CE"/>
    <w:rsid w:val="003C4354"/>
    <w:rsid w:val="00645DBC"/>
    <w:rsid w:val="007812E3"/>
    <w:rsid w:val="00814E39"/>
    <w:rsid w:val="008C7CF4"/>
    <w:rsid w:val="00A02C66"/>
    <w:rsid w:val="00AB413B"/>
    <w:rsid w:val="00B60E03"/>
    <w:rsid w:val="00D25A69"/>
    <w:rsid w:val="00D25CC3"/>
    <w:rsid w:val="00D3165F"/>
    <w:rsid w:val="00D471F4"/>
    <w:rsid w:val="00D5394A"/>
    <w:rsid w:val="00DB6DF3"/>
    <w:rsid w:val="00E30CAE"/>
    <w:rsid w:val="00E310A2"/>
    <w:rsid w:val="00EF2BA5"/>
    <w:rsid w:val="00EF6DA3"/>
    <w:rsid w:val="00FA340E"/>
    <w:rsid w:val="01B67D1F"/>
    <w:rsid w:val="01CA2AF2"/>
    <w:rsid w:val="03274687"/>
    <w:rsid w:val="04064A0C"/>
    <w:rsid w:val="04321BCD"/>
    <w:rsid w:val="04FF4482"/>
    <w:rsid w:val="057A0A50"/>
    <w:rsid w:val="064C4C17"/>
    <w:rsid w:val="076C3175"/>
    <w:rsid w:val="07CC499B"/>
    <w:rsid w:val="0815567D"/>
    <w:rsid w:val="084434AC"/>
    <w:rsid w:val="0909607F"/>
    <w:rsid w:val="09A64785"/>
    <w:rsid w:val="0A3B4E4B"/>
    <w:rsid w:val="0B601B06"/>
    <w:rsid w:val="0BEB58BF"/>
    <w:rsid w:val="0C15027B"/>
    <w:rsid w:val="0C3B2A49"/>
    <w:rsid w:val="0DA201A1"/>
    <w:rsid w:val="0DAA4EE9"/>
    <w:rsid w:val="0E3117D9"/>
    <w:rsid w:val="102B0836"/>
    <w:rsid w:val="1064155D"/>
    <w:rsid w:val="1156122B"/>
    <w:rsid w:val="11F11891"/>
    <w:rsid w:val="12C35BB4"/>
    <w:rsid w:val="140849FA"/>
    <w:rsid w:val="14583EA3"/>
    <w:rsid w:val="148C1012"/>
    <w:rsid w:val="151D09B5"/>
    <w:rsid w:val="158C17BA"/>
    <w:rsid w:val="1689469A"/>
    <w:rsid w:val="16DB1E7D"/>
    <w:rsid w:val="178C6C5A"/>
    <w:rsid w:val="17CD646A"/>
    <w:rsid w:val="184F3049"/>
    <w:rsid w:val="1B3F225B"/>
    <w:rsid w:val="1B4269FF"/>
    <w:rsid w:val="1D4B3C83"/>
    <w:rsid w:val="1DBD7AB3"/>
    <w:rsid w:val="1E0B387E"/>
    <w:rsid w:val="1ED8587F"/>
    <w:rsid w:val="20FD76C5"/>
    <w:rsid w:val="21460607"/>
    <w:rsid w:val="21FF1E9B"/>
    <w:rsid w:val="23C1122C"/>
    <w:rsid w:val="243D751D"/>
    <w:rsid w:val="24522B03"/>
    <w:rsid w:val="25ED2FD4"/>
    <w:rsid w:val="264A346A"/>
    <w:rsid w:val="26C879BE"/>
    <w:rsid w:val="270A41B9"/>
    <w:rsid w:val="274B3C4E"/>
    <w:rsid w:val="285356FD"/>
    <w:rsid w:val="288E37E0"/>
    <w:rsid w:val="290243B4"/>
    <w:rsid w:val="29A74E88"/>
    <w:rsid w:val="2A5C748F"/>
    <w:rsid w:val="2B10000E"/>
    <w:rsid w:val="2B2D56DA"/>
    <w:rsid w:val="2D391E20"/>
    <w:rsid w:val="30785FD3"/>
    <w:rsid w:val="31702E0D"/>
    <w:rsid w:val="33C32B3C"/>
    <w:rsid w:val="34E52524"/>
    <w:rsid w:val="35493084"/>
    <w:rsid w:val="35CA4ECD"/>
    <w:rsid w:val="35CE5164"/>
    <w:rsid w:val="35F07825"/>
    <w:rsid w:val="360C2FBA"/>
    <w:rsid w:val="363913FE"/>
    <w:rsid w:val="36D6548C"/>
    <w:rsid w:val="371D724D"/>
    <w:rsid w:val="376918C7"/>
    <w:rsid w:val="37832AC7"/>
    <w:rsid w:val="38195BED"/>
    <w:rsid w:val="39B23A02"/>
    <w:rsid w:val="3A4766ED"/>
    <w:rsid w:val="3A713A3B"/>
    <w:rsid w:val="3AAB2217"/>
    <w:rsid w:val="3CAE49E3"/>
    <w:rsid w:val="3DAE40CB"/>
    <w:rsid w:val="3E7103A9"/>
    <w:rsid w:val="3E7E746E"/>
    <w:rsid w:val="3EBE2184"/>
    <w:rsid w:val="3F5912F8"/>
    <w:rsid w:val="3F9B4FC0"/>
    <w:rsid w:val="3FCE0026"/>
    <w:rsid w:val="41B74B09"/>
    <w:rsid w:val="42417305"/>
    <w:rsid w:val="42D25FA6"/>
    <w:rsid w:val="43DC781A"/>
    <w:rsid w:val="441C7555"/>
    <w:rsid w:val="450A0AA4"/>
    <w:rsid w:val="45236574"/>
    <w:rsid w:val="46434BE2"/>
    <w:rsid w:val="46AA6AA7"/>
    <w:rsid w:val="478E0E32"/>
    <w:rsid w:val="48A2447B"/>
    <w:rsid w:val="49430BD9"/>
    <w:rsid w:val="494625CA"/>
    <w:rsid w:val="4BD23ED8"/>
    <w:rsid w:val="4C2846CD"/>
    <w:rsid w:val="4C7A4C55"/>
    <w:rsid w:val="4CDA1944"/>
    <w:rsid w:val="4F6A54EE"/>
    <w:rsid w:val="4FDF6ED1"/>
    <w:rsid w:val="514C0EC5"/>
    <w:rsid w:val="51F50157"/>
    <w:rsid w:val="52866F20"/>
    <w:rsid w:val="52EE7A8B"/>
    <w:rsid w:val="53575F54"/>
    <w:rsid w:val="535B290E"/>
    <w:rsid w:val="53F1208F"/>
    <w:rsid w:val="54DE5250"/>
    <w:rsid w:val="55207275"/>
    <w:rsid w:val="55495194"/>
    <w:rsid w:val="56115CEE"/>
    <w:rsid w:val="56D42516"/>
    <w:rsid w:val="56FE5044"/>
    <w:rsid w:val="57E03285"/>
    <w:rsid w:val="5AE71036"/>
    <w:rsid w:val="5B5F30DA"/>
    <w:rsid w:val="5BAF6F84"/>
    <w:rsid w:val="5BE03A0F"/>
    <w:rsid w:val="5D5C7CBD"/>
    <w:rsid w:val="5DF86B3F"/>
    <w:rsid w:val="5F1C1ADB"/>
    <w:rsid w:val="60134031"/>
    <w:rsid w:val="60C120AA"/>
    <w:rsid w:val="62871987"/>
    <w:rsid w:val="6304094B"/>
    <w:rsid w:val="64165E4C"/>
    <w:rsid w:val="6536013A"/>
    <w:rsid w:val="68DA698B"/>
    <w:rsid w:val="6A3E1F45"/>
    <w:rsid w:val="6CCC6D4C"/>
    <w:rsid w:val="6D5F4EC3"/>
    <w:rsid w:val="6E3F5A2C"/>
    <w:rsid w:val="7008088F"/>
    <w:rsid w:val="712634CC"/>
    <w:rsid w:val="71A3781D"/>
    <w:rsid w:val="724E698E"/>
    <w:rsid w:val="72694E7C"/>
    <w:rsid w:val="756501CF"/>
    <w:rsid w:val="778F438E"/>
    <w:rsid w:val="7886550A"/>
    <w:rsid w:val="7A055146"/>
    <w:rsid w:val="7A757A3F"/>
    <w:rsid w:val="7C647BFE"/>
    <w:rsid w:val="7D9B64C3"/>
    <w:rsid w:val="7FA85714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next w:val="1"/>
    <w:qFormat/>
    <w:uiPriority w:val="0"/>
    <w:pPr>
      <w:ind w:firstLine="420"/>
    </w:pPr>
  </w:style>
  <w:style w:type="paragraph" w:styleId="3">
    <w:name w:val="Body Text Indent"/>
    <w:basedOn w:val="1"/>
    <w:qFormat/>
    <w:uiPriority w:val="0"/>
    <w:pPr>
      <w:spacing w:line="600" w:lineRule="exact"/>
      <w:ind w:firstLine="560" w:firstLineChars="200"/>
      <w:textAlignment w:val="center"/>
    </w:pPr>
    <w:rPr>
      <w:rFonts w:ascii="宋体" w:hAnsi="宋体"/>
      <w:color w:val="FF0000"/>
      <w:sz w:val="28"/>
      <w:szCs w:val="28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link w:val="1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qFormat/>
    <w:uiPriority w:val="0"/>
    <w:pPr>
      <w:spacing w:before="100" w:beforeAutospacing="1" w:after="100" w:afterAutospacing="1"/>
      <w:jc w:val="left"/>
    </w:pPr>
    <w:rPr>
      <w:kern w:val="0"/>
      <w:sz w:val="24"/>
    </w:rPr>
  </w:style>
  <w:style w:type="paragraph" w:customStyle="1" w:styleId="9">
    <w:name w:val="WPSOffice手动目录 1"/>
    <w:qFormat/>
    <w:uiPriority w:val="0"/>
    <w:rPr>
      <w:rFonts w:ascii="Times New Roman" w:hAnsi="Times New Roman" w:eastAsia="宋体" w:cs="Times New Roman"/>
      <w:lang w:val="en-US" w:eastAsia="zh-CN" w:bidi="ar-SA"/>
    </w:rPr>
  </w:style>
  <w:style w:type="paragraph" w:customStyle="1" w:styleId="10">
    <w:name w:val="WPSOffice手动目录 2"/>
    <w:qFormat/>
    <w:uiPriority w:val="0"/>
    <w:pPr>
      <w:ind w:left="200" w:leftChars="200"/>
    </w:pPr>
    <w:rPr>
      <w:rFonts w:ascii="Times New Roman" w:hAnsi="Times New Roman" w:eastAsia="宋体" w:cs="Times New Roman"/>
      <w:lang w:val="en-US" w:eastAsia="zh-CN" w:bidi="ar-SA"/>
    </w:rPr>
  </w:style>
  <w:style w:type="character" w:customStyle="1" w:styleId="11">
    <w:name w:val="页眉 Char"/>
    <w:basedOn w:val="8"/>
    <w:link w:val="5"/>
    <w:qFormat/>
    <w:uiPriority w:val="0"/>
    <w:rPr>
      <w:rFonts w:ascii="Calibri" w:hAnsi="Calibri"/>
      <w:kern w:val="2"/>
      <w:sz w:val="18"/>
      <w:szCs w:val="18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footer1.xml" Type="http://schemas.openxmlformats.org/officeDocument/2006/relationships/footer"/><Relationship Id="rId4" Target="theme/theme1.xml" Type="http://schemas.openxmlformats.org/officeDocument/2006/relationships/theme"/><Relationship Id="rId5" Target="../customXml/item1.xml" Type="http://schemas.openxmlformats.org/officeDocument/2006/relationships/customXml"/><Relationship Id="rId6" Target="numbering.xml" Type="http://schemas.openxmlformats.org/officeDocument/2006/relationships/numbering"/><Relationship Id="rId7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6</Pages>
  <Words>2097</Words>
  <Characters>2150</Characters>
  <Lines>9</Lines>
  <Paragraphs>2</Paragraphs>
  <TotalTime>7</TotalTime>
  <ScaleCrop>false</ScaleCrop>
  <LinksUpToDate>false</LinksUpToDate>
  <CharactersWithSpaces>2245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2021-07-20T09:00:00Z</dcterms:created>
  <dc:creator>user</dc:creator>
  <cp:lastModifiedBy>HC</cp:lastModifiedBy>
  <dcterms:modified xsi:type="dcterms:W3CDTF">2023-03-29T02:04:42Z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11EB2D0887374EA28014C9A77BC9B2DB</vt:lpwstr>
  </property>
</Properties>
</file>