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附件5：</w:t>
      </w:r>
    </w:p>
    <w:p>
      <w:pPr>
        <w:spacing w:line="580" w:lineRule="exact"/>
        <w:ind w:firstLine="720" w:firstLineChars="199"/>
        <w:rPr>
          <w:rFonts w:ascii="仿宋_GB2312" w:hAnsi="仿宋_GB2312" w:eastAsia="仿宋_GB2312" w:cs="仿宋_GB2312"/>
          <w:b/>
          <w:bCs/>
          <w:spacing w:val="-20"/>
          <w:sz w:val="40"/>
          <w:szCs w:val="48"/>
        </w:rPr>
      </w:pPr>
    </w:p>
    <w:p>
      <w:pPr>
        <w:spacing w:line="580" w:lineRule="exact"/>
        <w:ind w:firstLine="720" w:firstLineChars="199"/>
        <w:jc w:val="center"/>
        <w:rPr>
          <w:rFonts w:ascii="仿宋_GB2312" w:hAnsi="仿宋_GB2312" w:eastAsia="仿宋_GB2312" w:cs="仿宋_GB2312"/>
          <w:b/>
          <w:bCs/>
          <w:spacing w:val="-20"/>
          <w:sz w:val="40"/>
          <w:szCs w:val="48"/>
        </w:rPr>
      </w:pPr>
      <w:r>
        <w:rPr>
          <w:rFonts w:hint="eastAsia" w:ascii="仿宋_GB2312" w:hAnsi="仿宋_GB2312" w:eastAsia="仿宋_GB2312" w:cs="仿宋_GB2312"/>
          <w:b/>
          <w:bCs/>
          <w:spacing w:val="-20"/>
          <w:sz w:val="40"/>
          <w:szCs w:val="48"/>
        </w:rPr>
        <w:t>中共隆尧县委机构编制委员会办公室</w:t>
      </w:r>
    </w:p>
    <w:p>
      <w:pPr>
        <w:spacing w:line="580" w:lineRule="exact"/>
        <w:ind w:firstLine="720" w:firstLineChars="199"/>
        <w:jc w:val="center"/>
        <w:rPr>
          <w:rFonts w:ascii="仿宋_GB2312" w:hAnsi="仿宋_GB2312" w:eastAsia="仿宋_GB2312" w:cs="仿宋_GB2312"/>
          <w:b/>
          <w:bCs/>
          <w:sz w:val="40"/>
          <w:szCs w:val="48"/>
        </w:rPr>
      </w:pPr>
      <w:r>
        <w:rPr>
          <w:rFonts w:hint="eastAsia" w:ascii="仿宋_GB2312" w:hAnsi="仿宋_GB2312" w:eastAsia="仿宋_GB2312" w:cs="仿宋_GB2312"/>
          <w:b/>
          <w:bCs/>
          <w:spacing w:val="-20"/>
          <w:sz w:val="40"/>
          <w:szCs w:val="48"/>
        </w:rPr>
        <w:t>机构编制管理</w:t>
      </w:r>
      <w:r>
        <w:rPr>
          <w:rFonts w:hint="eastAsia" w:ascii="仿宋_GB2312" w:hAnsi="仿宋_GB2312" w:eastAsia="仿宋_GB2312" w:cs="仿宋_GB2312"/>
          <w:b/>
          <w:bCs/>
          <w:sz w:val="40"/>
          <w:szCs w:val="48"/>
        </w:rPr>
        <w:t>项目重点自评绩效报告</w:t>
      </w:r>
    </w:p>
    <w:p>
      <w:pPr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                     </w:t>
      </w: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pStyle w:val="2"/>
        <w:ind w:firstLine="560"/>
      </w:pPr>
    </w:p>
    <w:p/>
    <w:p>
      <w:pPr>
        <w:pStyle w:val="2"/>
        <w:ind w:firstLine="560"/>
      </w:pPr>
    </w:p>
    <w:p/>
    <w:p>
      <w:pPr>
        <w:pStyle w:val="2"/>
        <w:ind w:firstLine="560"/>
      </w:pPr>
    </w:p>
    <w:p>
      <w:pPr>
        <w:spacing w:line="760" w:lineRule="exact"/>
        <w:rPr>
          <w:rFonts w:ascii="仿宋_GB2312" w:hAnsi="仿宋_GB2312" w:eastAsia="仿宋_GB2312" w:cs="仿宋_GB2312"/>
          <w:spacing w:val="-20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pacing w:val="11"/>
          <w:sz w:val="28"/>
          <w:szCs w:val="28"/>
        </w:rPr>
        <w:t>项 目 名 称：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u w:val="single"/>
        </w:rPr>
        <w:t>机构编制管理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u w:val="single"/>
        </w:rPr>
        <w:t xml:space="preserve">项目  </w:t>
      </w:r>
    </w:p>
    <w:p>
      <w:pPr>
        <w:spacing w:line="760" w:lineRule="exact"/>
        <w:rPr>
          <w:rFonts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项目实施单位：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u w:val="single"/>
        </w:rPr>
        <w:t>中共隆尧县委机构编制委员会办公室</w:t>
      </w:r>
    </w:p>
    <w:p>
      <w:pPr>
        <w:spacing w:line="760" w:lineRule="exact"/>
        <w:rPr>
          <w:rFonts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pacing w:val="28"/>
          <w:sz w:val="28"/>
          <w:szCs w:val="28"/>
        </w:rPr>
        <w:t>项目总金额：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u w:val="single"/>
        </w:rPr>
        <w:t>15.88万元</w:t>
      </w:r>
    </w:p>
    <w:p>
      <w:pPr>
        <w:spacing w:line="760" w:lineRule="exact"/>
        <w:rPr>
          <w:rFonts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pacing w:val="11"/>
          <w:sz w:val="28"/>
          <w:szCs w:val="28"/>
        </w:rPr>
        <w:t>评 价 年 度：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>2022年度</w:t>
      </w:r>
    </w:p>
    <w:p>
      <w:pPr>
        <w:spacing w:line="760" w:lineRule="exact"/>
        <w:rPr>
          <w:rFonts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pacing w:val="28"/>
          <w:sz w:val="28"/>
          <w:szCs w:val="28"/>
        </w:rPr>
        <w:t>评价组组长：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>李建国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</w:t>
      </w:r>
    </w:p>
    <w:p>
      <w:pPr>
        <w:spacing w:line="760" w:lineRule="exac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pacing w:val="28"/>
          <w:sz w:val="28"/>
          <w:szCs w:val="28"/>
        </w:rPr>
        <w:t>评价组成员：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>宋少锋   王少青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>张瑶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                          </w:t>
      </w:r>
    </w:p>
    <w:p>
      <w:pPr>
        <w:rPr>
          <w:rFonts w:ascii="仿宋_GB2312" w:hAnsi="仿宋_GB2312" w:eastAsia="仿宋_GB2312" w:cs="仿宋_GB2312"/>
        </w:rPr>
      </w:pPr>
      <w:bookmarkStart w:id="0" w:name="_Toc7470_WPSOffice_Level1"/>
      <w:bookmarkStart w:id="1" w:name="_Toc5909_WPSOffice_Level1"/>
    </w:p>
    <w:bookmarkEnd w:id="0"/>
    <w:bookmarkEnd w:id="1"/>
    <w:p>
      <w:pPr>
        <w:pStyle w:val="2"/>
        <w:spacing w:line="120" w:lineRule="exact"/>
        <w:ind w:firstLine="560"/>
        <w:rPr>
          <w:rFonts w:ascii="仿宋_GB2312" w:hAnsi="仿宋_GB2312" w:eastAsia="仿宋_GB2312" w:cs="仿宋_GB2312"/>
        </w:rPr>
      </w:pPr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  <w:b/>
          <w:bCs/>
          <w:color w:val="000000" w:themeColor="text1"/>
          <w:sz w:val="32"/>
          <w:szCs w:val="40"/>
        </w:rPr>
      </w:pPr>
      <w:bookmarkStart w:id="2" w:name="_Toc4013"/>
      <w:bookmarkStart w:id="3" w:name="_Toc9525"/>
      <w:bookmarkStart w:id="4" w:name="_Toc2245"/>
      <w:bookmarkStart w:id="5" w:name="_Toc23411"/>
      <w:bookmarkStart w:id="6" w:name="_Toc11301"/>
      <w:bookmarkStart w:id="7" w:name="_Toc30335"/>
      <w:bookmarkStart w:id="8" w:name="_Toc16913"/>
      <w:bookmarkStart w:id="9" w:name="_Toc6314"/>
      <w:bookmarkStart w:id="10" w:name="_Toc13153"/>
      <w:bookmarkStart w:id="11" w:name="_Toc18334"/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  <w:b/>
          <w:bCs/>
          <w:sz w:val="32"/>
          <w:szCs w:val="40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一、项目概况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12" w:name="_Toc19963"/>
      <w:bookmarkStart w:id="13" w:name="_Toc30895"/>
      <w:bookmarkStart w:id="14" w:name="_Toc22453"/>
      <w:bookmarkStart w:id="15" w:name="_Toc24784"/>
      <w:bookmarkStart w:id="16" w:name="_Toc23957"/>
      <w:bookmarkStart w:id="17" w:name="_Toc937"/>
      <w:bookmarkStart w:id="18" w:name="_Toc22285"/>
      <w:bookmarkStart w:id="19" w:name="_Toc32742"/>
      <w:bookmarkStart w:id="20" w:name="_Toc19370"/>
      <w:bookmarkStart w:id="21" w:name="_Toc15831"/>
      <w:r>
        <w:rPr>
          <w:rFonts w:hint="eastAsia" w:ascii="仿宋_GB2312" w:hAnsi="仿宋_GB2312" w:eastAsia="仿宋_GB2312" w:cs="仿宋_GB2312"/>
          <w:sz w:val="32"/>
          <w:szCs w:val="40"/>
        </w:rPr>
        <w:t>（一）项目单位基本情况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</w:p>
    <w:p>
      <w:pPr>
        <w:pStyle w:val="2"/>
        <w:ind w:firstLine="640"/>
        <w:rPr>
          <w:rFonts w:ascii="仿宋_GB2312" w:hAnsi="仿宋_GB2312" w:eastAsia="仿宋_GB2312" w:cs="仿宋_GB2312"/>
          <w:color w:val="000000" w:themeColor="text1"/>
          <w:sz w:val="32"/>
          <w:szCs w:val="40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单位名称：中共隆尧县委机构编制委员会办公室</w:t>
      </w:r>
    </w:p>
    <w:p>
      <w:pPr>
        <w:pStyle w:val="2"/>
        <w:ind w:firstLine="640"/>
        <w:rPr>
          <w:rFonts w:ascii="仿宋_GB2312" w:hAnsi="仿宋_GB2312" w:eastAsia="仿宋_GB2312" w:cs="仿宋_GB2312"/>
          <w:color w:val="000000" w:themeColor="text1"/>
          <w:sz w:val="32"/>
          <w:szCs w:val="40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地址：新华路588号</w:t>
      </w:r>
    </w:p>
    <w:p>
      <w:pPr>
        <w:pStyle w:val="2"/>
        <w:ind w:firstLine="640"/>
        <w:rPr>
          <w:rFonts w:ascii="仿宋_GB2312" w:hAnsi="仿宋_GB2312" w:eastAsia="仿宋_GB2312" w:cs="仿宋_GB2312"/>
          <w:color w:val="000000" w:themeColor="text1"/>
          <w:sz w:val="32"/>
          <w:szCs w:val="40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性质：行政单位</w:t>
      </w:r>
    </w:p>
    <w:p>
      <w:pPr>
        <w:pStyle w:val="2"/>
        <w:ind w:firstLine="640"/>
        <w:rPr>
          <w:rFonts w:ascii="仿宋_GB2312" w:hAnsi="仿宋_GB2312" w:eastAsia="仿宋_GB2312" w:cs="仿宋_GB2312"/>
          <w:color w:val="000000" w:themeColor="text1"/>
          <w:sz w:val="32"/>
          <w:szCs w:val="40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承担的业务：完成全年机关群团统一社会信用代码管理、事业单位登记管理工作正常运行；负责审核县级、乡镇机关的职责配置、机构设置、人员编制和领导职数；承办全县行政、事业编制总额的分配和调整工作；承办县直、乡镇机关职责和机构编制调整工作，协调县级机关各部门之间的职责分工，提出部门职责分工和职责交叉的处理意见；贯彻执行中央和省市县有关各类事业单位管理规定、编制标准；负责事业单位的机构设置、人员编制、领导职数、人员结构比例的审核工作。</w:t>
      </w:r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22" w:name="_Toc15167"/>
      <w:bookmarkStart w:id="23" w:name="_Toc29308"/>
      <w:bookmarkStart w:id="24" w:name="_Toc8843"/>
      <w:r>
        <w:rPr>
          <w:rFonts w:hint="eastAsia" w:ascii="仿宋_GB2312" w:hAnsi="仿宋_GB2312" w:eastAsia="仿宋_GB2312" w:cs="仿宋_GB2312"/>
          <w:sz w:val="32"/>
          <w:szCs w:val="40"/>
        </w:rPr>
        <w:t>（二）项目基本情况</w:t>
      </w:r>
      <w:bookmarkEnd w:id="22"/>
      <w:bookmarkEnd w:id="23"/>
      <w:bookmarkEnd w:id="24"/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bookmarkStart w:id="25" w:name="_Toc27552"/>
      <w:bookmarkStart w:id="26" w:name="_Toc24191"/>
      <w:bookmarkStart w:id="27" w:name="_Toc26594"/>
      <w:bookmarkStart w:id="28" w:name="_Toc32656"/>
      <w:r>
        <w:rPr>
          <w:rFonts w:hint="eastAsia" w:ascii="仿宋_GB2312" w:hAnsi="仿宋_GB2312" w:eastAsia="仿宋_GB2312" w:cs="仿宋_GB2312"/>
          <w:sz w:val="32"/>
          <w:szCs w:val="40"/>
        </w:rPr>
        <w:t>项目资金数：15.88万元</w:t>
      </w:r>
    </w:p>
    <w:p>
      <w:pPr>
        <w:pStyle w:val="2"/>
        <w:ind w:firstLine="640"/>
        <w:rPr>
          <w:rFonts w:ascii="仿宋" w:hAnsi="仿宋" w:eastAsia="仿宋" w:cs="仿宋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支付资金情况：按工作进度全额支付</w:t>
      </w:r>
    </w:p>
    <w:bookmarkEnd w:id="25"/>
    <w:bookmarkEnd w:id="26"/>
    <w:bookmarkEnd w:id="27"/>
    <w:bookmarkEnd w:id="28"/>
    <w:p>
      <w:pPr>
        <w:numPr>
          <w:ilvl w:val="0"/>
          <w:numId w:val="1"/>
        </w:numPr>
        <w:spacing w:line="580" w:lineRule="exact"/>
        <w:ind w:firstLine="643" w:firstLineChars="200"/>
        <w:outlineLvl w:val="0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bookmarkStart w:id="29" w:name="_Toc12860"/>
      <w:bookmarkStart w:id="30" w:name="_Toc18992"/>
      <w:bookmarkStart w:id="31" w:name="_Toc28908"/>
      <w:bookmarkStart w:id="32" w:name="_Toc26109"/>
      <w:bookmarkStart w:id="33" w:name="_Toc14644"/>
      <w:bookmarkStart w:id="34" w:name="_Toc2988"/>
      <w:bookmarkStart w:id="35" w:name="_Toc6781"/>
      <w:bookmarkStart w:id="36" w:name="_Toc17782"/>
      <w:bookmarkStart w:id="37" w:name="_Toc7839"/>
      <w:bookmarkStart w:id="38" w:name="_Toc4859"/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项目实施情况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：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机构编制管理</w:t>
      </w:r>
      <w:r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  <w:t>经费已执行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15.88</w:t>
      </w:r>
      <w:r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  <w:t>万元，主要用于办公经费、印刷费、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差旅费、会议费、培训费公务接待费及办公设备购置费</w:t>
      </w:r>
      <w:r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  <w:t>等费用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。</w:t>
      </w:r>
    </w:p>
    <w:p>
      <w:pPr>
        <w:spacing w:line="580" w:lineRule="exact"/>
        <w:ind w:firstLine="640" w:firstLineChars="200"/>
        <w:outlineLvl w:val="0"/>
        <w:rPr>
          <w:rFonts w:eastAsia="仿宋_GB2312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财务管理情况：严格执行财务预算制度和会计制度，正确规则记账，做到账实相符，账表相符。</w:t>
      </w:r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  <w:b/>
          <w:bCs/>
          <w:sz w:val="32"/>
          <w:szCs w:val="40"/>
        </w:rPr>
      </w:pPr>
      <w:bookmarkStart w:id="39" w:name="_Toc12150"/>
      <w:bookmarkStart w:id="40" w:name="_Toc6451"/>
      <w:bookmarkStart w:id="41" w:name="_Toc5215"/>
      <w:bookmarkStart w:id="42" w:name="_Toc20904"/>
      <w:bookmarkStart w:id="43" w:name="_Toc29800"/>
      <w:bookmarkStart w:id="44" w:name="_Toc10651"/>
      <w:bookmarkStart w:id="45" w:name="_Toc21501"/>
      <w:bookmarkStart w:id="46" w:name="_Toc18915"/>
      <w:bookmarkStart w:id="47" w:name="_Toc26855"/>
      <w:bookmarkStart w:id="48" w:name="_Toc5317"/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三、绩效评价工作情况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49" w:name="_Toc17355"/>
      <w:bookmarkStart w:id="50" w:name="_Toc15730"/>
      <w:bookmarkStart w:id="51" w:name="_Toc14742"/>
      <w:bookmarkStart w:id="52" w:name="_Toc8077"/>
      <w:bookmarkStart w:id="53" w:name="_Toc23608"/>
      <w:bookmarkStart w:id="54" w:name="_Toc22771"/>
      <w:bookmarkStart w:id="55" w:name="_Toc5105"/>
      <w:bookmarkStart w:id="56" w:name="_Toc25600"/>
      <w:bookmarkStart w:id="57" w:name="_Toc4056"/>
      <w:bookmarkStart w:id="58" w:name="_Toc7570"/>
      <w:r>
        <w:rPr>
          <w:rFonts w:hint="eastAsia" w:ascii="仿宋_GB2312" w:hAnsi="仿宋_GB2312" w:eastAsia="仿宋_GB2312" w:cs="仿宋_GB2312"/>
          <w:sz w:val="32"/>
          <w:szCs w:val="40"/>
        </w:rPr>
        <w:t>（一）评价目的</w:t>
      </w:r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r>
        <w:rPr>
          <w:rFonts w:hint="eastAsia" w:ascii="仿宋_GB2312" w:hAnsi="仿宋_GB2312" w:eastAsia="仿宋_GB2312" w:cs="仿宋_GB2312"/>
          <w:sz w:val="32"/>
          <w:szCs w:val="40"/>
        </w:rPr>
        <w:t>：一是通过绩效自评，发现管理中存在问题，进一步提升绩效管理水平。二是通过绩效自评验证支出是否科学合理，项目执行是否高效，项目产出是否达标，项目效果是否明显，以强化支出责任。三是通过对财政支出资金项目绩效目标的综合评价，实现政府财政资源的合理配置，规范预算分配，优化财政支出结构，降低政府运行成本，提高财政资金使用的经济性、效率性和有效性。</w:t>
      </w:r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59" w:name="_Toc22727"/>
      <w:bookmarkStart w:id="60" w:name="_Toc27199"/>
      <w:bookmarkStart w:id="61" w:name="_Toc27346"/>
      <w:bookmarkStart w:id="62" w:name="_Toc25746"/>
      <w:bookmarkStart w:id="63" w:name="_Toc8288"/>
      <w:bookmarkStart w:id="64" w:name="_Toc18502"/>
      <w:bookmarkStart w:id="65" w:name="_Toc30351"/>
      <w:bookmarkStart w:id="66" w:name="_Toc3910"/>
      <w:bookmarkStart w:id="67" w:name="_Toc16971"/>
      <w:bookmarkStart w:id="68" w:name="_Toc16121"/>
      <w:r>
        <w:rPr>
          <w:rFonts w:hint="eastAsia" w:ascii="仿宋_GB2312" w:hAnsi="仿宋_GB2312" w:eastAsia="仿宋_GB2312" w:cs="仿宋_GB2312"/>
          <w:sz w:val="32"/>
          <w:szCs w:val="40"/>
        </w:rPr>
        <w:t>（二）评价指标</w:t>
      </w:r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r>
        <w:rPr>
          <w:rFonts w:hint="eastAsia" w:ascii="仿宋_GB2312" w:hAnsi="仿宋_GB2312" w:eastAsia="仿宋_GB2312" w:cs="仿宋_GB2312"/>
          <w:sz w:val="32"/>
          <w:szCs w:val="40"/>
        </w:rPr>
        <w:t>：把职责履行、履职效益、预算配置和预算执行作为重点，进行逐一评价，查找不足。</w:t>
      </w:r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69" w:name="_Toc5304"/>
      <w:bookmarkStart w:id="70" w:name="_Toc19154"/>
      <w:bookmarkStart w:id="71" w:name="_Toc19068"/>
      <w:bookmarkStart w:id="72" w:name="_Toc11684"/>
      <w:bookmarkStart w:id="73" w:name="_Toc32241"/>
      <w:bookmarkStart w:id="74" w:name="_Toc25343"/>
      <w:bookmarkStart w:id="75" w:name="_Toc12572"/>
      <w:bookmarkStart w:id="76" w:name="_Toc23270"/>
      <w:bookmarkStart w:id="77" w:name="_Toc5587"/>
      <w:bookmarkStart w:id="78" w:name="_Toc32306"/>
      <w:r>
        <w:rPr>
          <w:rFonts w:hint="eastAsia" w:ascii="仿宋_GB2312" w:hAnsi="仿宋_GB2312" w:eastAsia="仿宋_GB2312" w:cs="仿宋_GB2312"/>
          <w:sz w:val="32"/>
          <w:szCs w:val="40"/>
        </w:rPr>
        <w:t>（三）评价依据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r>
        <w:rPr>
          <w:rFonts w:hint="eastAsia" w:ascii="仿宋_GB2312" w:hAnsi="仿宋_GB2312" w:eastAsia="仿宋_GB2312" w:cs="仿宋_GB2312"/>
          <w:sz w:val="32"/>
          <w:szCs w:val="40"/>
        </w:rPr>
        <w:t>：该指标评价依据主要为年初设定的绩效目标及评价指标完成情况，及该项目立项文件为标准。</w:t>
      </w:r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79" w:name="_Toc13179"/>
      <w:bookmarkStart w:id="80" w:name="_Toc7393"/>
      <w:bookmarkStart w:id="81" w:name="_Toc1868"/>
      <w:bookmarkStart w:id="82" w:name="_Toc12940"/>
      <w:bookmarkStart w:id="83" w:name="_Toc11243"/>
      <w:bookmarkStart w:id="84" w:name="_Toc22038"/>
      <w:bookmarkStart w:id="85" w:name="_Toc24302"/>
      <w:bookmarkStart w:id="86" w:name="_Toc26780"/>
      <w:bookmarkStart w:id="87" w:name="_Toc6747"/>
      <w:bookmarkStart w:id="88" w:name="_Toc9401"/>
      <w:r>
        <w:rPr>
          <w:rFonts w:hint="eastAsia" w:ascii="仿宋_GB2312" w:hAnsi="仿宋_GB2312" w:eastAsia="仿宋_GB2312" w:cs="仿宋_GB2312"/>
          <w:sz w:val="32"/>
          <w:szCs w:val="40"/>
        </w:rPr>
        <w:t>（四）评价的主要方法及等级设定</w:t>
      </w:r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r>
        <w:rPr>
          <w:rFonts w:hint="eastAsia" w:ascii="仿宋_GB2312" w:hAnsi="仿宋_GB2312" w:eastAsia="仿宋_GB2312" w:cs="仿宋_GB2312"/>
          <w:sz w:val="32"/>
          <w:szCs w:val="40"/>
        </w:rPr>
        <w:t>：评价主要通过内部测评来进行，通过测评，机构编制管理项目得分99分，属于优秀等级。</w:t>
      </w:r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</w:rPr>
      </w:pPr>
      <w:bookmarkStart w:id="89" w:name="_Toc28621"/>
      <w:bookmarkStart w:id="90" w:name="_Toc10113"/>
      <w:bookmarkStart w:id="91" w:name="_Toc5623"/>
      <w:bookmarkStart w:id="92" w:name="_Toc18842"/>
      <w:bookmarkStart w:id="93" w:name="_Toc20748"/>
      <w:bookmarkStart w:id="94" w:name="_Toc30508"/>
      <w:bookmarkStart w:id="95" w:name="_Toc21014"/>
      <w:bookmarkStart w:id="96" w:name="_Toc17025"/>
      <w:bookmarkStart w:id="97" w:name="_Toc22222"/>
      <w:bookmarkStart w:id="98" w:name="_Toc6105"/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四、绩效评价指标体系及得分情况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</w:p>
    <w:p>
      <w:pPr>
        <w:ind w:firstLine="2080" w:firstLineChars="740"/>
      </w:pPr>
      <w:r>
        <w:rPr>
          <w:rFonts w:hint="eastAsia" w:ascii="仿宋_GB2312" w:hAnsi="仿宋_GB2312" w:eastAsia="仿宋_GB2312" w:cs="仿宋_GB2312"/>
          <w:b/>
          <w:color w:val="000000"/>
          <w:kern w:val="0"/>
          <w:sz w:val="28"/>
          <w:szCs w:val="28"/>
        </w:rPr>
        <w:t>机构编制管理项目重点绩效评价指标表</w:t>
      </w:r>
    </w:p>
    <w:tbl>
      <w:tblPr>
        <w:tblStyle w:val="8"/>
        <w:tblW w:w="9098" w:type="dxa"/>
        <w:tblInd w:w="-13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6"/>
        <w:gridCol w:w="491"/>
        <w:gridCol w:w="2498"/>
        <w:gridCol w:w="426"/>
        <w:gridCol w:w="3696"/>
        <w:gridCol w:w="711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 xml:space="preserve">一级指标  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 xml:space="preserve"> 三级指标</w:t>
            </w:r>
          </w:p>
        </w:tc>
        <w:tc>
          <w:tcPr>
            <w:tcW w:w="426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36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指标说明</w:t>
            </w:r>
          </w:p>
        </w:tc>
        <w:tc>
          <w:tcPr>
            <w:tcW w:w="7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得分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426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6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7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“工作活动”设置（20分）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项目立项情况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是否符合政府经济和社会总体发展规划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有政府相关政策、规划、任务等文件得5分；无不得分。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4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项目活动与职责相关性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工作活动与部门职责、工作规划和重点工作相关，工作活动项下确定的预算项目合理，与工作活动密切相关，工作活动和项目预算安排合理，得5分；否则不得分。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绩效自评情况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项目设立绩效目标合理性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①是否将项目绩效目标细化分解为具体的绩效指标；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②是否通过清晰、可衡量的指标值予以体现；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③是否与项目年度任务数或计划数相对应；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④是否与预算确定的项目投资额或资金量相匹配。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缺少一项扣1分,扣完为止。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2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自评报告情况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是否有绩效评价报告，报告是否依据充分、内容真实完整；数据准确、分析透彻。每存在一项问题扣1分，扣完为止。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9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“工作活动”管理（40分）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资金管理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预算调整率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预算调整率=（预算调整数/预算数）×100%。预算调整率每大于1%扣*分，扣完为止。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9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资金使用合规性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项目资金使用是否符合国家财经法规及相关的财务管理制度规定，资金支出程序是否规范,报账手续是否齐全。每存在一项不合规问题扣2分，扣完为止。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6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会计核算规范性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会计核算是否符合《会计法》、《政府会计制度》、《会计基础工作规范》等法律法规和相关制度规定。每存在一项不合规问题扣2分，扣完为止。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5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项目管理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项目责任机制是否健全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是否建立责任机制，项目管理和责任落实到有关人。每存在一项问题扣2分，扣完为止。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管理制度健全性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制定管理制度和措施（包括财务制度）是否明确、清晰、具有可操作性，能否保障工作活动顺利实施。每缺少一项制度扣2分，扣完为止。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“工作活动”产出（30分）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数量指标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指标1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  <w:t>完成机构编制管理工作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指标2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指标3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质量指标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指标1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  <w:t>扎实履行职能职责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指标2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指标3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指标4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时效指标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指标1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2</w:t>
            </w:r>
            <w:r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  <w:t>年1月1日-202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2</w:t>
            </w:r>
            <w:r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  <w:t>年12月31日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指标2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“工作活动”效果（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10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满意度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指标1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机构编制管理对象满意度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127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指标2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ind w:firstLine="220" w:firstLineChars="100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合计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100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99</w:t>
            </w:r>
          </w:p>
        </w:tc>
      </w:tr>
    </w:tbl>
    <w:p>
      <w:pPr>
        <w:pStyle w:val="2"/>
        <w:spacing w:line="560" w:lineRule="exact"/>
        <w:ind w:left="420" w:leftChars="200" w:firstLine="320" w:firstLineChars="1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bookmarkStart w:id="99" w:name="_Toc2634_WPSOffice_Level1"/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五、评价分析</w:t>
      </w:r>
      <w:bookmarkEnd w:id="99"/>
    </w:p>
    <w:p>
      <w:pPr>
        <w:spacing w:line="560" w:lineRule="exact"/>
        <w:ind w:firstLine="640" w:firstLineChars="200"/>
        <w:outlineLvl w:val="1"/>
        <w:rPr>
          <w:rFonts w:hint="eastAsia" w:ascii="仿宋_GB2312" w:hAnsi="仿宋_GB2312" w:eastAsia="仿宋_GB2312" w:cs="仿宋_GB2312"/>
          <w:color w:val="000000"/>
          <w:sz w:val="32"/>
          <w:szCs w:val="40"/>
        </w:rPr>
      </w:pPr>
      <w:bookmarkStart w:id="100" w:name="_Toc18513_WPSOffice_Level2"/>
      <w:r>
        <w:rPr>
          <w:rFonts w:hint="eastAsia" w:ascii="仿宋_GB2312" w:hAnsi="仿宋_GB2312" w:eastAsia="仿宋_GB2312" w:cs="仿宋_GB2312"/>
          <w:color w:val="000000"/>
          <w:sz w:val="32"/>
          <w:szCs w:val="40"/>
        </w:rPr>
        <w:t>（一）主要扣分事项及原因分析</w:t>
      </w:r>
      <w:bookmarkEnd w:id="100"/>
    </w:p>
    <w:p>
      <w:pPr>
        <w:pStyle w:val="2"/>
        <w:ind w:firstLine="640"/>
        <w:rPr>
          <w:rFonts w:ascii="仿宋_GB2312" w:hAnsi="仿宋_GB2312" w:eastAsia="仿宋_GB2312" w:cs="仿宋_GB2312"/>
          <w:color w:val="000000"/>
          <w:sz w:val="32"/>
          <w:szCs w:val="40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40"/>
          <w:lang w:val="en-US" w:eastAsia="zh-CN"/>
        </w:rPr>
        <w:t>扣分事项为群众满意度，主要是因为</w:t>
      </w:r>
      <w:bookmarkStart w:id="102" w:name="_GoBack"/>
      <w:bookmarkEnd w:id="102"/>
      <w:r>
        <w:rPr>
          <w:rFonts w:hint="eastAsia" w:ascii="仿宋_GB2312" w:hAnsi="仿宋_GB2312" w:eastAsia="仿宋_GB2312" w:cs="仿宋_GB2312"/>
          <w:color w:val="000000"/>
          <w:sz w:val="32"/>
          <w:szCs w:val="40"/>
          <w:lang w:val="en-US" w:eastAsia="zh-CN"/>
        </w:rPr>
        <w:t>部分单位和部门对机构管理工作重要性认识还不够，对机构编制管理工作有所忽视</w:t>
      </w:r>
      <w:r>
        <w:rPr>
          <w:rFonts w:hint="eastAsia" w:ascii="仿宋_GB2312" w:hAnsi="仿宋_GB2312" w:eastAsia="仿宋_GB2312" w:cs="仿宋_GB2312"/>
          <w:color w:val="000000"/>
          <w:sz w:val="32"/>
          <w:szCs w:val="40"/>
        </w:rPr>
        <w:t>。</w:t>
      </w:r>
    </w:p>
    <w:p>
      <w:pPr>
        <w:pStyle w:val="2"/>
        <w:ind w:firstLine="56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/>
        </w:rPr>
        <w:t xml:space="preserve"> </w:t>
      </w:r>
      <w:bookmarkStart w:id="101" w:name="_Toc11279_WPSOffice_Level1"/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六、意见及建议</w:t>
      </w:r>
      <w:bookmarkEnd w:id="101"/>
    </w:p>
    <w:p>
      <w:pPr>
        <w:pStyle w:val="2"/>
        <w:ind w:firstLine="419" w:firstLineChars="131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下一步将加大机构编制管理宣传力度，提升群众对机构编制管理工作的认识。</w:t>
      </w:r>
    </w:p>
    <w:p>
      <w:pPr>
        <w:pStyle w:val="2"/>
        <w:spacing w:line="560" w:lineRule="exact"/>
        <w:ind w:left="0" w:leftChars="0" w:firstLine="3840" w:firstLineChars="1200"/>
        <w:outlineLvl w:val="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>
      <w:pPr>
        <w:pStyle w:val="2"/>
        <w:spacing w:line="560" w:lineRule="exact"/>
        <w:ind w:left="0" w:leftChars="0" w:firstLine="5120" w:firstLineChars="16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日</w:t>
      </w:r>
    </w:p>
    <w:p>
      <w:pPr>
        <w:rPr>
          <w:rFonts w:ascii="仿宋_GB2312" w:hAnsi="仿宋_GB2312" w:eastAsia="仿宋_GB2312" w:cs="仿宋_GB2312"/>
        </w:rPr>
      </w:pPr>
    </w:p>
    <w:sectPr>
      <w:footerReference r:id="rId3" w:type="default"/>
      <w:pgSz w:w="11906" w:h="16838"/>
      <w:pgMar w:top="2154" w:right="1474" w:bottom="1984" w:left="1587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hzD29rgEAAEsD&#10;AAAOAAAAAAAAAAEAIAAAAB4BAABkcnMvZTJvRG9jLnhtbFBLBQYAAAAABgAGAFkBAAA+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4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3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E6B82F"/>
    <w:multiLevelType w:val="singleLevel"/>
    <w:tmpl w:val="3FE6B8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7CC499B"/>
    <w:rsid w:val="00092B14"/>
    <w:rsid w:val="000D47D0"/>
    <w:rsid w:val="001373BE"/>
    <w:rsid w:val="001F3212"/>
    <w:rsid w:val="002707C6"/>
    <w:rsid w:val="00280F82"/>
    <w:rsid w:val="002F67E8"/>
    <w:rsid w:val="003104AB"/>
    <w:rsid w:val="003170CE"/>
    <w:rsid w:val="003C4354"/>
    <w:rsid w:val="005774C7"/>
    <w:rsid w:val="00645DBC"/>
    <w:rsid w:val="0067432B"/>
    <w:rsid w:val="00692613"/>
    <w:rsid w:val="00725AF8"/>
    <w:rsid w:val="007812E3"/>
    <w:rsid w:val="00814E39"/>
    <w:rsid w:val="00845104"/>
    <w:rsid w:val="008C7CF4"/>
    <w:rsid w:val="00937CC4"/>
    <w:rsid w:val="009E7CBB"/>
    <w:rsid w:val="00A02C66"/>
    <w:rsid w:val="00A5674D"/>
    <w:rsid w:val="00AB413B"/>
    <w:rsid w:val="00B03510"/>
    <w:rsid w:val="00B60E03"/>
    <w:rsid w:val="00C06398"/>
    <w:rsid w:val="00D25A69"/>
    <w:rsid w:val="00D25CC3"/>
    <w:rsid w:val="00D3165F"/>
    <w:rsid w:val="00D471F4"/>
    <w:rsid w:val="00D5394A"/>
    <w:rsid w:val="00DB6DF3"/>
    <w:rsid w:val="00E30CAE"/>
    <w:rsid w:val="00E310A2"/>
    <w:rsid w:val="00EF2BA5"/>
    <w:rsid w:val="00EF6DA3"/>
    <w:rsid w:val="00FA340E"/>
    <w:rsid w:val="00FF3B0F"/>
    <w:rsid w:val="01B67D1F"/>
    <w:rsid w:val="01CA2AF2"/>
    <w:rsid w:val="03274687"/>
    <w:rsid w:val="04064A0C"/>
    <w:rsid w:val="04321BCD"/>
    <w:rsid w:val="04FF4482"/>
    <w:rsid w:val="057A0A50"/>
    <w:rsid w:val="064C4C17"/>
    <w:rsid w:val="076C3175"/>
    <w:rsid w:val="07CC499B"/>
    <w:rsid w:val="0815567D"/>
    <w:rsid w:val="0909607F"/>
    <w:rsid w:val="09A64785"/>
    <w:rsid w:val="0A3B4E4B"/>
    <w:rsid w:val="0B601B06"/>
    <w:rsid w:val="0BEB58BF"/>
    <w:rsid w:val="0C15027B"/>
    <w:rsid w:val="0C3B2A49"/>
    <w:rsid w:val="0DAA4EE9"/>
    <w:rsid w:val="0E3117D9"/>
    <w:rsid w:val="102B0836"/>
    <w:rsid w:val="1064155D"/>
    <w:rsid w:val="1156122B"/>
    <w:rsid w:val="11840D6A"/>
    <w:rsid w:val="11F11891"/>
    <w:rsid w:val="12C35BB4"/>
    <w:rsid w:val="140849FA"/>
    <w:rsid w:val="14583EA3"/>
    <w:rsid w:val="151D09B5"/>
    <w:rsid w:val="1689469A"/>
    <w:rsid w:val="16DB1E7D"/>
    <w:rsid w:val="178C6C5A"/>
    <w:rsid w:val="17CD646A"/>
    <w:rsid w:val="184F3049"/>
    <w:rsid w:val="1AC26D36"/>
    <w:rsid w:val="1B3F225B"/>
    <w:rsid w:val="1B4269FF"/>
    <w:rsid w:val="1D4B3C83"/>
    <w:rsid w:val="1D985176"/>
    <w:rsid w:val="1DBD7AB3"/>
    <w:rsid w:val="1E0B387E"/>
    <w:rsid w:val="21425EFD"/>
    <w:rsid w:val="21460607"/>
    <w:rsid w:val="21FF1E9B"/>
    <w:rsid w:val="23C1122C"/>
    <w:rsid w:val="243D751D"/>
    <w:rsid w:val="24522B03"/>
    <w:rsid w:val="25ED2FD4"/>
    <w:rsid w:val="264A346A"/>
    <w:rsid w:val="270A41B9"/>
    <w:rsid w:val="274B3C4E"/>
    <w:rsid w:val="284145BE"/>
    <w:rsid w:val="285356FD"/>
    <w:rsid w:val="288E37E0"/>
    <w:rsid w:val="290243B4"/>
    <w:rsid w:val="2A15060A"/>
    <w:rsid w:val="2A5C748F"/>
    <w:rsid w:val="2B10000E"/>
    <w:rsid w:val="2B2D56DA"/>
    <w:rsid w:val="2D391E20"/>
    <w:rsid w:val="30785FD3"/>
    <w:rsid w:val="31702E0D"/>
    <w:rsid w:val="31E63F69"/>
    <w:rsid w:val="33C32B3C"/>
    <w:rsid w:val="34C21D6D"/>
    <w:rsid w:val="34E52524"/>
    <w:rsid w:val="35CA4ECD"/>
    <w:rsid w:val="35CE5164"/>
    <w:rsid w:val="35F07825"/>
    <w:rsid w:val="360C2FBA"/>
    <w:rsid w:val="363913FE"/>
    <w:rsid w:val="36D6548C"/>
    <w:rsid w:val="376918C7"/>
    <w:rsid w:val="37832AC7"/>
    <w:rsid w:val="38195BED"/>
    <w:rsid w:val="39B23A02"/>
    <w:rsid w:val="3A4766ED"/>
    <w:rsid w:val="3A713A3B"/>
    <w:rsid w:val="3AAB2217"/>
    <w:rsid w:val="3CAE49E3"/>
    <w:rsid w:val="3DAE40CB"/>
    <w:rsid w:val="3E7103A9"/>
    <w:rsid w:val="3E7E746E"/>
    <w:rsid w:val="3EBE2184"/>
    <w:rsid w:val="3F5912F8"/>
    <w:rsid w:val="3F9B4FC0"/>
    <w:rsid w:val="41B13B7B"/>
    <w:rsid w:val="41B74B09"/>
    <w:rsid w:val="43DC781A"/>
    <w:rsid w:val="441C7555"/>
    <w:rsid w:val="450A0AA4"/>
    <w:rsid w:val="45236574"/>
    <w:rsid w:val="46434BE2"/>
    <w:rsid w:val="46AA6AA7"/>
    <w:rsid w:val="478E0E32"/>
    <w:rsid w:val="48A2447B"/>
    <w:rsid w:val="48D23702"/>
    <w:rsid w:val="49430BD9"/>
    <w:rsid w:val="494625CA"/>
    <w:rsid w:val="4BD23ED8"/>
    <w:rsid w:val="4C2846CD"/>
    <w:rsid w:val="4C7A4C55"/>
    <w:rsid w:val="4F6A54EE"/>
    <w:rsid w:val="4F707560"/>
    <w:rsid w:val="4FDF6ED1"/>
    <w:rsid w:val="514C0EC5"/>
    <w:rsid w:val="51F50157"/>
    <w:rsid w:val="52866F20"/>
    <w:rsid w:val="52EE7A8B"/>
    <w:rsid w:val="535B290E"/>
    <w:rsid w:val="53F1208F"/>
    <w:rsid w:val="54DE5250"/>
    <w:rsid w:val="55495194"/>
    <w:rsid w:val="554D31BF"/>
    <w:rsid w:val="56115CEE"/>
    <w:rsid w:val="56D42516"/>
    <w:rsid w:val="56FE5044"/>
    <w:rsid w:val="57CD3BC8"/>
    <w:rsid w:val="57E03285"/>
    <w:rsid w:val="5A450599"/>
    <w:rsid w:val="5AE71036"/>
    <w:rsid w:val="5B5F30DA"/>
    <w:rsid w:val="5BAF6F84"/>
    <w:rsid w:val="5BE03A0F"/>
    <w:rsid w:val="5BF57BC0"/>
    <w:rsid w:val="5D2544EC"/>
    <w:rsid w:val="5D5C7CBD"/>
    <w:rsid w:val="5DF86B3F"/>
    <w:rsid w:val="5F1C1ADB"/>
    <w:rsid w:val="60134031"/>
    <w:rsid w:val="60C120AA"/>
    <w:rsid w:val="6304094B"/>
    <w:rsid w:val="64165E4C"/>
    <w:rsid w:val="6536013A"/>
    <w:rsid w:val="679C097E"/>
    <w:rsid w:val="68123FAD"/>
    <w:rsid w:val="68DA698B"/>
    <w:rsid w:val="6A3E1F45"/>
    <w:rsid w:val="6CCC6D4C"/>
    <w:rsid w:val="6D5F4EC3"/>
    <w:rsid w:val="6E3F5A2C"/>
    <w:rsid w:val="6F7E1B35"/>
    <w:rsid w:val="7008088F"/>
    <w:rsid w:val="70F645AE"/>
    <w:rsid w:val="712634CC"/>
    <w:rsid w:val="71452D43"/>
    <w:rsid w:val="71A3781D"/>
    <w:rsid w:val="724E698E"/>
    <w:rsid w:val="74015BF0"/>
    <w:rsid w:val="750D1013"/>
    <w:rsid w:val="756501CF"/>
    <w:rsid w:val="778F438E"/>
    <w:rsid w:val="7A055146"/>
    <w:rsid w:val="7A757A3F"/>
    <w:rsid w:val="7C647BFE"/>
    <w:rsid w:val="7D9B64C3"/>
    <w:rsid w:val="7E4661DC"/>
    <w:rsid w:val="7E9748A7"/>
    <w:rsid w:val="7FA8571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/>
    </w:pPr>
  </w:style>
  <w:style w:type="paragraph" w:styleId="3">
    <w:name w:val="Body Text Indent"/>
    <w:basedOn w:val="1"/>
    <w:qFormat/>
    <w:uiPriority w:val="0"/>
    <w:pPr>
      <w:spacing w:line="600" w:lineRule="exact"/>
      <w:ind w:firstLine="560" w:firstLineChars="200"/>
      <w:textAlignment w:val="center"/>
    </w:pPr>
    <w:rPr>
      <w:rFonts w:ascii="宋体" w:hAnsi="宋体"/>
      <w:color w:val="FF0000"/>
      <w:sz w:val="28"/>
      <w:szCs w:val="2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9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10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11">
    <w:name w:val="页眉 Char"/>
    <w:basedOn w:val="7"/>
    <w:link w:val="5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328</Words>
  <Characters>1871</Characters>
  <Lines>15</Lines>
  <Paragraphs>4</Paragraphs>
  <TotalTime>137</TotalTime>
  <ScaleCrop>false</ScaleCrop>
  <LinksUpToDate>false</LinksUpToDate>
  <CharactersWithSpaces>2195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2021-07-20T09:00:00Z</dcterms:created>
  <dc:creator>user</dc:creator>
  <cp:lastModifiedBy>lenovo</cp:lastModifiedBy>
  <dcterms:modified xsi:type="dcterms:W3CDTF">2023-03-16T04:07:50Z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