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pacing w:line="500" w:lineRule="exact"/>
        <w:jc w:val="center"/>
        <w:textAlignment w:val="auto"/>
        <w:rPr>
          <w:rFonts w:hint="eastAsia" w:ascii="宋体" w:hAnsi="宋体" w:cs="黑体"/>
          <w:b/>
          <w:spacing w:val="-4"/>
          <w:sz w:val="44"/>
          <w:szCs w:val="44"/>
        </w:rPr>
      </w:pPr>
      <w:r>
        <w:rPr>
          <w:rFonts w:hint="eastAsia" w:ascii="宋体" w:hAnsi="宋体" w:cs="黑体"/>
          <w:b/>
          <w:spacing w:val="-4"/>
          <w:sz w:val="44"/>
          <w:szCs w:val="44"/>
          <w:lang w:eastAsia="zh-CN"/>
        </w:rPr>
        <w:t>隆尧县商务局</w:t>
      </w:r>
      <w:r>
        <w:rPr>
          <w:rFonts w:hint="eastAsia" w:ascii="宋体" w:hAnsi="宋体" w:cs="黑体"/>
          <w:b/>
          <w:spacing w:val="-4"/>
          <w:sz w:val="44"/>
          <w:szCs w:val="44"/>
        </w:rPr>
        <w:t>20</w:t>
      </w:r>
      <w:r>
        <w:rPr>
          <w:rFonts w:hint="eastAsia" w:ascii="宋体" w:hAnsi="宋体" w:cs="黑体"/>
          <w:b/>
          <w:spacing w:val="-4"/>
          <w:sz w:val="44"/>
          <w:szCs w:val="44"/>
          <w:lang w:val="en-US" w:eastAsia="zh-CN"/>
        </w:rPr>
        <w:t>23</w:t>
      </w:r>
      <w:r>
        <w:rPr>
          <w:rFonts w:hint="eastAsia" w:ascii="宋体" w:hAnsi="宋体" w:cs="黑体"/>
          <w:b/>
          <w:spacing w:val="-4"/>
          <w:sz w:val="44"/>
          <w:szCs w:val="44"/>
        </w:rPr>
        <w:t>年度</w:t>
      </w:r>
    </w:p>
    <w:p>
      <w:pPr>
        <w:keepNext w:val="0"/>
        <w:keepLines w:val="0"/>
        <w:pageBreakBefore w:val="0"/>
        <w:widowControl w:val="0"/>
        <w:kinsoku/>
        <w:wordWrap/>
        <w:overflowPunct/>
        <w:topLinePunct w:val="0"/>
        <w:autoSpaceDE/>
        <w:autoSpaceDN/>
        <w:bidi w:val="0"/>
        <w:spacing w:line="500" w:lineRule="exact"/>
        <w:ind w:firstLine="867" w:firstLineChars="200"/>
        <w:jc w:val="both"/>
        <w:textAlignment w:val="auto"/>
        <w:rPr>
          <w:rFonts w:hint="eastAsia" w:ascii="宋体" w:hAnsi="宋体" w:cs="黑体"/>
          <w:b/>
          <w:spacing w:val="-4"/>
          <w:sz w:val="44"/>
          <w:szCs w:val="44"/>
        </w:rPr>
      </w:pPr>
      <w:r>
        <w:rPr>
          <w:rFonts w:hint="eastAsia" w:ascii="宋体" w:hAnsi="宋体" w:cs="黑体"/>
          <w:b/>
          <w:spacing w:val="-4"/>
          <w:sz w:val="44"/>
          <w:szCs w:val="44"/>
        </w:rPr>
        <w:t>“双随机一公开”</w:t>
      </w:r>
      <w:r>
        <w:rPr>
          <w:rFonts w:hint="eastAsia" w:ascii="宋体" w:hAnsi="宋体" w:cs="黑体"/>
          <w:b/>
          <w:spacing w:val="-4"/>
          <w:sz w:val="44"/>
          <w:szCs w:val="44"/>
          <w:lang w:eastAsia="zh-CN"/>
        </w:rPr>
        <w:t>监管</w:t>
      </w:r>
      <w:r>
        <w:rPr>
          <w:rFonts w:hint="eastAsia" w:ascii="宋体" w:hAnsi="宋体" w:cs="黑体"/>
          <w:b/>
          <w:spacing w:val="-4"/>
          <w:sz w:val="44"/>
          <w:szCs w:val="44"/>
        </w:rPr>
        <w:t>工作</w:t>
      </w:r>
      <w:r>
        <w:rPr>
          <w:rFonts w:hint="eastAsia" w:ascii="宋体" w:hAnsi="宋体" w:cs="黑体"/>
          <w:b/>
          <w:spacing w:val="-4"/>
          <w:sz w:val="44"/>
          <w:szCs w:val="44"/>
          <w:lang w:eastAsia="zh-CN"/>
        </w:rPr>
        <w:t>实施</w:t>
      </w:r>
      <w:r>
        <w:rPr>
          <w:rFonts w:hint="eastAsia" w:ascii="宋体" w:hAnsi="宋体" w:cs="黑体"/>
          <w:b/>
          <w:spacing w:val="-4"/>
          <w:sz w:val="44"/>
          <w:szCs w:val="44"/>
        </w:rPr>
        <w:t>方案</w:t>
      </w:r>
    </w:p>
    <w:p>
      <w:pPr>
        <w:adjustRightInd w:val="0"/>
        <w:snapToGrid w:val="0"/>
        <w:spacing w:line="520" w:lineRule="exact"/>
        <w:jc w:val="both"/>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lang w:eastAsia="zh-CN"/>
        </w:rPr>
        <w:t>为认真贯彻落实国务院、省委省政府、市委市政府、县委县政府和上级主管部门关于“双随机、一公开”监管工作的部署要求，持续深化“放管服”改革、优化营商环境，进一步推进部门内部联合抽查和企业信用风险差异化抽查，</w:t>
      </w:r>
      <w:r>
        <w:rPr>
          <w:rFonts w:hint="eastAsia" w:ascii="仿宋_GB2312" w:eastAsia="仿宋_GB2312"/>
          <w:sz w:val="32"/>
          <w:szCs w:val="32"/>
        </w:rPr>
        <w:t>结合我局工作实际</w:t>
      </w:r>
      <w:r>
        <w:rPr>
          <w:rFonts w:hint="eastAsia" w:ascii="仿宋_GB2312" w:eastAsia="仿宋_GB2312"/>
          <w:sz w:val="32"/>
          <w:szCs w:val="32"/>
          <w:lang w:eastAsia="zh-CN"/>
        </w:rPr>
        <w:t>，</w:t>
      </w:r>
      <w:r>
        <w:rPr>
          <w:rFonts w:hint="eastAsia" w:ascii="仿宋" w:hAnsi="仿宋" w:eastAsia="仿宋" w:cs="仿宋"/>
          <w:sz w:val="32"/>
          <w:szCs w:val="32"/>
          <w:lang w:eastAsia="zh-CN"/>
        </w:rPr>
        <w:t>制定本方案。</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一、工作目标</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sz w:val="32"/>
          <w:szCs w:val="32"/>
        </w:rPr>
      </w:pPr>
      <w:r>
        <w:rPr>
          <w:rFonts w:hint="eastAsia" w:ascii="楷体" w:hAnsi="楷体" w:eastAsia="楷体" w:cs="楷体"/>
          <w:sz w:val="32"/>
          <w:szCs w:val="32"/>
        </w:rPr>
        <w:t>（一）以机制建设为基础。</w:t>
      </w:r>
      <w:r>
        <w:rPr>
          <w:rFonts w:hint="eastAsia" w:ascii="仿宋" w:hAnsi="仿宋" w:eastAsia="仿宋" w:cs="仿宋"/>
          <w:sz w:val="32"/>
          <w:szCs w:val="32"/>
        </w:rPr>
        <w:t>不断完善组织领导、随机抽查等工作机制，确保"双随机、一公开"监管全覆盖、常态化。推广应用河北省双随机监管工作平台，加强"双随机、一公开"监管业务培训和舆论宣传力度，规范工作流程，确保监管执法公平、公正、公开。</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sz w:val="32"/>
          <w:szCs w:val="32"/>
        </w:rPr>
      </w:pPr>
      <w:r>
        <w:rPr>
          <w:rFonts w:hint="eastAsia" w:ascii="楷体" w:hAnsi="楷体" w:eastAsia="楷体" w:cs="楷体"/>
          <w:sz w:val="32"/>
          <w:szCs w:val="32"/>
        </w:rPr>
        <w:t>（二）以提升监管效能为根本。</w:t>
      </w:r>
      <w:r>
        <w:rPr>
          <w:rFonts w:hint="eastAsia" w:ascii="仿宋" w:hAnsi="仿宋" w:eastAsia="仿宋" w:cs="仿宋"/>
          <w:sz w:val="32"/>
          <w:szCs w:val="32"/>
        </w:rPr>
        <w:t>大力推进部门联合、重点领域和基于信用风险分级的随机抽查模式，不断提高双随机抽查的精准性和靶向性，努力实现既"无事不扰"又"无处不在"。加大在相关监管领域非现场检查方式的探索，不断提升监管资源的利用效能。</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sz w:val="32"/>
          <w:szCs w:val="32"/>
        </w:rPr>
      </w:pPr>
      <w:r>
        <w:rPr>
          <w:rFonts w:hint="eastAsia" w:ascii="楷体" w:hAnsi="楷体" w:eastAsia="楷体" w:cs="楷体"/>
          <w:sz w:val="32"/>
          <w:szCs w:val="32"/>
        </w:rPr>
        <w:t>（三）</w:t>
      </w:r>
      <w:r>
        <w:rPr>
          <w:rFonts w:hint="eastAsia" w:ascii="楷体" w:hAnsi="楷体" w:eastAsia="楷体" w:cs="楷体"/>
          <w:sz w:val="32"/>
          <w:szCs w:val="32"/>
          <w:lang w:eastAsia="zh-CN"/>
        </w:rPr>
        <w:t>抽查比例。</w:t>
      </w:r>
      <w:r>
        <w:rPr>
          <w:rFonts w:hint="eastAsia" w:ascii="仿宋" w:hAnsi="仿宋" w:eastAsia="仿宋" w:cs="仿宋"/>
          <w:sz w:val="32"/>
          <w:szCs w:val="32"/>
        </w:rPr>
        <w:t>确保各部门年度随机抽查占比达到3％以上（国家对口部委有明确要求的除外）,抽查检查结果100％公示，抽查检查结果100%公示的前提下，确保抽查检查发现问题的后续监管和处理到位、联合惩戒到位，不断提升随机抽查的震慑力。</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二、主要工作任务</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sz w:val="32"/>
          <w:szCs w:val="32"/>
        </w:rPr>
      </w:pPr>
      <w:r>
        <w:rPr>
          <w:rFonts w:hint="eastAsia" w:ascii="楷体" w:hAnsi="楷体" w:eastAsia="楷体" w:cs="楷体"/>
          <w:sz w:val="32"/>
          <w:szCs w:val="32"/>
        </w:rPr>
        <w:t>（一）细化"一单两库"。</w:t>
      </w:r>
      <w:r>
        <w:rPr>
          <w:rFonts w:hint="eastAsia" w:ascii="仿宋" w:hAnsi="仿宋" w:eastAsia="仿宋" w:cs="仿宋"/>
          <w:sz w:val="32"/>
          <w:szCs w:val="32"/>
        </w:rPr>
        <w:t>"双随机、一公开"监管工作领导小组要加强组织领导，领导小组办公室要发挥好统筹协调、监督指导职能作用，组织本级有关部门不断完善"一单两库"。各单位本着"应纳尽纳"的原则，根据机构改革职能调整、法律法规规章立改废释和工作实际情况，在省随机抽查事项清单的及河北省"互联网＋监管"平台的监管事项的基础上，梳理本单位随机抽查事项清单，动态调整本部门随机抽查事项清单，并及时通过相关网站向社会公布。各有关部门要结合监管重点，合理确定一般检查事项、重点检查事项以及各自的抽查比例，促进执法资源科学分配和合理使用；要按照文件要求，动态调整本部门检查对象名录库和执法检查人员名录库，确保本部门检查对象和执法人员应纳尽纳；综合考虑检查对象行业、领域、种类等，对检查对象进行分类标注，综合考虑部门内部职能划分、执法人员种类、执法专长等，对执法人员进行分类标注，实现对检查对象的精准抽取和对执法人员的精准匹配，提升监管效能。</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sz w:val="32"/>
          <w:szCs w:val="32"/>
        </w:rPr>
      </w:pPr>
      <w:r>
        <w:rPr>
          <w:rFonts w:hint="eastAsia" w:ascii="楷体" w:hAnsi="楷体" w:eastAsia="楷体" w:cs="楷体"/>
          <w:sz w:val="32"/>
          <w:szCs w:val="32"/>
        </w:rPr>
        <w:t>（二）深入推进"双随机、一公开"监管。</w:t>
      </w:r>
      <w:r>
        <w:rPr>
          <w:rFonts w:hint="eastAsia" w:ascii="仿宋" w:hAnsi="仿宋" w:eastAsia="仿宋" w:cs="仿宋"/>
          <w:sz w:val="32"/>
          <w:szCs w:val="32"/>
        </w:rPr>
        <w:t>健全部门内部联合随机抽查机制，确保内部抽查"能联尽联、应联必联"。</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sz w:val="32"/>
          <w:szCs w:val="32"/>
        </w:rPr>
      </w:pPr>
      <w:r>
        <w:rPr>
          <w:rFonts w:hint="eastAsia" w:ascii="楷体" w:hAnsi="楷体" w:eastAsia="楷体" w:cs="楷体"/>
          <w:sz w:val="32"/>
          <w:szCs w:val="32"/>
        </w:rPr>
        <w:t>（三）严格随机抽查检查工作程序。</w:t>
      </w:r>
      <w:r>
        <w:rPr>
          <w:rFonts w:hint="eastAsia" w:ascii="仿宋" w:hAnsi="仿宋" w:eastAsia="仿宋" w:cs="仿宋"/>
          <w:sz w:val="32"/>
          <w:szCs w:val="32"/>
        </w:rPr>
        <w:t>大力组织学习宣传《随机抽查工作规范一河北省地方标准》，加大督导检查力度，不断提高"双随机、一公开"监管规范化水平。按照本部门年度随机抽查工作计划认真组织实施每次抽查，每次抽查都要制定具体工作方案，抽查工作方案和抽查结果要向社会公开。对涉及专业性强的可以委托有资质的机构开展检验检测、财务审计、调查咨询等检查事项的检查，或依法采用相关机构作出的鉴定结论。需调整年度抽查计划的，应严格履行相关工作程序，调整后的年度抽查计划要及时向社会公开。</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b w:val="0"/>
          <w:bCs w:val="0"/>
          <w:sz w:val="32"/>
          <w:szCs w:val="32"/>
          <w:lang w:eastAsia="zh-CN"/>
        </w:rPr>
      </w:pPr>
      <w:r>
        <w:rPr>
          <w:rFonts w:hint="eastAsia" w:ascii="楷体" w:hAnsi="楷体" w:eastAsia="楷体" w:cs="楷体"/>
          <w:sz w:val="32"/>
          <w:szCs w:val="32"/>
        </w:rPr>
        <w:t>（四）提升"双随机、一公开"监管效能。</w:t>
      </w:r>
      <w:r>
        <w:rPr>
          <w:rFonts w:hint="eastAsia" w:ascii="仿宋" w:hAnsi="仿宋" w:eastAsia="仿宋" w:cs="仿宋"/>
          <w:b w:val="0"/>
          <w:bCs w:val="0"/>
          <w:sz w:val="32"/>
          <w:szCs w:val="32"/>
          <w:lang w:eastAsia="zh-CN"/>
        </w:rPr>
        <w:t>积极运用企业信用风险分类结果，根据企业不同信用风险等级实施差异化随机抽查，实现“双随机、一公开”监管与企业信用风险分级分类结合常态化、全覆盖，确保全年运用企业信用风险分类开展随机抽查次数占总抽查次数的比例不低于90%。要灵活开展实地检查，采取不定时间、不打招呼、不发通知、直奔现场或直接检查等方式，提高问题发现率。</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sz w:val="32"/>
          <w:szCs w:val="32"/>
        </w:rPr>
      </w:pPr>
      <w:r>
        <w:rPr>
          <w:rFonts w:hint="eastAsia" w:ascii="楷体" w:hAnsi="楷体" w:eastAsia="楷体" w:cs="楷体"/>
          <w:sz w:val="32"/>
          <w:szCs w:val="32"/>
        </w:rPr>
        <w:t>（五）加大宣传培训力度。</w:t>
      </w:r>
      <w:r>
        <w:rPr>
          <w:rFonts w:hint="eastAsia" w:ascii="仿宋" w:hAnsi="仿宋" w:eastAsia="仿宋" w:cs="仿宋"/>
          <w:sz w:val="32"/>
          <w:szCs w:val="32"/>
        </w:rPr>
        <w:t>进一步加大对随机抽查工作的宣传报道力度，通过各种途径，扩大企业、社会对双随机抽查监管方式的认知度，增强企业、社会对双随机抽查监管工作的理解和参与，营造浓厚的社会监督氛围。持续开展随机抽查工作培训，在各级年度培训计划中除了要加强对执法人员的业务培训和管理人员的系统使用培训外，还要重点强化随机抽查工作标准化、规范化培训，不断提高执法能力和监管水平，确保抽查工作规范、抽查结果认定统一。</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黑体" w:hAnsi="黑体" w:eastAsia="黑体" w:cs="黑体"/>
          <w:sz w:val="32"/>
          <w:szCs w:val="32"/>
        </w:rPr>
      </w:pPr>
      <w:r>
        <w:rPr>
          <w:rFonts w:hint="eastAsia" w:ascii="黑体" w:hAnsi="黑体" w:eastAsia="黑体" w:cs="黑体"/>
          <w:sz w:val="32"/>
          <w:szCs w:val="32"/>
        </w:rPr>
        <w:t>三、工作要求</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sz w:val="32"/>
          <w:szCs w:val="32"/>
        </w:rPr>
      </w:pPr>
      <w:r>
        <w:rPr>
          <w:rFonts w:hint="eastAsia" w:ascii="楷体" w:hAnsi="楷体" w:eastAsia="楷体" w:cs="楷体"/>
          <w:sz w:val="32"/>
          <w:szCs w:val="32"/>
        </w:rPr>
        <w:t>（一）认真履行职责，积极协调配合。</w:t>
      </w:r>
      <w:r>
        <w:rPr>
          <w:rFonts w:hint="eastAsia" w:ascii="仿宋" w:hAnsi="仿宋" w:eastAsia="仿宋" w:cs="仿宋"/>
          <w:sz w:val="32"/>
          <w:szCs w:val="32"/>
        </w:rPr>
        <w:t>认真落实主体责任，按照区政府和上级主管部门的工作要求，积极主动开展工作，并做好对检查人员工作的指导、督促工作。</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sz w:val="32"/>
          <w:szCs w:val="32"/>
        </w:rPr>
      </w:pPr>
      <w:r>
        <w:rPr>
          <w:rFonts w:hint="eastAsia" w:ascii="楷体" w:hAnsi="楷体" w:eastAsia="楷体" w:cs="楷体"/>
          <w:sz w:val="32"/>
          <w:szCs w:val="32"/>
        </w:rPr>
        <w:t>（二）强化跟踪问效，加大督查力度。</w:t>
      </w:r>
      <w:r>
        <w:rPr>
          <w:rFonts w:hint="eastAsia" w:ascii="仿宋" w:hAnsi="仿宋" w:eastAsia="仿宋" w:cs="仿宋"/>
          <w:sz w:val="32"/>
          <w:szCs w:val="32"/>
        </w:rPr>
        <w:t>探索建立健全"双随机、一公开"监管工作效果评估机制，不断提升"双随机、一公开"监管的震慑力和社会影响力。全面推行"事前懒政提醒、事中怠政督办、事后失职问</w:t>
      </w:r>
      <w:bookmarkStart w:id="0" w:name="_GoBack"/>
      <w:bookmarkEnd w:id="0"/>
      <w:r>
        <w:rPr>
          <w:rFonts w:hint="eastAsia" w:ascii="仿宋" w:hAnsi="仿宋" w:eastAsia="仿宋" w:cs="仿宋"/>
          <w:sz w:val="32"/>
          <w:szCs w:val="32"/>
        </w:rPr>
        <w:t>责"的三单工作机制，推进重点工作落实。采取适当方式，加强对本地区本部门"双随机、一公开"监管工作的督导检查，以查促发现问题、以查促整改落实。</w:t>
      </w: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仿宋" w:hAnsi="仿宋" w:eastAsia="仿宋" w:cs="仿宋"/>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隆尧县商务局</w:t>
      </w:r>
    </w:p>
    <w:p>
      <w:pPr>
        <w:keepNext w:val="0"/>
        <w:keepLines w:val="0"/>
        <w:pageBreakBefore w:val="0"/>
        <w:widowControl w:val="0"/>
        <w:kinsoku/>
        <w:wordWrap/>
        <w:overflowPunct/>
        <w:topLinePunct w:val="0"/>
        <w:autoSpaceDE/>
        <w:autoSpaceDN/>
        <w:bidi w:val="0"/>
        <w:adjustRightInd/>
        <w:snapToGrid/>
        <w:spacing w:line="600" w:lineRule="exact"/>
        <w:jc w:val="right"/>
        <w:textAlignment w:val="auto"/>
        <w:rPr>
          <w:rFonts w:hint="default" w:ascii="仿宋" w:hAnsi="仿宋" w:eastAsia="仿宋" w:cs="仿宋"/>
          <w:sz w:val="28"/>
          <w:szCs w:val="36"/>
          <w:lang w:val="en-US" w:eastAsia="zh-CN"/>
        </w:rPr>
      </w:pPr>
      <w:r>
        <w:rPr>
          <w:rFonts w:hint="eastAsia" w:ascii="仿宋" w:hAnsi="仿宋" w:eastAsia="仿宋" w:cs="仿宋"/>
          <w:sz w:val="32"/>
          <w:szCs w:val="32"/>
          <w:lang w:val="en-US" w:eastAsia="zh-CN"/>
        </w:rPr>
        <w:t xml:space="preserve">2023年1月18日        </w:t>
      </w:r>
      <w:r>
        <w:rPr>
          <w:rFonts w:hint="eastAsia" w:ascii="仿宋" w:hAnsi="仿宋" w:eastAsia="仿宋" w:cs="仿宋"/>
          <w:sz w:val="28"/>
          <w:szCs w:val="36"/>
          <w:lang w:val="en-US" w:eastAsia="zh-CN"/>
        </w:rPr>
        <w:t xml:space="preserve">                               </w:t>
      </w:r>
    </w:p>
    <w:sectPr>
      <w:pgSz w:w="11906" w:h="16838"/>
      <w:pgMar w:top="1701" w:right="1474" w:bottom="1474" w:left="1474"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仿宋_GB2312">
    <w:altName w:val="仿宋"/>
    <w:panose1 w:val="00000000000000000000"/>
    <w:charset w:val="00"/>
    <w:family w:val="auto"/>
    <w:pitch w:val="default"/>
    <w:sig w:usb0="00000000" w:usb1="00000000" w:usb2="00000000" w:usb3="00000000" w:csb0="00000000" w:csb1="00000000"/>
  </w:font>
  <w:font w:name="仿宋_GB2312">
    <w:altName w:val="仿宋"/>
    <w:panose1 w:val="02010609030101010101"/>
    <w:charset w:val="86"/>
    <w:family w:val="modern"/>
    <w:pitch w:val="default"/>
    <w:sig w:usb0="00000000" w:usb1="0000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M1NGZmYWNmZDcwZGIyNjNmYTI4M2RkNWQ4N2NlMDgifQ=="/>
  </w:docVars>
  <w:rsids>
    <w:rsidRoot w:val="104C2BEC"/>
    <w:rsid w:val="104C2BEC"/>
    <w:rsid w:val="703F45D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1819</Words>
  <Characters>1833</Characters>
  <Lines>0</Lines>
  <Paragraphs>0</Paragraphs>
  <TotalTime>10</TotalTime>
  <ScaleCrop>false</ScaleCrop>
  <LinksUpToDate>false</LinksUpToDate>
  <CharactersWithSpaces>1916</CharactersWithSpaces>
  <Application>WPS Office_11.1.0.13703_F1E327BC-269C-435d-A152-05C5408002CA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2023-03-22T06:07:00Z</dcterms:created>
  <dc:creator>心向往新期待</dc:creator>
  <cp:lastModifiedBy>心向往新期待</cp:lastModifiedBy>
  <dcterms:modified xsi:type="dcterms:W3CDTF">2023-03-22T06:50:57Z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CE4A3E948555417E997AE87B05518B1E</vt:lpwstr>
  </property>
</Properties>
</file>