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58D1" w:rsidRDefault="00B058D1">
      <w:pPr>
        <w:widowControl/>
        <w:spacing w:line="600" w:lineRule="exact"/>
        <w:jc w:val="center"/>
        <w:rPr>
          <w:rFonts w:ascii="宋体-PUA" w:eastAsia="宋体-PUA" w:hAnsi="宋体-PUA" w:cs="宋体-PUA"/>
          <w:spacing w:val="30"/>
          <w:kern w:val="0"/>
          <w:sz w:val="44"/>
          <w:szCs w:val="44"/>
        </w:rPr>
      </w:pPr>
    </w:p>
    <w:p w:rsidR="00B058D1" w:rsidRDefault="00B058D1">
      <w:pPr>
        <w:widowControl/>
        <w:spacing w:line="600" w:lineRule="exact"/>
        <w:jc w:val="center"/>
        <w:rPr>
          <w:rFonts w:ascii="宋体-PUA" w:eastAsia="宋体-PUA" w:hAnsi="宋体-PUA" w:cs="宋体-PUA"/>
          <w:spacing w:val="30"/>
          <w:kern w:val="0"/>
          <w:sz w:val="44"/>
          <w:szCs w:val="44"/>
        </w:rPr>
      </w:pPr>
    </w:p>
    <w:p w:rsidR="00B058D1" w:rsidRDefault="00B058D1">
      <w:pPr>
        <w:widowControl/>
        <w:spacing w:line="600" w:lineRule="exact"/>
        <w:jc w:val="center"/>
        <w:rPr>
          <w:rFonts w:ascii="宋体-PUA" w:eastAsia="宋体-PUA" w:hAnsi="宋体-PUA" w:cs="宋体-PUA"/>
          <w:spacing w:val="30"/>
          <w:kern w:val="0"/>
          <w:sz w:val="44"/>
          <w:szCs w:val="44"/>
        </w:rPr>
      </w:pPr>
    </w:p>
    <w:p w:rsidR="00B058D1" w:rsidRDefault="00B058D1">
      <w:pPr>
        <w:widowControl/>
        <w:spacing w:line="600" w:lineRule="exact"/>
        <w:jc w:val="center"/>
        <w:rPr>
          <w:rFonts w:ascii="宋体-PUA" w:eastAsia="宋体-PUA" w:hAnsi="宋体-PUA" w:cs="宋体-PUA"/>
          <w:spacing w:val="30"/>
          <w:kern w:val="0"/>
          <w:sz w:val="44"/>
          <w:szCs w:val="44"/>
        </w:rPr>
      </w:pPr>
    </w:p>
    <w:p w:rsidR="00B058D1" w:rsidRDefault="00B058D1">
      <w:pPr>
        <w:widowControl/>
        <w:spacing w:line="600" w:lineRule="exact"/>
        <w:jc w:val="center"/>
        <w:rPr>
          <w:rFonts w:asciiTheme="majorEastAsia" w:eastAsiaTheme="majorEastAsia" w:hAnsiTheme="majorEastAsia" w:cs="仿宋_GB2312"/>
          <w:color w:val="444444"/>
          <w:kern w:val="0"/>
          <w:sz w:val="44"/>
          <w:szCs w:val="44"/>
        </w:rPr>
      </w:pPr>
      <w:bookmarkStart w:id="0" w:name="_GoBack"/>
      <w:bookmarkEnd w:id="0"/>
    </w:p>
    <w:p w:rsidR="00B058D1" w:rsidRDefault="009446B8">
      <w:pPr>
        <w:widowControl/>
        <w:spacing w:line="600" w:lineRule="exact"/>
        <w:jc w:val="center"/>
        <w:rPr>
          <w:rFonts w:asciiTheme="majorEastAsia" w:eastAsiaTheme="majorEastAsia" w:hAnsiTheme="majorEastAsia" w:cs="仿宋_GB2312"/>
          <w:color w:val="444444"/>
          <w:kern w:val="0"/>
          <w:sz w:val="44"/>
          <w:szCs w:val="44"/>
        </w:rPr>
      </w:pPr>
      <w:r>
        <w:rPr>
          <w:rFonts w:asciiTheme="majorEastAsia" w:eastAsiaTheme="majorEastAsia" w:hAnsiTheme="majorEastAsia" w:cs="仿宋_GB2312" w:hint="eastAsia"/>
          <w:color w:val="444444"/>
          <w:kern w:val="0"/>
          <w:sz w:val="44"/>
          <w:szCs w:val="44"/>
        </w:rPr>
        <w:t>隆尧县发展和改革局</w:t>
      </w:r>
    </w:p>
    <w:p w:rsidR="00B058D1" w:rsidRDefault="009446B8">
      <w:pPr>
        <w:widowControl/>
        <w:spacing w:line="600" w:lineRule="exact"/>
        <w:jc w:val="center"/>
        <w:rPr>
          <w:rFonts w:asciiTheme="majorEastAsia" w:eastAsiaTheme="majorEastAsia" w:hAnsiTheme="majorEastAsia" w:cs="仿宋_GB2312"/>
          <w:color w:val="444444"/>
          <w:kern w:val="0"/>
          <w:sz w:val="44"/>
          <w:szCs w:val="44"/>
        </w:rPr>
      </w:pPr>
      <w:r>
        <w:rPr>
          <w:rFonts w:asciiTheme="majorEastAsia" w:eastAsiaTheme="majorEastAsia" w:hAnsiTheme="majorEastAsia" w:cs="仿宋_GB2312" w:hint="eastAsia"/>
          <w:color w:val="444444"/>
          <w:kern w:val="0"/>
          <w:sz w:val="44"/>
          <w:szCs w:val="44"/>
        </w:rPr>
        <w:t>2023</w:t>
      </w:r>
      <w:r>
        <w:rPr>
          <w:rFonts w:asciiTheme="majorEastAsia" w:eastAsiaTheme="majorEastAsia" w:hAnsiTheme="majorEastAsia" w:cs="仿宋_GB2312" w:hint="eastAsia"/>
          <w:color w:val="444444"/>
          <w:kern w:val="0"/>
          <w:sz w:val="44"/>
          <w:szCs w:val="44"/>
        </w:rPr>
        <w:t>年度“双随机、一公开”随机</w:t>
      </w:r>
    </w:p>
    <w:p w:rsidR="00B058D1" w:rsidRDefault="009446B8">
      <w:pPr>
        <w:widowControl/>
        <w:spacing w:line="600" w:lineRule="exact"/>
        <w:jc w:val="center"/>
        <w:rPr>
          <w:rFonts w:asciiTheme="majorEastAsia" w:eastAsiaTheme="majorEastAsia" w:hAnsiTheme="majorEastAsia" w:cs="仿宋_GB2312"/>
          <w:color w:val="444444"/>
          <w:kern w:val="0"/>
          <w:sz w:val="44"/>
          <w:szCs w:val="44"/>
        </w:rPr>
      </w:pPr>
      <w:r>
        <w:rPr>
          <w:rFonts w:asciiTheme="majorEastAsia" w:eastAsiaTheme="majorEastAsia" w:hAnsiTheme="majorEastAsia" w:cs="仿宋_GB2312" w:hint="eastAsia"/>
          <w:color w:val="444444"/>
          <w:kern w:val="0"/>
          <w:sz w:val="44"/>
          <w:szCs w:val="44"/>
        </w:rPr>
        <w:t>抽查工作实施方案</w:t>
      </w:r>
    </w:p>
    <w:p w:rsidR="00B058D1" w:rsidRDefault="009446B8">
      <w:pPr>
        <w:widowControl/>
        <w:spacing w:line="600" w:lineRule="exact"/>
        <w:jc w:val="left"/>
        <w:rPr>
          <w:rFonts w:ascii="仿宋" w:eastAsia="仿宋" w:hAnsi="仿宋" w:cs="仿宋_GB2312"/>
          <w:color w:val="444444"/>
          <w:kern w:val="0"/>
          <w:sz w:val="32"/>
          <w:szCs w:val="32"/>
        </w:rPr>
      </w:pPr>
      <w:r>
        <w:rPr>
          <w:rFonts w:ascii="宋体-PUA" w:eastAsia="宋体-PUA" w:hAnsi="宋体-PUA" w:cs="宋体-PUA" w:hint="eastAsia"/>
          <w:spacing w:val="30"/>
          <w:kern w:val="0"/>
          <w:sz w:val="44"/>
          <w:szCs w:val="44"/>
        </w:rPr>
        <w:t xml:space="preserve">  </w:t>
      </w:r>
      <w:r>
        <w:rPr>
          <w:rFonts w:ascii="仿宋" w:eastAsia="仿宋" w:hAnsi="仿宋" w:cs="仿宋_GB2312" w:hint="eastAsia"/>
          <w:color w:val="444444"/>
          <w:kern w:val="0"/>
          <w:sz w:val="32"/>
          <w:szCs w:val="32"/>
        </w:rPr>
        <w:t>按照县“双随机、一公开”监管工作领导小组通知精神和局领导指示要求，为着力提升我局“双随机、一公开”监管规范化、标准化水平，依据运隆尧县发展和改革局《“双随机、一公开”抽查事项清单》，结合本局工作实际，制定了隆尧县发展和改革局</w:t>
      </w:r>
      <w:r>
        <w:rPr>
          <w:rFonts w:ascii="仿宋" w:eastAsia="仿宋" w:hAnsi="仿宋" w:cs="仿宋_GB2312" w:hint="eastAsia"/>
          <w:color w:val="444444"/>
          <w:kern w:val="0"/>
          <w:sz w:val="32"/>
          <w:szCs w:val="32"/>
        </w:rPr>
        <w:t>2023</w:t>
      </w:r>
      <w:r>
        <w:rPr>
          <w:rFonts w:ascii="仿宋" w:eastAsia="仿宋" w:hAnsi="仿宋" w:cs="仿宋_GB2312" w:hint="eastAsia"/>
          <w:color w:val="444444"/>
          <w:kern w:val="0"/>
          <w:sz w:val="32"/>
          <w:szCs w:val="32"/>
        </w:rPr>
        <w:t>年度“双随机、一公开”抽查工作实施方案。</w:t>
      </w:r>
    </w:p>
    <w:p w:rsidR="00B058D1" w:rsidRDefault="009446B8">
      <w:pPr>
        <w:widowControl/>
        <w:numPr>
          <w:ilvl w:val="0"/>
          <w:numId w:val="1"/>
        </w:numPr>
        <w:spacing w:line="600" w:lineRule="exact"/>
        <w:ind w:firstLineChars="200" w:firstLine="640"/>
        <w:jc w:val="left"/>
        <w:rPr>
          <w:rFonts w:ascii="仿宋" w:eastAsia="仿宋" w:hAnsi="仿宋" w:cs="黑体"/>
          <w:color w:val="444444"/>
          <w:kern w:val="0"/>
          <w:sz w:val="32"/>
          <w:szCs w:val="32"/>
        </w:rPr>
      </w:pPr>
      <w:r>
        <w:rPr>
          <w:rFonts w:ascii="仿宋" w:eastAsia="仿宋" w:hAnsi="仿宋" w:cs="黑体" w:hint="eastAsia"/>
          <w:color w:val="444444"/>
          <w:kern w:val="0"/>
          <w:sz w:val="32"/>
          <w:szCs w:val="32"/>
        </w:rPr>
        <w:t>抽查时间</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2023</w:t>
      </w:r>
      <w:r>
        <w:rPr>
          <w:rFonts w:ascii="仿宋" w:eastAsia="仿宋" w:hAnsi="仿宋" w:cs="仿宋_GB2312" w:hint="eastAsia"/>
          <w:color w:val="444444"/>
          <w:kern w:val="0"/>
          <w:sz w:val="32"/>
          <w:szCs w:val="32"/>
        </w:rPr>
        <w:t>年</w:t>
      </w:r>
      <w:r>
        <w:rPr>
          <w:rFonts w:ascii="仿宋" w:eastAsia="仿宋" w:hAnsi="仿宋" w:cs="仿宋_GB2312" w:hint="eastAsia"/>
          <w:color w:val="444444"/>
          <w:kern w:val="0"/>
          <w:sz w:val="32"/>
          <w:szCs w:val="32"/>
        </w:rPr>
        <w:t>8</w:t>
      </w:r>
      <w:r>
        <w:rPr>
          <w:rFonts w:ascii="仿宋" w:eastAsia="仿宋" w:hAnsi="仿宋" w:cs="仿宋_GB2312" w:hint="eastAsia"/>
          <w:color w:val="444444"/>
          <w:kern w:val="0"/>
          <w:sz w:val="32"/>
          <w:szCs w:val="32"/>
        </w:rPr>
        <w:t>月</w:t>
      </w:r>
      <w:r>
        <w:rPr>
          <w:rFonts w:ascii="仿宋" w:eastAsia="仿宋" w:hAnsi="仿宋" w:cs="仿宋_GB2312" w:hint="eastAsia"/>
          <w:color w:val="444444"/>
          <w:kern w:val="0"/>
          <w:sz w:val="32"/>
          <w:szCs w:val="32"/>
        </w:rPr>
        <w:t>1</w:t>
      </w:r>
      <w:r>
        <w:rPr>
          <w:rFonts w:ascii="仿宋" w:eastAsia="仿宋" w:hAnsi="仿宋" w:cs="仿宋_GB2312" w:hint="eastAsia"/>
          <w:color w:val="444444"/>
          <w:kern w:val="0"/>
          <w:sz w:val="32"/>
          <w:szCs w:val="32"/>
        </w:rPr>
        <w:t>号至</w:t>
      </w:r>
      <w:r>
        <w:rPr>
          <w:rFonts w:ascii="仿宋" w:eastAsia="仿宋" w:hAnsi="仿宋" w:cs="仿宋_GB2312" w:hint="eastAsia"/>
          <w:color w:val="444444"/>
          <w:kern w:val="0"/>
          <w:sz w:val="32"/>
          <w:szCs w:val="32"/>
        </w:rPr>
        <w:t>2023</w:t>
      </w:r>
      <w:r>
        <w:rPr>
          <w:rFonts w:ascii="仿宋" w:eastAsia="仿宋" w:hAnsi="仿宋" w:cs="仿宋_GB2312" w:hint="eastAsia"/>
          <w:color w:val="444444"/>
          <w:kern w:val="0"/>
          <w:sz w:val="32"/>
          <w:szCs w:val="32"/>
        </w:rPr>
        <w:t>年</w:t>
      </w:r>
      <w:r>
        <w:rPr>
          <w:rFonts w:ascii="仿宋" w:eastAsia="仿宋" w:hAnsi="仿宋" w:cs="仿宋_GB2312" w:hint="eastAsia"/>
          <w:color w:val="444444"/>
          <w:kern w:val="0"/>
          <w:sz w:val="32"/>
          <w:szCs w:val="32"/>
        </w:rPr>
        <w:t>9</w:t>
      </w:r>
      <w:r>
        <w:rPr>
          <w:rFonts w:ascii="仿宋" w:eastAsia="仿宋" w:hAnsi="仿宋" w:cs="仿宋_GB2312" w:hint="eastAsia"/>
          <w:color w:val="444444"/>
          <w:kern w:val="0"/>
          <w:sz w:val="32"/>
          <w:szCs w:val="32"/>
        </w:rPr>
        <w:t>月</w:t>
      </w:r>
      <w:r>
        <w:rPr>
          <w:rFonts w:ascii="仿宋" w:eastAsia="仿宋" w:hAnsi="仿宋" w:cs="仿宋_GB2312" w:hint="eastAsia"/>
          <w:color w:val="444444"/>
          <w:kern w:val="0"/>
          <w:sz w:val="32"/>
          <w:szCs w:val="32"/>
        </w:rPr>
        <w:t>28</w:t>
      </w:r>
      <w:r>
        <w:rPr>
          <w:rFonts w:ascii="仿宋" w:eastAsia="仿宋" w:hAnsi="仿宋" w:cs="仿宋_GB2312" w:hint="eastAsia"/>
          <w:color w:val="444444"/>
          <w:kern w:val="0"/>
          <w:sz w:val="32"/>
          <w:szCs w:val="32"/>
        </w:rPr>
        <w:t>号</w:t>
      </w:r>
    </w:p>
    <w:p w:rsidR="00B058D1" w:rsidRDefault="009446B8">
      <w:pPr>
        <w:widowControl/>
        <w:spacing w:line="600" w:lineRule="exact"/>
        <w:ind w:firstLineChars="200" w:firstLine="640"/>
        <w:jc w:val="left"/>
        <w:rPr>
          <w:rFonts w:ascii="仿宋" w:eastAsia="仿宋" w:hAnsi="仿宋" w:cs="黑体"/>
          <w:color w:val="444444"/>
          <w:kern w:val="0"/>
          <w:sz w:val="32"/>
          <w:szCs w:val="32"/>
        </w:rPr>
      </w:pPr>
      <w:r>
        <w:rPr>
          <w:rFonts w:ascii="仿宋" w:eastAsia="仿宋" w:hAnsi="仿宋" w:cs="黑体" w:hint="eastAsia"/>
          <w:color w:val="444444"/>
          <w:kern w:val="0"/>
          <w:sz w:val="32"/>
          <w:szCs w:val="32"/>
        </w:rPr>
        <w:t>二、建立随机抽查事项计划</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（一）电力供应与使用</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（二）是否符合《电力法》《河北省电力条例》相关要求</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（三）</w:t>
      </w:r>
      <w:r>
        <w:rPr>
          <w:rFonts w:ascii="仿宋" w:eastAsia="仿宋" w:hAnsi="仿宋" w:cs="仿宋_GB2312" w:hint="eastAsia"/>
          <w:color w:val="444444"/>
          <w:kern w:val="0"/>
          <w:sz w:val="32"/>
          <w:szCs w:val="32"/>
        </w:rPr>
        <w:t>2023</w:t>
      </w:r>
      <w:r>
        <w:rPr>
          <w:rFonts w:ascii="仿宋" w:eastAsia="仿宋" w:hAnsi="仿宋" w:cs="仿宋_GB2312" w:hint="eastAsia"/>
          <w:color w:val="444444"/>
          <w:kern w:val="0"/>
          <w:sz w:val="32"/>
          <w:szCs w:val="32"/>
        </w:rPr>
        <w:t>年隆尧县发展和改革局环境保护和资源综合利用股内部联合抽查</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lastRenderedPageBreak/>
        <w:t>（四）抽查方式及抽查程序：根据上级工作部署、投诉举报及领导指示等实际需要组织检查，通常采用抽查、暗查、交叉检查等方式。通常按以下程序进行：选择检查对象，下发通知，听取介绍，查阅台账，实地勘察，面谈询问，情况汇总，反馈意见，通报检查结果，对需要协调解决的事项提出建议意见。</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黑体" w:hint="eastAsia"/>
          <w:color w:val="444444"/>
          <w:kern w:val="0"/>
          <w:sz w:val="32"/>
          <w:szCs w:val="32"/>
        </w:rPr>
        <w:t>三、建立“双随机”抽查机制</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对“双随机”抽查做到全程留痕，实现责任可追溯。对社会关注度高的，要重点抽查。</w:t>
      </w:r>
    </w:p>
    <w:p w:rsidR="00B058D1" w:rsidRDefault="009446B8">
      <w:pPr>
        <w:widowControl/>
        <w:spacing w:line="600" w:lineRule="exact"/>
        <w:ind w:firstLineChars="200" w:firstLine="640"/>
        <w:jc w:val="left"/>
        <w:rPr>
          <w:rFonts w:ascii="仿宋" w:eastAsia="仿宋" w:hAnsi="仿宋" w:cs="黑体"/>
          <w:color w:val="444444"/>
          <w:kern w:val="0"/>
          <w:sz w:val="32"/>
          <w:szCs w:val="32"/>
        </w:rPr>
      </w:pPr>
      <w:r>
        <w:rPr>
          <w:rFonts w:ascii="仿宋" w:eastAsia="仿宋" w:hAnsi="仿宋" w:cs="黑体" w:hint="eastAsia"/>
          <w:color w:val="444444"/>
          <w:kern w:val="0"/>
          <w:sz w:val="32"/>
          <w:szCs w:val="32"/>
        </w:rPr>
        <w:t>四、抽查结果处理</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对抽查中发现的违法违规行为，分别对相对人员进行以下处置：责令改正，依法予以处罚；对情节严重的行政机关有关责任人给予行政纪律处分或依法追究法律责任。</w:t>
      </w:r>
    </w:p>
    <w:p w:rsidR="00B058D1" w:rsidRDefault="009446B8">
      <w:pPr>
        <w:widowControl/>
        <w:spacing w:line="600" w:lineRule="exact"/>
        <w:ind w:firstLineChars="200" w:firstLine="640"/>
        <w:jc w:val="left"/>
        <w:rPr>
          <w:rFonts w:ascii="仿宋" w:eastAsia="仿宋" w:hAnsi="仿宋" w:cs="黑体"/>
          <w:color w:val="444444"/>
          <w:kern w:val="0"/>
          <w:sz w:val="32"/>
          <w:szCs w:val="32"/>
        </w:rPr>
      </w:pPr>
      <w:r>
        <w:rPr>
          <w:rFonts w:ascii="仿宋" w:eastAsia="仿宋" w:hAnsi="仿宋" w:cs="黑体" w:hint="eastAsia"/>
          <w:color w:val="444444"/>
          <w:kern w:val="0"/>
          <w:sz w:val="32"/>
          <w:szCs w:val="32"/>
        </w:rPr>
        <w:t>五、保障措施</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一）加强组织领导。建立强化事中事后监管工作领导小组，由局主要领导任组长，分管领导任副组长，相关业务科室主要人员为成员。强化事中事后监管工作的组织领导和统筹协调，切实把加强事中事后监管摆上重要议事日程，制定有针对性的具体实施计划，采取切实有效措施，不断增强工作的积极性、主动性和创造性，推动监管工作逐步取得实效。</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（二）落实责任分工</w:t>
      </w:r>
      <w:r>
        <w:rPr>
          <w:rFonts w:ascii="仿宋" w:eastAsia="仿宋" w:hAnsi="仿宋" w:cs="仿宋_GB2312" w:hint="eastAsia"/>
          <w:color w:val="444444"/>
          <w:kern w:val="0"/>
          <w:sz w:val="32"/>
          <w:szCs w:val="32"/>
        </w:rPr>
        <w:t>。重点根据我局责任清单中规定的事中事后监管事项和制度，明确牵头责任科室和配合科室，制定工作</w:t>
      </w:r>
      <w:r>
        <w:rPr>
          <w:rFonts w:ascii="仿宋" w:eastAsia="仿宋" w:hAnsi="仿宋" w:cs="仿宋_GB2312" w:hint="eastAsia"/>
          <w:color w:val="444444"/>
          <w:kern w:val="0"/>
          <w:sz w:val="32"/>
          <w:szCs w:val="32"/>
        </w:rPr>
        <w:lastRenderedPageBreak/>
        <w:t>计划，细化工作措施，落实经办人员，进一步发挥整体合力，切实有效保障事中事后监管各项工作顺利实施。</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三）强化协调配合。重点明确事中事后监管事项的操作细则，制定统一规范的监管审批流程，建立信息互通机制，及时将我局在随机抽查事中事后监管过程中形成的登记、执法、奖惩和服务等信息数据录入到监管工作平台，为后续事中事后监管提供信息服务。积极创新工作方式方法，建立健全跨部门协调机制，确保顺利有效开展监管。</w:t>
      </w:r>
    </w:p>
    <w:p w:rsidR="00B058D1" w:rsidRDefault="009446B8">
      <w:pPr>
        <w:widowControl/>
        <w:spacing w:line="600" w:lineRule="exact"/>
        <w:ind w:firstLineChars="200" w:firstLine="6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四）严格抽查纪律。在对被抽取的市场主体实施检查时，不得妨碍市场主体正常的生产经营活动，不得索取或收受市场主体的财物，不得谋取其他利益。对抽查监管工作中失职渎职违纪的，依纪严肃处理；对情节严重涉嫌违法犯罪的移送司法机关依法处理。</w:t>
      </w:r>
    </w:p>
    <w:p w:rsidR="00B058D1" w:rsidRDefault="00B058D1">
      <w:pPr>
        <w:widowControl/>
        <w:spacing w:line="600" w:lineRule="exact"/>
        <w:ind w:firstLineChars="200" w:firstLine="640"/>
        <w:jc w:val="left"/>
        <w:rPr>
          <w:rFonts w:ascii="仿宋" w:eastAsia="仿宋" w:hAnsi="仿宋" w:cs="仿宋_GB2312"/>
          <w:color w:val="444444"/>
          <w:kern w:val="0"/>
          <w:sz w:val="32"/>
          <w:szCs w:val="32"/>
        </w:rPr>
      </w:pPr>
    </w:p>
    <w:p w:rsidR="00B058D1" w:rsidRDefault="00B058D1">
      <w:pPr>
        <w:widowControl/>
        <w:spacing w:line="600" w:lineRule="exact"/>
        <w:ind w:firstLineChars="200" w:firstLine="640"/>
        <w:jc w:val="left"/>
        <w:rPr>
          <w:rFonts w:ascii="仿宋" w:eastAsia="仿宋" w:hAnsi="仿宋" w:cs="仿宋_GB2312"/>
          <w:color w:val="444444"/>
          <w:kern w:val="0"/>
          <w:sz w:val="32"/>
          <w:szCs w:val="32"/>
        </w:rPr>
      </w:pPr>
    </w:p>
    <w:p w:rsidR="00B058D1" w:rsidRDefault="00B058D1">
      <w:pPr>
        <w:widowControl/>
        <w:spacing w:line="600" w:lineRule="exact"/>
        <w:ind w:firstLineChars="200" w:firstLine="640"/>
        <w:jc w:val="left"/>
        <w:rPr>
          <w:rFonts w:ascii="仿宋" w:eastAsia="仿宋" w:hAnsi="仿宋" w:cs="仿宋_GB2312"/>
          <w:color w:val="444444"/>
          <w:kern w:val="0"/>
          <w:sz w:val="32"/>
          <w:szCs w:val="32"/>
        </w:rPr>
      </w:pPr>
    </w:p>
    <w:p w:rsidR="00B058D1" w:rsidRDefault="009446B8">
      <w:pPr>
        <w:widowControl/>
        <w:spacing w:line="600" w:lineRule="exact"/>
        <w:ind w:firstLineChars="1700" w:firstLine="544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隆尧县发展和改革局</w:t>
      </w:r>
    </w:p>
    <w:p w:rsidR="00B058D1" w:rsidRDefault="009446B8">
      <w:pPr>
        <w:widowControl/>
        <w:spacing w:line="600" w:lineRule="exact"/>
        <w:ind w:firstLineChars="1800" w:firstLine="576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2022</w:t>
      </w:r>
      <w:r>
        <w:rPr>
          <w:rFonts w:ascii="仿宋" w:eastAsia="仿宋" w:hAnsi="仿宋" w:cs="仿宋_GB2312" w:hint="eastAsia"/>
          <w:color w:val="444444"/>
          <w:kern w:val="0"/>
          <w:sz w:val="32"/>
          <w:szCs w:val="32"/>
        </w:rPr>
        <w:t>年</w:t>
      </w:r>
      <w:r>
        <w:rPr>
          <w:rFonts w:ascii="仿宋" w:eastAsia="仿宋" w:hAnsi="仿宋" w:cs="仿宋_GB2312" w:hint="eastAsia"/>
          <w:color w:val="444444"/>
          <w:kern w:val="0"/>
          <w:sz w:val="32"/>
          <w:szCs w:val="32"/>
        </w:rPr>
        <w:t>12</w:t>
      </w:r>
      <w:r>
        <w:rPr>
          <w:rFonts w:ascii="仿宋" w:eastAsia="仿宋" w:hAnsi="仿宋" w:cs="仿宋_GB2312" w:hint="eastAsia"/>
          <w:color w:val="444444"/>
          <w:kern w:val="0"/>
          <w:sz w:val="32"/>
          <w:szCs w:val="32"/>
        </w:rPr>
        <w:t>月</w:t>
      </w:r>
      <w:r>
        <w:rPr>
          <w:rFonts w:ascii="仿宋" w:eastAsia="仿宋" w:hAnsi="仿宋" w:cs="仿宋_GB2312" w:hint="eastAsia"/>
          <w:color w:val="444444"/>
          <w:kern w:val="0"/>
          <w:sz w:val="32"/>
          <w:szCs w:val="32"/>
        </w:rPr>
        <w:t>2</w:t>
      </w:r>
      <w:r>
        <w:rPr>
          <w:rFonts w:ascii="仿宋" w:eastAsia="仿宋" w:hAnsi="仿宋" w:cs="仿宋_GB2312" w:hint="eastAsia"/>
          <w:color w:val="444444"/>
          <w:kern w:val="0"/>
          <w:sz w:val="32"/>
          <w:szCs w:val="32"/>
        </w:rPr>
        <w:t>6</w:t>
      </w:r>
      <w:r>
        <w:rPr>
          <w:rFonts w:ascii="仿宋" w:eastAsia="仿宋" w:hAnsi="仿宋" w:cs="仿宋_GB2312" w:hint="eastAsia"/>
          <w:color w:val="444444"/>
          <w:kern w:val="0"/>
          <w:sz w:val="32"/>
          <w:szCs w:val="32"/>
        </w:rPr>
        <w:t>日</w:t>
      </w:r>
    </w:p>
    <w:p w:rsidR="00B058D1" w:rsidRDefault="00B058D1">
      <w:pPr>
        <w:spacing w:line="600" w:lineRule="exact"/>
        <w:rPr>
          <w:rFonts w:ascii="仿宋_GB2312" w:eastAsia="仿宋_GB2312" w:hAnsi="仿宋_GB2312" w:cs="仿宋_GB2312"/>
          <w:sz w:val="32"/>
          <w:szCs w:val="32"/>
        </w:rPr>
      </w:pPr>
    </w:p>
    <w:sectPr w:rsidR="00B058D1" w:rsidSect="00B058D1">
      <w:pgSz w:w="11906" w:h="16838"/>
      <w:pgMar w:top="2041" w:right="1474" w:bottom="2041" w:left="1474"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宋体-PUA">
    <w:altName w:val="微软雅黑"/>
    <w:charset w:val="86"/>
    <w:family w:val="auto"/>
    <w:pitch w:val="default"/>
    <w:sig w:usb0="00000000" w:usb1="00000000" w:usb2="00000000" w:usb3="00000000" w:csb0="00040000" w:csb1="00000000"/>
  </w:font>
  <w:font w:name="仿宋_GB2312">
    <w:altName w:val="仿宋"/>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E5FBA8"/>
    <w:multiLevelType w:val="singleLevel"/>
    <w:tmpl w:val="53E5FBA8"/>
    <w:lvl w:ilvl="0">
      <w:start w:val="1"/>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docVars>
    <w:docVar w:name="commondata" w:val="eyJoZGlkIjoiZmVlMjNhZmI2OTU1ZTEzOGUyNWNjNjlkMDI1OTQyZTYifQ=="/>
  </w:docVars>
  <w:rsids>
    <w:rsidRoot w:val="00315D07"/>
    <w:rsid w:val="00065112"/>
    <w:rsid w:val="00067CC5"/>
    <w:rsid w:val="00077666"/>
    <w:rsid w:val="0008726F"/>
    <w:rsid w:val="00133FB2"/>
    <w:rsid w:val="00155070"/>
    <w:rsid w:val="00166183"/>
    <w:rsid w:val="0017116B"/>
    <w:rsid w:val="001A7099"/>
    <w:rsid w:val="001C50B5"/>
    <w:rsid w:val="002439C5"/>
    <w:rsid w:val="00315D07"/>
    <w:rsid w:val="00360C6A"/>
    <w:rsid w:val="00377B9A"/>
    <w:rsid w:val="0042098A"/>
    <w:rsid w:val="0042576D"/>
    <w:rsid w:val="004327C4"/>
    <w:rsid w:val="004A1342"/>
    <w:rsid w:val="004E1499"/>
    <w:rsid w:val="005418D7"/>
    <w:rsid w:val="00600398"/>
    <w:rsid w:val="00630375"/>
    <w:rsid w:val="006626FA"/>
    <w:rsid w:val="0069698F"/>
    <w:rsid w:val="007B4046"/>
    <w:rsid w:val="007C6571"/>
    <w:rsid w:val="00860DBD"/>
    <w:rsid w:val="00875D29"/>
    <w:rsid w:val="008800A8"/>
    <w:rsid w:val="00940918"/>
    <w:rsid w:val="009446B8"/>
    <w:rsid w:val="009E2AF1"/>
    <w:rsid w:val="009F3A0A"/>
    <w:rsid w:val="00A858D8"/>
    <w:rsid w:val="00AD6316"/>
    <w:rsid w:val="00B058D1"/>
    <w:rsid w:val="00B10F1F"/>
    <w:rsid w:val="00C11985"/>
    <w:rsid w:val="00C57032"/>
    <w:rsid w:val="00CA5768"/>
    <w:rsid w:val="00EE13A3"/>
    <w:rsid w:val="00F70131"/>
    <w:rsid w:val="00F82FE4"/>
    <w:rsid w:val="080D7089"/>
    <w:rsid w:val="17E80757"/>
    <w:rsid w:val="26D55DB1"/>
    <w:rsid w:val="2BA6580B"/>
    <w:rsid w:val="3E844E3A"/>
    <w:rsid w:val="4AC96DA6"/>
    <w:rsid w:val="7FA82C1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58D1"/>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058D1"/>
    <w:pPr>
      <w:widowControl/>
      <w:spacing w:before="100" w:beforeAutospacing="1" w:after="100" w:afterAutospacing="1"/>
      <w:jc w:val="left"/>
    </w:pPr>
    <w:rPr>
      <w:rFonts w:ascii="宋体" w:eastAsia="宋体" w:hAnsi="宋体" w:cs="宋体"/>
      <w:kern w:val="0"/>
      <w:sz w:val="24"/>
      <w:szCs w:val="24"/>
    </w:rPr>
  </w:style>
  <w:style w:type="paragraph" w:styleId="a4">
    <w:name w:val="List Paragraph"/>
    <w:basedOn w:val="a"/>
    <w:uiPriority w:val="99"/>
    <w:unhideWhenUsed/>
    <w:rsid w:val="00B058D1"/>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ntTable.xml" Type="http://schemas.openxmlformats.org/officeDocument/2006/relationships/fontTable"/><Relationship Id="rId7"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E476863-0507-4250-9834-294CDC7A0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167</Words>
  <Characters>956</Characters>
  <Application>Microsoft Office Word</Application>
  <DocSecurity>0</DocSecurity>
  <Lines>7</Lines>
  <Paragraphs>2</Paragraphs>
  <ScaleCrop>false</ScaleCrop>
  <Company/>
  <LinksUpToDate>false</LinksUpToDate>
  <CharactersWithSpaces>1121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2023-02-23T06:06:00Z</dcterms:created>
  <dc:creator>Administrato</dc:creator>
  <cp:lastModifiedBy>Administrato</cp:lastModifiedBy>
  <cp:lastPrinted>2021-12-02T01:59:00Z</cp:lastPrinted>
  <dcterms:modified xsi:type="dcterms:W3CDTF">2023-02-23T06:06:00Z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65DD47DFB8CB4348ADC428656408440B</vt:lpwstr>
  </property>
</Properties>
</file>