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suppressLineNumbers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rPr>
      </w:pPr>
      <w:r>
        <w:rPr>
          <w:rFonts w:hint="eastAsia" w:ascii="方正小标宋_GBK" w:eastAsia="方正小标宋_GBK" w:cs="方正小标宋_GBK"/>
          <w:b w:val="0"/>
          <w:bCs/>
          <w:sz w:val="44"/>
          <w:szCs w:val="44"/>
        </w:rPr>
        <w:t>隆尧县2022年政府信息公开工作年度报告</w:t>
      </w:r>
    </w:p>
    <w:p>
      <w:pPr>
        <w:pStyle w:val="5"/>
        <w:keepNext w:val="0"/>
        <w:keepLines w:val="0"/>
        <w:widowControl/>
        <w:suppressLineNumbers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rPr>
      </w:pP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本报告根据《中华人民共和国政府信息公开条例》（以下简称《条例》）的要求编制，所列数据统计期限从2022年1月1日至12月31日止。</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right="0" w:firstLine="640" w:firstLineChars="200"/>
        <w:jc w:val="both"/>
        <w:rPr>
          <w:rFonts w:hint="eastAsia" w:ascii="黑体" w:eastAsia="黑体" w:cs="黑体"/>
          <w:b w:val="0"/>
          <w:bCs/>
          <w:i w:val="0"/>
          <w:caps w:val="0"/>
          <w:smallCaps w:val="0"/>
          <w:color w:val="333333"/>
          <w:spacing w:val="0"/>
          <w:sz w:val="32"/>
          <w:szCs w:val="32"/>
          <w:shd w:val="clear" w:color="auto" w:fill="FFFFFF"/>
          <w:lang w:val="en-US" w:eastAsia="zh-CN"/>
        </w:rPr>
      </w:pPr>
      <w:r>
        <w:rPr>
          <w:rFonts w:hint="eastAsia" w:ascii="黑体" w:eastAsia="黑体" w:cs="黑体"/>
          <w:b w:val="0"/>
          <w:bCs/>
          <w:i w:val="0"/>
          <w:caps w:val="0"/>
          <w:smallCaps w:val="0"/>
          <w:color w:val="333333"/>
          <w:spacing w:val="0"/>
          <w:sz w:val="32"/>
          <w:szCs w:val="32"/>
          <w:shd w:val="clear" w:color="auto" w:fill="FFFFFF"/>
          <w:lang w:eastAsia="zh-CN"/>
        </w:rPr>
        <w:t>一、</w:t>
      </w:r>
      <w:r>
        <w:rPr>
          <w:rFonts w:hint="eastAsia" w:ascii="黑体" w:eastAsia="黑体" w:cs="黑体"/>
          <w:b w:val="0"/>
          <w:bCs/>
          <w:i w:val="0"/>
          <w:caps w:val="0"/>
          <w:smallCaps w:val="0"/>
          <w:color w:val="333333"/>
          <w:spacing w:val="0"/>
          <w:sz w:val="32"/>
          <w:szCs w:val="32"/>
          <w:shd w:val="clear" w:color="auto" w:fill="FFFFFF"/>
        </w:rPr>
        <w:t>总体情况</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2022年，隆尧县人民政府各级各部门坚持以习近平新时代中国特色社会主义思想为指导，认真贯彻落实党的十九大和十九届历次全会精神，全面学习贯彻党的二十大精神，按照党中央、国务院关于推进政务公开工作的决策部署，严格对照执行《条例》要求，围绕市委、市政府以及县委、县政府中心工作和人民群众关注热点，持续深化政务公开，不断提升政府工作透明度和政府公信力。</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一）主动公开方面。全县全年通过隆尧县政府门户网站发布各类政府信息5100余条，主动公开县政府行政规范性文件14件、县政府其他文件11件，通过“政务隆尧”微信订阅号推送信息400余篇。通过政务新媒体发布决策部署30余条。设置新冠肺炎疫情防控、稳定经济运行专栏、助企纾困等版块，并及时发布相关信息。公开了《隆尧县人民政府关于印发隆尧县残疾预防行动计划（2022-2025年）的通知》等各类政策文件。公开人大代表建议、政协提案复文42件，按时发布县政府2022年度部门预算、2021年度部门决算等信息。</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二）依申请公开方面。严格执行办理程序，加强与申请人沟通交流，精准掌握实际诉求，有针对性地提高办理质量；对答复合理合法但群众不理解的，耐心细致做好解释工作我县高度重视政府信息依申请公开工作，认真贯彻落实《河北省政府信息公开申请办理规范》，进一步完善了政府信息公开申请登记、审核、办理、答复、归档制度，按照标准化流程和答复格式文书，切实担负起答复主体责任。2022年，县政府办公室共收到依申请公开案例5例，均依法依规进行了答复。</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三）政府信息管理方面。建立了网络意识形态工作责任制和公开前发布审查工作机制，印发《隆尧县人民政府办公室关于进一步强化政府网站和政务新媒体安全保障、确保平稳运行的通知》，健全风险排查机制，按照“谁开设、谁负责”、“谁主管、谁负责”的原则，压实工作责任，完善责任到人工作制度，确保政府网站和政务新媒体安全、平稳、有序运行。</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四）推进政府信息公开平台建设。按照上级要求，积极推进县政府信息公开平台建设。增设“助企纾困”专栏，“行政许可”专栏在保留原来信息的基础上，增加分栏，链接县行政审批局的审批事项公开渠道。在“行政执法”专栏下增加分栏，链接县行政执法公示渠道。畅通政务服务大厅渠道，加强政府信息传播，方便群众查阅。为进一步优化政府网站和政务信息公开平台服务功能，有效提升政府网站和政府信息公开平台的一站式搜索、错敏字检索、公民隐私信息保护、政务信息存储和网站安全防护功能，采取三级等保测评服务。我县投资50余万元，开展了政府网站和政府信息公开平台整合改造提升项目建设，目前项目正在发布招标意向阶段。</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五）监督保障方面。我县继续将政务公开工作纳入绩效考核，结合年度政务公开工作要点，不断完善考核方案，优化考核内容认真做好政务新媒体周打卡工作，每周汇总各单位政务新媒体信息发布情况并上报。持续按季度开展政府网站和政务新媒体专项检查，对发现的问题督促各区主办单位逐项做好整改，进一步提升政务公开标准化、规范化、法治化水平。</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right="0" w:firstLine="640" w:firstLineChars="200"/>
        <w:jc w:val="both"/>
        <w:rPr>
          <w:rFonts w:hint="eastAsia" w:ascii="黑体" w:eastAsia="黑体" w:cs="黑体"/>
          <w:b w:val="0"/>
          <w:bCs/>
          <w:i w:val="0"/>
          <w:caps w:val="0"/>
          <w:smallCaps w:val="0"/>
          <w:color w:val="333333"/>
          <w:spacing w:val="0"/>
          <w:sz w:val="32"/>
          <w:szCs w:val="32"/>
        </w:rPr>
      </w:pPr>
      <w:r>
        <w:rPr>
          <w:rFonts w:hint="eastAsia" w:ascii="黑体" w:eastAsia="黑体" w:cs="黑体"/>
          <w:b w:val="0"/>
          <w:bCs/>
          <w:i w:val="0"/>
          <w:caps w:val="0"/>
          <w:smallCaps w:val="0"/>
          <w:color w:val="333333"/>
          <w:spacing w:val="0"/>
          <w:sz w:val="32"/>
          <w:szCs w:val="32"/>
          <w:shd w:val="clear" w:color="auto"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right="0" w:firstLine="420"/>
        <w:jc w:val="both"/>
        <w:rPr>
          <w:rFonts w:hint="eastAsia" w:ascii="宋体" w:eastAsia="宋体" w:cs="宋体"/>
          <w:i w:val="0"/>
          <w:caps w:val="0"/>
          <w:smallCaps w:val="0"/>
          <w:color w:val="333333"/>
          <w:spacing w:val="0"/>
          <w:sz w:val="24"/>
          <w:szCs w:val="24"/>
        </w:r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color w:val="000000"/>
                <w:kern w:val="0"/>
                <w:sz w:val="20"/>
                <w:szCs w:val="20"/>
                <w:lang w:val="en-US" w:eastAsia="zh-CN"/>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w:t>
            </w:r>
            <w:r>
              <w:rPr>
                <w:rFonts w:hint="eastAsia" w:ascii="宋体" w:eastAsia="宋体" w:cs="宋体"/>
                <w:kern w:val="0"/>
                <w:sz w:val="20"/>
                <w:szCs w:val="20"/>
                <w:lang w:val="en-US" w:eastAsia="zh-CN"/>
              </w:rPr>
              <w:t>制发件数</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本年废止件数</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现行有效件</w:t>
            </w:r>
            <w:r>
              <w:rPr>
                <w:rFonts w:hint="eastAsia" w:ascii="宋体" w:eastAsia="宋体" w:cs="宋体"/>
                <w:kern w:val="0"/>
                <w:sz w:val="20"/>
                <w:szCs w:val="20"/>
                <w:lang w:val="en-US" w:eastAsia="zh-CN"/>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规章</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kern w:val="0"/>
                <w:sz w:val="20"/>
                <w:szCs w:val="20"/>
                <w:lang w:val="en-US" w:eastAsia="zh-CN"/>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行政规范性文件</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color w:val="000000"/>
                <w:kern w:val="0"/>
                <w:sz w:val="20"/>
                <w:szCs w:val="20"/>
                <w:lang w:val="en-US" w:eastAsia="zh-CN"/>
              </w:rPr>
              <w:t>　　</w:t>
            </w:r>
            <w:r>
              <w:rPr>
                <w:rFonts w:hint="eastAsia" w:ascii="宋体" w:cs="宋体"/>
                <w:color w:val="000000"/>
                <w:kern w:val="0"/>
                <w:sz w:val="20"/>
                <w:szCs w:val="20"/>
                <w:lang w:val="en-US" w:eastAsia="zh-CN"/>
              </w:rPr>
              <w:t>1</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color w:val="000000"/>
                <w:kern w:val="0"/>
                <w:sz w:val="20"/>
                <w:szCs w:val="20"/>
                <w:lang w:val="en-US" w:eastAsia="zh-CN"/>
              </w:rPr>
              <w:t> 　</w:t>
            </w:r>
            <w:r>
              <w:rPr>
                <w:rFonts w:hint="eastAsia" w:ascii="宋体" w:cs="宋体"/>
                <w:color w:val="000000"/>
                <w:kern w:val="0"/>
                <w:sz w:val="20"/>
                <w:szCs w:val="20"/>
                <w:lang w:val="en-US" w:eastAsia="zh-CN"/>
              </w:rPr>
              <w:t>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kern w:val="0"/>
                <w:sz w:val="20"/>
                <w:szCs w:val="20"/>
                <w:lang w:val="en-US" w:eastAsia="zh-CN"/>
              </w:rPr>
              <w:t> 1</w:t>
            </w:r>
            <w:r>
              <w:rPr>
                <w:rFonts w:hint="eastAsia" w:ascii="宋体" w:cs="宋体"/>
                <w:kern w:val="0"/>
                <w:sz w:val="20"/>
                <w:szCs w:val="20"/>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行政许可</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eastAsia="zh-CN"/>
              </w:rPr>
            </w:pPr>
            <w:r>
              <w:rPr>
                <w:rFonts w:hint="eastAsia" w:ascii="宋体" w:eastAsia="宋体" w:cs="宋体"/>
                <w:sz w:val="20"/>
                <w:szCs w:val="20"/>
                <w:lang w:val="en-US" w:eastAsia="zh-CN"/>
              </w:rPr>
              <w:t>6348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行政处罚</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eastAsia="zh-CN"/>
              </w:rPr>
            </w:pPr>
            <w:r>
              <w:rPr>
                <w:rFonts w:hint="eastAsia" w:ascii="宋体" w:eastAsia="宋体" w:cs="宋体"/>
                <w:sz w:val="20"/>
                <w:szCs w:val="20"/>
                <w:lang w:val="en-US" w:eastAsia="zh-CN"/>
              </w:rPr>
              <w:t>1295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行政强制</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cs="宋体"/>
                <w:color w:val="000000"/>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000000"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行政事业性收费</w:t>
            </w:r>
          </w:p>
        </w:tc>
        <w:tc>
          <w:tcPr>
            <w:tcW w:w="7305" w:type="dxa"/>
            <w:gridSpan w:val="3"/>
            <w:tcBorders>
              <w:top w:val="nil"/>
              <w:left w:val="nil"/>
              <w:bottom w:val="single" w:color="auto" w:sz="8" w:space="0"/>
              <w:right w:val="single" w:color="000000" w:sz="8" w:space="0"/>
            </w:tcBorders>
            <w:noWrap/>
            <w:tcMar>
              <w:left w:w="57" w:type="dxa"/>
              <w:right w:w="57" w:type="dxa"/>
            </w:tcMar>
            <w:vAlign w:val="center"/>
          </w:tcPr>
          <w:p>
            <w:pPr>
              <w:spacing w:line="600" w:lineRule="exact"/>
              <w:rPr>
                <w:rFonts w:ascii="宋体" w:eastAsia="宋体" w:cs="宋体"/>
                <w:sz w:val="20"/>
                <w:szCs w:val="20"/>
                <w:lang w:val="en-US" w:eastAsia="zh-CN"/>
              </w:rPr>
            </w:pPr>
            <w:r>
              <w:rPr>
                <w:rFonts w:hint="eastAsia" w:ascii="宋体" w:eastAsia="宋体" w:cs="宋体"/>
                <w:sz w:val="20"/>
                <w:szCs w:val="20"/>
                <w:lang w:val="en-US" w:eastAsia="zh-CN"/>
              </w:rPr>
              <w:t>945.54</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right="0"/>
        <w:jc w:val="both"/>
        <w:rPr>
          <w:rFonts w:hint="eastAsia" w:ascii="黑体" w:eastAsia="黑体" w:cs="黑体"/>
          <w:b w:val="0"/>
          <w:bCs/>
          <w:i w:val="0"/>
          <w:caps w:val="0"/>
          <w:smallCaps w:val="0"/>
          <w:color w:val="333333"/>
          <w:spacing w:val="0"/>
          <w:sz w:val="32"/>
          <w:szCs w:val="32"/>
          <w:shd w:val="clear" w:color="auto"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right="0" w:firstLine="640" w:firstLineChars="200"/>
        <w:jc w:val="both"/>
        <w:rPr>
          <w:rFonts w:ascii="黑体" w:eastAsia="黑体" w:cs="黑体"/>
          <w:b w:val="0"/>
          <w:bCs/>
          <w:i w:val="0"/>
          <w:caps w:val="0"/>
          <w:smallCaps w:val="0"/>
          <w:color w:val="333333"/>
          <w:spacing w:val="0"/>
          <w:sz w:val="32"/>
          <w:szCs w:val="32"/>
          <w:shd w:val="clear" w:color="auto" w:fill="FFFFFF"/>
        </w:rPr>
      </w:pPr>
      <w:r>
        <w:rPr>
          <w:rFonts w:hint="eastAsia" w:ascii="黑体" w:eastAsia="黑体" w:cs="黑体"/>
          <w:b w:val="0"/>
          <w:bCs/>
          <w:i w:val="0"/>
          <w:caps w:val="0"/>
          <w:smallCaps w:val="0"/>
          <w:color w:val="333333"/>
          <w:spacing w:val="0"/>
          <w:sz w:val="32"/>
          <w:szCs w:val="32"/>
          <w:shd w:val="clear" w:color="auto" w:fill="FFFFFF"/>
        </w:rPr>
        <w:t>三、收到和处理政府信息公开申请情况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right="0"/>
        <w:jc w:val="both"/>
        <w:rPr>
          <w:rFonts w:hint="eastAsia" w:ascii="宋体" w:eastAsia="宋体" w:cs="宋体"/>
          <w:i w:val="0"/>
          <w:caps w:val="0"/>
          <w:smallCaps w:val="0"/>
          <w:color w:val="333333"/>
          <w:spacing w:val="0"/>
          <w:sz w:val="24"/>
          <w:szCs w:val="24"/>
        </w:rPr>
      </w:pPr>
    </w:p>
    <w:tbl>
      <w:tblPr>
        <w:tblStyle w:val="6"/>
        <w:tblW w:w="9748"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楷体" w:eastAsia="楷体" w:cs="楷体"/>
                <w:kern w:val="0"/>
                <w:sz w:val="20"/>
                <w:szCs w:val="20"/>
                <w:lang w:val="en-US" w:eastAsia="zh-CN"/>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kern w:val="0"/>
                <w:sz w:val="20"/>
                <w:szCs w:val="20"/>
                <w:lang w:val="en-US" w:eastAsia="zh-CN"/>
              </w:rPr>
              <w:t>申请人情况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noWrap/>
            <w:tcMar>
              <w:left w:w="108" w:type="dxa"/>
              <w:right w:w="108" w:type="dxa"/>
            </w:tcMar>
            <w:vAlign w:val="center"/>
          </w:tcPr>
          <w:p/>
        </w:tc>
        <w:tc>
          <w:tcPr>
            <w:tcW w:w="685" w:type="dxa"/>
            <w:vMerge w:val="restart"/>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sz w:val="24"/>
                <w:szCs w:val="24"/>
              </w:rPr>
            </w:pPr>
            <w:r>
              <w:rPr>
                <w:rFonts w:hint="eastAsia" w:ascii="宋体" w:eastAsia="宋体" w:cs="宋体"/>
                <w:kern w:val="0"/>
                <w:sz w:val="20"/>
                <w:szCs w:val="20"/>
                <w:lang w:val="en-US" w:eastAsia="zh-CN"/>
              </w:rPr>
              <w:t>自然人</w:t>
            </w:r>
          </w:p>
        </w:tc>
        <w:tc>
          <w:tcPr>
            <w:tcW w:w="3523" w:type="dxa"/>
            <w:gridSpan w:val="5"/>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kern w:val="0"/>
                <w:sz w:val="20"/>
                <w:szCs w:val="20"/>
                <w:lang w:val="en-US" w:eastAsia="zh-CN"/>
              </w:rPr>
              <w:t>法人或其他组织</w:t>
            </w:r>
          </w:p>
        </w:tc>
        <w:tc>
          <w:tcPr>
            <w:tcW w:w="637" w:type="dxa"/>
            <w:vMerge w:val="restart"/>
            <w:tcBorders>
              <w:top w:val="single" w:color="auto" w:sz="8" w:space="0"/>
              <w:left w:val="nil"/>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kern w:val="0"/>
                <w:sz w:val="20"/>
                <w:szCs w:val="20"/>
                <w:lang w:val="en-US" w:eastAsia="zh-CN"/>
              </w:rPr>
              <w:t>总计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noWrap/>
            <w:tcMar>
              <w:left w:w="108" w:type="dxa"/>
              <w:right w:w="108" w:type="dxa"/>
            </w:tcMar>
            <w:vAlign w:val="center"/>
          </w:tcPr>
          <w:p/>
        </w:tc>
        <w:tc>
          <w:tcPr>
            <w:tcW w:w="685" w:type="dxa"/>
            <w:vMerge w:val="continue"/>
            <w:tcBorders>
              <w:top w:val="nil"/>
              <w:left w:val="nil"/>
              <w:bottom w:val="single" w:color="auto" w:sz="8" w:space="0"/>
              <w:right w:val="single" w:color="auto" w:sz="8" w:space="0"/>
            </w:tcBorders>
            <w:noWrap/>
            <w:tcMar>
              <w:left w:w="57" w:type="dxa"/>
              <w:right w:w="57" w:type="dxa"/>
            </w:tcMar>
            <w:vAlign w:val="center"/>
          </w:tcP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right="0"/>
              <w:jc w:val="both"/>
              <w:rPr>
                <w:rFonts w:hint="eastAsia" w:ascii="宋体"/>
                <w:sz w:val="24"/>
                <w:szCs w:val="24"/>
              </w:rPr>
            </w:pPr>
            <w:r>
              <w:rPr>
                <w:rFonts w:hint="eastAsia" w:ascii="宋体" w:eastAsia="宋体" w:cs="宋体"/>
                <w:kern w:val="0"/>
                <w:sz w:val="20"/>
                <w:szCs w:val="20"/>
                <w:lang w:val="en-US" w:eastAsia="zh-CN"/>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right="0"/>
              <w:jc w:val="both"/>
            </w:pPr>
            <w:r>
              <w:rPr>
                <w:rFonts w:hint="eastAsia" w:ascii="宋体" w:eastAsia="宋体" w:cs="宋体"/>
                <w:kern w:val="0"/>
                <w:sz w:val="20"/>
                <w:szCs w:val="20"/>
                <w:lang w:val="en-US" w:eastAsia="zh-CN"/>
              </w:rPr>
              <w:t>企业</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right="0"/>
              <w:jc w:val="both"/>
            </w:pPr>
            <w:r>
              <w:rPr>
                <w:rFonts w:hint="eastAsia" w:ascii="宋体" w:eastAsia="宋体" w:cs="宋体"/>
                <w:kern w:val="0"/>
                <w:sz w:val="20"/>
                <w:szCs w:val="20"/>
                <w:lang w:val="en-US" w:eastAsia="zh-CN"/>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right="0"/>
              <w:jc w:val="both"/>
            </w:pPr>
            <w:r>
              <w:rPr>
                <w:rFonts w:hint="eastAsia" w:ascii="宋体" w:eastAsia="宋体" w:cs="宋体"/>
                <w:kern w:val="0"/>
                <w:sz w:val="20"/>
                <w:szCs w:val="20"/>
                <w:lang w:val="en-US" w:eastAsia="zh-CN"/>
              </w:rPr>
              <w:t>机构</w:t>
            </w:r>
          </w:p>
        </w:tc>
        <w:tc>
          <w:tcPr>
            <w:tcW w:w="68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kern w:val="0"/>
                <w:sz w:val="20"/>
                <w:szCs w:val="20"/>
                <w:lang w:val="en-US" w:eastAsia="zh-CN"/>
              </w:rPr>
              <w:t>社会公益组织</w:t>
            </w:r>
          </w:p>
        </w:tc>
        <w:tc>
          <w:tcPr>
            <w:tcW w:w="68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kern w:val="0"/>
                <w:sz w:val="20"/>
                <w:szCs w:val="20"/>
                <w:lang w:val="en-US" w:eastAsia="zh-CN"/>
              </w:rPr>
              <w:t>法律服务机构</w:t>
            </w:r>
          </w:p>
        </w:tc>
        <w:tc>
          <w:tcPr>
            <w:tcW w:w="68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kern w:val="0"/>
                <w:sz w:val="20"/>
                <w:szCs w:val="20"/>
                <w:lang w:val="en-US" w:eastAsia="zh-CN"/>
              </w:rPr>
              <w:t>其他</w:t>
            </w:r>
          </w:p>
        </w:tc>
        <w:tc>
          <w:tcPr>
            <w:tcW w:w="637" w:type="dxa"/>
            <w:vMerge w:val="continue"/>
            <w:tcBorders>
              <w:top w:val="single" w:color="auto" w:sz="8" w:space="0"/>
              <w:left w:val="nil"/>
              <w:bottom w:val="outset" w:color="auto" w:sz="8" w:space="0"/>
              <w:right w:val="single" w:color="auto" w:sz="8" w:space="0"/>
            </w:tcBorders>
            <w:noWrap/>
            <w:tcMar>
              <w:left w:w="57" w:type="dxa"/>
              <w:right w:w="57" w:type="dxa"/>
            </w:tcMar>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一、本年新收政府信息公开申请数量</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5</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5</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二、上年结转政府信息公开申请数量</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三、本年度办理结果</w:t>
            </w:r>
          </w:p>
        </w:tc>
        <w:tc>
          <w:tcPr>
            <w:tcW w:w="4138" w:type="dxa"/>
            <w:gridSpan w:val="2"/>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（一）予以公开</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2</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single" w:color="auto" w:sz="8" w:space="0"/>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cs="Calibri"/>
                <w:kern w:val="0"/>
                <w:sz w:val="20"/>
                <w:szCs w:val="20"/>
                <w:lang w:val="en-US" w:eastAsia="zh-CN"/>
              </w:rPr>
              <w:t>2</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4138" w:type="dxa"/>
            <w:gridSpan w:val="2"/>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lang w:val="en-US"/>
              </w:rPr>
            </w:pPr>
            <w:r>
              <w:rPr>
                <w:rFonts w:hint="eastAsia" w:ascii="宋体" w:eastAsia="宋体" w:cs="宋体"/>
                <w:kern w:val="0"/>
                <w:sz w:val="20"/>
                <w:szCs w:val="20"/>
                <w:lang w:val="en-US" w:eastAsia="zh-CN"/>
              </w:rPr>
              <w:t>（二）部分公开</w:t>
            </w:r>
            <w:r>
              <w:rPr>
                <w:rFonts w:hint="eastAsia" w:ascii="楷体" w:eastAsia="楷体" w:cs="楷体"/>
                <w:kern w:val="0"/>
                <w:sz w:val="20"/>
                <w:szCs w:val="20"/>
                <w:lang w:val="en-US" w:eastAsia="zh-CN"/>
              </w:rPr>
              <w:t>（区分处理的，只计这一情形，不计其他情形）</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restart"/>
            <w:tcBorders>
              <w:top w:val="nil"/>
              <w:left w:val="nil"/>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（三）不予公开</w:t>
            </w: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1.属于国家秘密</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single" w:color="auto" w:sz="8" w:space="0"/>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2.其他法律行政法规禁止公开</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3.危及“三安全一稳定”</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4.保护第三方合法权益</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5.属于三类内部事务信息</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6.属于四类过程性信息</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25" w:hRule="atLeast"/>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7.属于行政执法案卷</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8.属于行政查询事项</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restart"/>
            <w:tcBorders>
              <w:top w:val="nil"/>
              <w:left w:val="nil"/>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（四）无法提供</w:t>
            </w: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1.本机关不掌握相关政府信息</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3</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cs="Calibri"/>
                <w:kern w:val="0"/>
                <w:sz w:val="20"/>
                <w:szCs w:val="20"/>
                <w:lang w:val="en-US" w:eastAsia="zh-CN"/>
              </w:rPr>
              <w:t>3</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2.没有现成信息需要另行制作</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3.补正后申请内容仍不明确</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restart"/>
            <w:tcBorders>
              <w:top w:val="nil"/>
              <w:left w:val="nil"/>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（五）不予处理</w:t>
            </w: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1.信访举报投诉类申请</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2.重复申请</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3.要求提供公开出版物</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4.无正当理由大量反复申请</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nil"/>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both"/>
              <w:rPr>
                <w:rFonts w:hint="eastAsia" w:ascii="宋体"/>
                <w:sz w:val="24"/>
                <w:szCs w:val="24"/>
              </w:rPr>
            </w:pPr>
            <w:r>
              <w:rPr>
                <w:rFonts w:hint="eastAsia" w:ascii="宋体" w:eastAsia="宋体" w:cs="宋体"/>
                <w:kern w:val="0"/>
                <w:sz w:val="20"/>
                <w:szCs w:val="20"/>
                <w:lang w:val="en-US" w:eastAsia="zh-CN"/>
              </w:rPr>
              <w:t>5.要求行政机关确认或重新出具已获取信息</w:t>
            </w:r>
          </w:p>
        </w:tc>
        <w:tc>
          <w:tcPr>
            <w:tcW w:w="685"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outset"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restart"/>
            <w:tcBorders>
              <w:top w:val="outset" w:color="auto" w:sz="8" w:space="0"/>
              <w:left w:val="nil"/>
              <w:bottom w:val="outset"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（六）其他处理</w:t>
            </w:r>
          </w:p>
        </w:tc>
        <w:tc>
          <w:tcPr>
            <w:tcW w:w="3197"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both"/>
            </w:pPr>
            <w:r>
              <w:rPr>
                <w:rFonts w:hint="eastAsia" w:ascii="宋体" w:eastAsia="宋体" w:cs="宋体"/>
                <w:kern w:val="0"/>
                <w:sz w:val="20"/>
                <w:szCs w:val="20"/>
                <w:lang w:val="en-US" w:eastAsia="zh-CN"/>
              </w:rPr>
              <w:t>1.申请人无正当理由逾期不补正、行政机关不再处理其政府信息公开申请</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eastAsia="宋体"/>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ascii="Calibri" w:hAnsi="Calibri" w:eastAsia="宋体" w:cs="Calibri"/>
                <w:kern w:val="0"/>
                <w:sz w:val="20"/>
                <w:szCs w:val="20"/>
                <w:lang w:val="en-US" w:eastAsia="zh-CN"/>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Calibri" w:hAnsi="Calibri" w:eastAsia="宋体" w:cs="Calibri"/>
                <w:kern w:val="0"/>
                <w:sz w:val="20"/>
                <w:szCs w:val="20"/>
                <w:lang w:val="en-US" w:eastAsia="zh-CN"/>
              </w:rPr>
            </w:pPr>
            <w:r>
              <w:rPr>
                <w:rFonts w:ascii="Calibri" w:hAnsi="Calibri" w:eastAsia="宋体" w:cs="Calibri"/>
                <w:kern w:val="0"/>
                <w:sz w:val="20"/>
                <w:szCs w:val="20"/>
                <w:lang w:val="en-US" w:eastAsia="zh-CN"/>
              </w:rPr>
              <w:t> </w:t>
            </w:r>
            <w:r>
              <w:rPr>
                <w:rFonts w:hint="eastAsia" w:ascii="Calibri" w:hAnsi="Calibri"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outset" w:color="auto" w:sz="8" w:space="0"/>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both"/>
              <w:rPr>
                <w:rFonts w:hint="eastAsia" w:ascii="宋体"/>
                <w:sz w:val="24"/>
                <w:szCs w:val="24"/>
              </w:rPr>
            </w:pPr>
            <w:r>
              <w:rPr>
                <w:rFonts w:hint="eastAsia" w:ascii="宋体" w:eastAsia="宋体" w:cs="宋体"/>
                <w:kern w:val="0"/>
                <w:sz w:val="20"/>
                <w:szCs w:val="20"/>
                <w:lang w:val="en-US" w:eastAsia="zh-CN"/>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ascii="Calibri" w:hAnsi="Calibri" w:eastAsia="宋体" w:cs="Calibri"/>
                <w:kern w:val="0"/>
                <w:sz w:val="20"/>
                <w:szCs w:val="20"/>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941" w:type="dxa"/>
            <w:vMerge w:val="continue"/>
            <w:tcBorders>
              <w:top w:val="outset" w:color="auto" w:sz="8" w:space="0"/>
              <w:left w:val="nil"/>
              <w:bottom w:val="outset" w:color="auto" w:sz="8" w:space="0"/>
              <w:right w:val="single" w:color="auto" w:sz="8" w:space="0"/>
            </w:tcBorders>
            <w:noWrap/>
            <w:tcMar>
              <w:left w:w="57" w:type="dxa"/>
              <w:right w:w="57" w:type="dxa"/>
            </w:tcMar>
            <w:vAlign w:val="center"/>
          </w:tcPr>
          <w:p/>
        </w:tc>
        <w:tc>
          <w:tcPr>
            <w:tcW w:w="3197"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3.其他</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noWrap/>
            <w:tcMar>
              <w:left w:w="57" w:type="dxa"/>
              <w:right w:w="57" w:type="dxa"/>
            </w:tcMar>
            <w:vAlign w:val="center"/>
          </w:tcPr>
          <w:p/>
        </w:tc>
        <w:tc>
          <w:tcPr>
            <w:tcW w:w="4138" w:type="dxa"/>
            <w:gridSpan w:val="2"/>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sz w:val="24"/>
                <w:szCs w:val="24"/>
              </w:rPr>
            </w:pPr>
            <w:r>
              <w:rPr>
                <w:rFonts w:hint="eastAsia" w:ascii="宋体" w:eastAsia="宋体" w:cs="宋体"/>
                <w:kern w:val="0"/>
                <w:sz w:val="20"/>
                <w:szCs w:val="20"/>
                <w:lang w:val="en-US" w:eastAsia="zh-CN"/>
              </w:rPr>
              <w:t>（七）总计</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hint="eastAsia" w:cs="Calibri"/>
                <w:kern w:val="0"/>
                <w:sz w:val="20"/>
                <w:szCs w:val="20"/>
                <w:lang w:val="en-US" w:eastAsia="zh-CN"/>
              </w:rPr>
              <w:t>5</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eastAsia="宋体" w:cs="Calibri"/>
                <w:kern w:val="0"/>
                <w:sz w:val="20"/>
                <w:szCs w:val="20"/>
                <w:lang w:val="en-US" w:eastAsia="zh-CN"/>
              </w:rPr>
              <w:t>0</w:t>
            </w:r>
            <w:r>
              <w:rPr>
                <w:rFonts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cs="Calibri"/>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pPr>
            <w:r>
              <w:rPr>
                <w:rFonts w:hint="eastAsia" w:ascii="宋体" w:eastAsia="宋体" w:cs="宋体"/>
                <w:kern w:val="0"/>
                <w:sz w:val="20"/>
                <w:szCs w:val="20"/>
                <w:lang w:val="en-US" w:eastAsia="zh-CN"/>
              </w:rPr>
              <w:t>四、结转下年度继续办理</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734"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8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lang w:val="en-US"/>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c>
          <w:tcPr>
            <w:tcW w:w="637"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sz w:val="24"/>
                <w:szCs w:val="24"/>
                <w:lang w:val="en-US" w:eastAsia="zh-CN"/>
              </w:rPr>
            </w:pPr>
            <w:r>
              <w:rPr>
                <w:rFonts w:ascii="Calibri" w:hAnsi="Calibri" w:eastAsia="宋体" w:cs="Calibri"/>
                <w:kern w:val="0"/>
                <w:sz w:val="20"/>
                <w:szCs w:val="20"/>
                <w:lang w:val="en-US" w:eastAsia="zh-CN"/>
              </w:rPr>
              <w:t> </w:t>
            </w:r>
            <w:r>
              <w:rPr>
                <w:rFonts w:hint="eastAsia" w:eastAsia="宋体" w:cs="Calibri"/>
                <w:kern w:val="0"/>
                <w:sz w:val="20"/>
                <w:szCs w:val="20"/>
                <w:lang w:val="en-US" w:eastAsia="zh-CN"/>
              </w:rPr>
              <w:t>0</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Autospacing="0" w:afterAutospacing="0" w:line="600" w:lineRule="exact"/>
        <w:ind w:left="0"/>
        <w:jc w:val="both"/>
        <w:rPr>
          <w:rFonts w:hint="eastAsia" w:ascii="黑体" w:eastAsia="黑体" w:cs="黑体"/>
          <w:b w:val="0"/>
          <w:bCs/>
          <w:i w:val="0"/>
          <w:caps w:val="0"/>
          <w:smallCaps w:val="0"/>
          <w:color w:val="333333"/>
          <w:spacing w:val="0"/>
          <w:sz w:val="32"/>
          <w:szCs w:val="32"/>
          <w:shd w:val="clear" w:color="auto"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Autospacing="0" w:afterAutospacing="0" w:line="600" w:lineRule="exact"/>
        <w:ind w:left="0" w:firstLine="640" w:firstLineChars="200"/>
        <w:jc w:val="both"/>
        <w:rPr>
          <w:rFonts w:ascii="黑体" w:eastAsia="黑体" w:cs="黑体"/>
          <w:b w:val="0"/>
          <w:bCs/>
          <w:i w:val="0"/>
          <w:caps w:val="0"/>
          <w:smallCaps w:val="0"/>
          <w:color w:val="333333"/>
          <w:spacing w:val="0"/>
          <w:sz w:val="32"/>
          <w:szCs w:val="32"/>
          <w:shd w:val="clear" w:color="auto" w:fill="FFFFFF"/>
        </w:rPr>
      </w:pPr>
      <w:r>
        <w:rPr>
          <w:rFonts w:hint="eastAsia" w:ascii="黑体" w:eastAsia="黑体" w:cs="黑体"/>
          <w:b w:val="0"/>
          <w:bCs/>
          <w:i w:val="0"/>
          <w:caps w:val="0"/>
          <w:smallCaps w:val="0"/>
          <w:color w:val="333333"/>
          <w:spacing w:val="0"/>
          <w:sz w:val="32"/>
          <w:szCs w:val="32"/>
          <w:shd w:val="clear" w:color="auto" w:fill="FFFFFF"/>
        </w:rPr>
        <w:t>四、政府信息公开行政复议、行政诉讼情况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Autospacing="0" w:afterAutospacing="0" w:line="600" w:lineRule="exact"/>
        <w:ind w:left="0"/>
        <w:jc w:val="both"/>
        <w:rPr>
          <w:rFonts w:hint="eastAsia" w:ascii="黑体" w:eastAsia="黑体" w:cs="黑体"/>
          <w:color w:val="333333"/>
          <w:sz w:val="32"/>
          <w:szCs w:val="32"/>
          <w:shd w:val="clear" w:color="auto" w:fill="FFFFFF"/>
        </w:rPr>
      </w:pPr>
    </w:p>
    <w:tbl>
      <w:tblPr>
        <w:tblStyle w:val="6"/>
        <w:tblW w:w="0" w:type="auto"/>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321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行政复议</w:t>
            </w:r>
          </w:p>
        </w:tc>
        <w:tc>
          <w:tcPr>
            <w:tcW w:w="6538" w:type="dxa"/>
            <w:gridSpan w:val="10"/>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行政诉讼</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642" w:type="dxa"/>
            <w:vMerge w:val="restart"/>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结果维持</w:t>
            </w:r>
          </w:p>
        </w:tc>
        <w:tc>
          <w:tcPr>
            <w:tcW w:w="642" w:type="dxa"/>
            <w:vMerge w:val="restart"/>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结果</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纠正</w:t>
            </w:r>
          </w:p>
        </w:tc>
        <w:tc>
          <w:tcPr>
            <w:tcW w:w="642" w:type="dxa"/>
            <w:vMerge w:val="restart"/>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其他</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结果</w:t>
            </w:r>
          </w:p>
        </w:tc>
        <w:tc>
          <w:tcPr>
            <w:tcW w:w="642" w:type="dxa"/>
            <w:vMerge w:val="restart"/>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尚未</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审结</w:t>
            </w:r>
          </w:p>
        </w:tc>
        <w:tc>
          <w:tcPr>
            <w:tcW w:w="642" w:type="dxa"/>
            <w:vMerge w:val="restart"/>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总计</w:t>
            </w:r>
          </w:p>
        </w:tc>
        <w:tc>
          <w:tcPr>
            <w:tcW w:w="3218"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复议后起诉</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642"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tc>
        <w:tc>
          <w:tcPr>
            <w:tcW w:w="642"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tc>
        <w:tc>
          <w:tcPr>
            <w:tcW w:w="642" w:type="dxa"/>
            <w:vMerge w:val="continue"/>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tc>
        <w:tc>
          <w:tcPr>
            <w:tcW w:w="642" w:type="dxa"/>
            <w:vMerge w:val="continue"/>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tc>
        <w:tc>
          <w:tcPr>
            <w:tcW w:w="642" w:type="dxa"/>
            <w:vMerge w:val="continue"/>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tc>
        <w:tc>
          <w:tcPr>
            <w:tcW w:w="64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sz w:val="24"/>
                <w:szCs w:val="24"/>
              </w:rPr>
            </w:pPr>
            <w:r>
              <w:rPr>
                <w:rFonts w:hint="eastAsia" w:ascii="宋体" w:eastAsia="宋体" w:cs="宋体"/>
                <w:kern w:val="0"/>
                <w:sz w:val="20"/>
                <w:szCs w:val="20"/>
                <w:lang w:val="en-US" w:eastAsia="zh-CN"/>
              </w:rPr>
              <w:t>结果</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维持</w:t>
            </w:r>
          </w:p>
        </w:tc>
        <w:tc>
          <w:tcPr>
            <w:tcW w:w="64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结果</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纠正</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其他</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结果</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尚未</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审结</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color w:val="000000"/>
                <w:kern w:val="0"/>
                <w:sz w:val="20"/>
                <w:szCs w:val="20"/>
                <w:lang w:val="en-US" w:eastAsia="zh-CN"/>
              </w:rPr>
              <w:t>总计</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结果</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维持</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结果</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纠正</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color w:val="000000"/>
                <w:kern w:val="0"/>
                <w:sz w:val="20"/>
                <w:szCs w:val="20"/>
                <w:lang w:val="en-US" w:eastAsia="zh-CN"/>
              </w:rPr>
              <w:t>其他</w:t>
            </w:r>
            <w:r>
              <w:rPr>
                <w:rFonts w:hint="eastAsia" w:ascii="宋体" w:eastAsia="宋体" w:cs="宋体"/>
                <w:color w:val="000000"/>
                <w:kern w:val="0"/>
                <w:sz w:val="20"/>
                <w:szCs w:val="20"/>
                <w:lang w:val="en-US" w:eastAsia="zh-CN"/>
              </w:rPr>
              <w:br w:type="textWrapping"/>
            </w:r>
            <w:r>
              <w:rPr>
                <w:rFonts w:hint="eastAsia" w:ascii="宋体" w:eastAsia="宋体" w:cs="宋体"/>
                <w:color w:val="000000"/>
                <w:kern w:val="0"/>
                <w:sz w:val="20"/>
                <w:szCs w:val="20"/>
                <w:lang w:val="en-US" w:eastAsia="zh-CN"/>
              </w:rPr>
              <w:t>结果</w:t>
            </w:r>
          </w:p>
        </w:tc>
        <w:tc>
          <w:tcPr>
            <w:tcW w:w="6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kern w:val="0"/>
                <w:sz w:val="20"/>
                <w:szCs w:val="20"/>
                <w:lang w:val="en-US" w:eastAsia="zh-CN"/>
              </w:rPr>
              <w:t>尚未</w:t>
            </w:r>
            <w:r>
              <w:rPr>
                <w:rFonts w:hint="eastAsia" w:ascii="宋体" w:eastAsia="宋体" w:cs="宋体"/>
                <w:kern w:val="0"/>
                <w:sz w:val="20"/>
                <w:szCs w:val="20"/>
                <w:lang w:val="en-US" w:eastAsia="zh-CN"/>
              </w:rPr>
              <w:br w:type="textWrapping"/>
            </w:r>
            <w:r>
              <w:rPr>
                <w:rFonts w:hint="eastAsia" w:ascii="宋体" w:eastAsia="宋体" w:cs="宋体"/>
                <w:kern w:val="0"/>
                <w:sz w:val="20"/>
                <w:szCs w:val="20"/>
                <w:lang w:val="en-US" w:eastAsia="zh-CN"/>
              </w:rPr>
              <w:t>审结</w:t>
            </w:r>
          </w:p>
        </w:tc>
        <w:tc>
          <w:tcPr>
            <w:tcW w:w="744" w:type="dxa"/>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宋体" w:eastAsia="宋体" w:cs="宋体"/>
                <w:color w:val="000000"/>
                <w:kern w:val="0"/>
                <w:sz w:val="20"/>
                <w:szCs w:val="20"/>
                <w:lang w:val="en-US" w:eastAsia="zh-CN"/>
              </w:rPr>
              <w:t>总计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rHeight w:val="672" w:hRule="atLeast"/>
          <w:jc w:val="center"/>
        </w:trPr>
        <w:tc>
          <w:tcPr>
            <w:tcW w:w="642"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eastAsia="宋体"/>
                <w:lang w:val="en-US" w:eastAsia="zh-CN"/>
              </w:rPr>
            </w:pPr>
            <w:r>
              <w:rPr>
                <w:rFonts w:hint="eastAsia"/>
                <w:lang w:val="en-US" w:eastAsia="zh-CN"/>
              </w:rPr>
              <w:t>6</w:t>
            </w:r>
          </w:p>
        </w:tc>
        <w:tc>
          <w:tcPr>
            <w:tcW w:w="642"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黑体" w:eastAsia="黑体" w:cs="黑体"/>
                <w:kern w:val="0"/>
                <w:sz w:val="20"/>
                <w:szCs w:val="20"/>
                <w:lang w:val="en-US" w:eastAsia="zh-CN"/>
              </w:rPr>
              <w:t>0</w:t>
            </w:r>
          </w:p>
        </w:tc>
        <w:tc>
          <w:tcPr>
            <w:tcW w:w="642"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eastAsia="宋体"/>
                <w:lang w:val="en-US" w:eastAsia="zh-CN"/>
              </w:rPr>
            </w:pPr>
            <w:r>
              <w:rPr>
                <w:rFonts w:hint="eastAsia"/>
                <w:lang w:val="en-US" w:eastAsia="zh-CN"/>
              </w:rPr>
              <w:t>2</w:t>
            </w:r>
          </w:p>
        </w:tc>
        <w:tc>
          <w:tcPr>
            <w:tcW w:w="642"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lang w:val="en-US"/>
              </w:rPr>
            </w:pPr>
            <w:r>
              <w:rPr>
                <w:rFonts w:hint="eastAsia" w:ascii="黑体" w:eastAsia="黑体" w:cs="黑体"/>
                <w:kern w:val="0"/>
                <w:sz w:val="20"/>
                <w:szCs w:val="20"/>
                <w:lang w:val="en-US" w:eastAsia="zh-CN"/>
              </w:rPr>
              <w:t> 0</w:t>
            </w:r>
          </w:p>
        </w:tc>
        <w:tc>
          <w:tcPr>
            <w:tcW w:w="642"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lang w:val="en-US"/>
              </w:rPr>
            </w:pPr>
            <w:r>
              <w:rPr>
                <w:rFonts w:hint="eastAsia" w:ascii="黑体" w:eastAsia="黑体" w:cs="黑体"/>
                <w:kern w:val="0"/>
                <w:sz w:val="20"/>
                <w:szCs w:val="20"/>
                <w:lang w:val="en-US" w:eastAsia="zh-CN"/>
              </w:rPr>
              <w:t> 8</w:t>
            </w:r>
          </w:p>
        </w:tc>
        <w:tc>
          <w:tcPr>
            <w:tcW w:w="64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黑体" w:eastAsia="黑体" w:cs="黑体"/>
                <w:kern w:val="0"/>
                <w:sz w:val="20"/>
                <w:szCs w:val="20"/>
                <w:lang w:val="en-US" w:eastAsia="zh-CN"/>
              </w:rPr>
              <w:t>0 </w:t>
            </w:r>
          </w:p>
        </w:tc>
        <w:tc>
          <w:tcPr>
            <w:tcW w:w="64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lang w:val="en-US"/>
              </w:rPr>
            </w:pPr>
            <w:r>
              <w:rPr>
                <w:rFonts w:hint="eastAsia" w:ascii="黑体" w:eastAsia="黑体" w:cs="黑体"/>
                <w:kern w:val="0"/>
                <w:sz w:val="20"/>
                <w:szCs w:val="20"/>
                <w:lang w:val="en-US" w:eastAsia="zh-CN"/>
              </w:rPr>
              <w:t> 0</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lang w:val="en-US"/>
              </w:rPr>
            </w:pPr>
            <w:r>
              <w:rPr>
                <w:rFonts w:hint="eastAsia" w:ascii="黑体" w:eastAsia="黑体" w:cs="黑体"/>
                <w:kern w:val="0"/>
                <w:sz w:val="20"/>
                <w:szCs w:val="20"/>
                <w:lang w:val="en-US" w:eastAsia="zh-CN"/>
              </w:rPr>
              <w:t>6</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eastAsia="宋体"/>
                <w:lang w:val="en-US" w:eastAsia="zh-CN"/>
              </w:rPr>
            </w:pPr>
            <w:r>
              <w:rPr>
                <w:rFonts w:hint="eastAsia"/>
                <w:lang w:val="en-US" w:eastAsia="zh-CN"/>
              </w:rPr>
              <w:t>1</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eastAsia="宋体"/>
                <w:lang w:val="en-US" w:eastAsia="zh-CN"/>
              </w:rPr>
            </w:pPr>
            <w:r>
              <w:rPr>
                <w:rFonts w:hint="eastAsia"/>
                <w:lang w:val="en-US" w:eastAsia="zh-CN"/>
              </w:rPr>
              <w:t>7</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黑体" w:eastAsia="黑体" w:cs="黑体"/>
                <w:kern w:val="0"/>
                <w:sz w:val="20"/>
                <w:szCs w:val="20"/>
                <w:lang w:val="en-US" w:eastAsia="zh-CN"/>
              </w:rPr>
              <w:t>0</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pPr>
            <w:r>
              <w:rPr>
                <w:rFonts w:hint="eastAsia" w:ascii="黑体" w:eastAsia="黑体" w:cs="黑体"/>
                <w:kern w:val="0"/>
                <w:sz w:val="20"/>
                <w:szCs w:val="20"/>
                <w:lang w:val="en-US" w:eastAsia="zh-CN"/>
              </w:rPr>
              <w:t>0 </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eastAsia="宋体"/>
                <w:lang w:val="en-US" w:eastAsia="zh-CN"/>
              </w:rPr>
            </w:pPr>
            <w:r>
              <w:rPr>
                <w:rFonts w:hint="eastAsia"/>
                <w:lang w:val="en-US" w:eastAsia="zh-CN"/>
              </w:rPr>
              <w:t>2</w:t>
            </w:r>
          </w:p>
        </w:tc>
        <w:tc>
          <w:tcPr>
            <w:tcW w:w="644"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lang w:val="en-US"/>
              </w:rPr>
            </w:pPr>
            <w:r>
              <w:rPr>
                <w:rFonts w:hint="eastAsia" w:ascii="黑体" w:eastAsia="黑体" w:cs="黑体"/>
                <w:kern w:val="0"/>
                <w:sz w:val="20"/>
                <w:szCs w:val="20"/>
                <w:lang w:val="en-US" w:eastAsia="zh-CN"/>
              </w:rPr>
              <w:t> 0</w:t>
            </w:r>
          </w:p>
        </w:tc>
        <w:tc>
          <w:tcPr>
            <w:tcW w:w="744" w:type="dxa"/>
            <w:tcBorders>
              <w:top w:val="nil"/>
              <w:left w:val="single" w:color="auto" w:sz="8" w:space="0"/>
              <w:bottom w:val="single" w:color="auto" w:sz="8" w:space="0"/>
              <w:right w:val="single" w:color="auto" w:sz="8" w:space="0"/>
            </w:tcBorders>
            <w:noWrap/>
            <w:tcMar>
              <w:left w:w="108" w:type="dxa"/>
              <w:right w:w="108" w:type="dxa"/>
            </w:tcMar>
            <w:vAlign w:val="center"/>
          </w:tcPr>
          <w:p>
            <w:pPr>
              <w:spacing w:line="600" w:lineRule="exact"/>
              <w:jc w:val="center"/>
              <w:rPr>
                <w:rFonts w:ascii="宋体" w:eastAsia="宋体"/>
                <w:sz w:val="24"/>
                <w:szCs w:val="24"/>
                <w:lang w:val="en-US" w:eastAsia="zh-CN"/>
              </w:rPr>
            </w:pPr>
            <w:r>
              <w:rPr>
                <w:rFonts w:hint="eastAsia" w:ascii="宋体" w:eastAsia="宋体"/>
                <w:sz w:val="24"/>
                <w:szCs w:val="24"/>
                <w:lang w:val="en-US" w:eastAsia="zh-CN"/>
              </w:rPr>
              <w:t>2</w:t>
            </w:r>
          </w:p>
        </w:tc>
      </w:tr>
    </w:tbl>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jc w:val="left"/>
        <w:textAlignment w:val="auto"/>
        <w:rPr>
          <w:rFonts w:hint="eastAsia" w:ascii="黑体" w:hAnsi="黑体" w:eastAsia="黑体" w:cs="黑体"/>
          <w:bCs/>
          <w:i w:val="0"/>
          <w:iCs w:val="0"/>
          <w:caps w:val="0"/>
          <w:smallCaps w:val="0"/>
          <w:color w:val="333333"/>
          <w:spacing w:val="0"/>
          <w:kern w:val="0"/>
          <w:sz w:val="32"/>
          <w:szCs w:val="32"/>
          <w:shd w:val="clear" w:color="auto" w:fill="FFFFFF"/>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bCs/>
          <w:i w:val="0"/>
          <w:iCs w:val="0"/>
          <w:caps w:val="0"/>
          <w:smallCaps w:val="0"/>
          <w:color w:val="333333"/>
          <w:spacing w:val="0"/>
          <w:kern w:val="0"/>
          <w:sz w:val="32"/>
          <w:szCs w:val="32"/>
          <w:shd w:val="clear" w:color="auto" w:fill="FFFFFF"/>
          <w:lang w:val="en-US" w:eastAsia="zh-CN"/>
        </w:rPr>
      </w:pPr>
      <w:r>
        <w:rPr>
          <w:rFonts w:hint="eastAsia" w:ascii="黑体" w:hAnsi="黑体" w:eastAsia="黑体" w:cs="黑体"/>
          <w:bCs/>
          <w:i w:val="0"/>
          <w:iCs w:val="0"/>
          <w:caps w:val="0"/>
          <w:smallCaps w:val="0"/>
          <w:color w:val="333333"/>
          <w:spacing w:val="0"/>
          <w:kern w:val="0"/>
          <w:sz w:val="32"/>
          <w:szCs w:val="32"/>
          <w:shd w:val="clear" w:color="auto" w:fill="FFFFFF"/>
          <w:lang w:val="en-US" w:eastAsia="zh-CN"/>
        </w:rPr>
        <w:t>五、存在的主要问题及改进情况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s="仿宋_GB2312"/>
          <w:color w:val="333333"/>
          <w:kern w:val="0"/>
          <w:sz w:val="32"/>
          <w:szCs w:val="32"/>
          <w:shd w:val="clear" w:color="auto" w:fill="FFFFFF"/>
        </w:rPr>
      </w:pPr>
      <w:r>
        <w:rPr>
          <w:rFonts w:hint="eastAsia" w:ascii="仿宋_GB2312" w:eastAsia="仿宋_GB2312" w:cs="仿宋_GB2312"/>
          <w:bCs/>
          <w:i w:val="0"/>
          <w:iCs w:val="0"/>
          <w:caps w:val="0"/>
          <w:smallCaps w:val="0"/>
          <w:color w:val="333333"/>
          <w:spacing w:val="0"/>
          <w:kern w:val="0"/>
          <w:sz w:val="32"/>
          <w:szCs w:val="32"/>
          <w:shd w:val="clear" w:color="auto" w:fill="FFFFFF"/>
          <w:lang w:val="en-US" w:eastAsia="zh-CN"/>
        </w:rPr>
        <w:t>2022年</w:t>
      </w:r>
      <w:r>
        <w:rPr>
          <w:rFonts w:hint="eastAsia" w:ascii="仿宋_GB2312" w:eastAsia="仿宋_GB2312" w:cs="仿宋_GB2312"/>
          <w:color w:val="333333"/>
          <w:kern w:val="0"/>
          <w:sz w:val="32"/>
          <w:szCs w:val="32"/>
          <w:shd w:val="clear" w:color="auto" w:fill="FFFFFF"/>
        </w:rPr>
        <w:t>，在政府信息公开工作中存在的主要问题是：</w:t>
      </w:r>
      <w:r>
        <w:rPr>
          <w:rFonts w:hint="eastAsia" w:ascii="仿宋_GB2312" w:eastAsia="仿宋_GB2312" w:cs="仿宋_GB2312"/>
          <w:b/>
          <w:color w:val="333333"/>
          <w:kern w:val="0"/>
          <w:sz w:val="32"/>
          <w:szCs w:val="32"/>
          <w:shd w:val="clear" w:color="auto" w:fill="FFFFFF"/>
        </w:rPr>
        <w:t>一是</w:t>
      </w:r>
      <w:r>
        <w:rPr>
          <w:rFonts w:hint="eastAsia" w:ascii="仿宋_GB2312" w:eastAsia="仿宋_GB2312" w:cs="仿宋_GB2312"/>
          <w:color w:val="333333"/>
          <w:kern w:val="0"/>
          <w:sz w:val="32"/>
          <w:szCs w:val="32"/>
          <w:shd w:val="clear" w:color="auto" w:fill="FFFFFF"/>
        </w:rPr>
        <w:t>政策解读方式不够多元化，精准解读效果仍需提高。</w:t>
      </w:r>
      <w:r>
        <w:rPr>
          <w:rFonts w:hint="eastAsia" w:ascii="仿宋_GB2312" w:eastAsia="仿宋_GB2312" w:cs="仿宋_GB2312"/>
          <w:b/>
          <w:color w:val="333333"/>
          <w:kern w:val="0"/>
          <w:sz w:val="32"/>
          <w:szCs w:val="32"/>
          <w:shd w:val="clear" w:color="auto" w:fill="FFFFFF"/>
        </w:rPr>
        <w:t>二是</w:t>
      </w:r>
      <w:r>
        <w:rPr>
          <w:rFonts w:hint="eastAsia" w:ascii="仿宋_GB2312" w:eastAsia="仿宋_GB2312" w:cs="仿宋_GB2312"/>
          <w:color w:val="333333"/>
          <w:kern w:val="0"/>
          <w:sz w:val="32"/>
          <w:szCs w:val="32"/>
          <w:shd w:val="clear" w:color="auto" w:fill="FFFFFF"/>
        </w:rPr>
        <w:t>政府信息公开工作创新的手段还不够丰富，在满足群众多层次多样化信息需求上有待改进。</w:t>
      </w:r>
    </w:p>
    <w:p>
      <w:pPr>
        <w:keepNext w:val="0"/>
        <w:keepLines w:val="0"/>
        <w:pageBreakBefore w:val="0"/>
        <w:widowControl/>
        <w:suppressLineNumbers w:val="0"/>
        <w:kinsoku/>
        <w:wordWrap/>
        <w:overflowPunct/>
        <w:topLinePunct w:val="0"/>
        <w:autoSpaceDE/>
        <w:autoSpaceDN/>
        <w:adjustRightInd/>
        <w:snapToGrid/>
        <w:spacing w:line="600" w:lineRule="exact"/>
        <w:ind w:firstLine="640" w:firstLineChars="200"/>
        <w:jc w:val="both"/>
        <w:rPr>
          <w:rFonts w:hint="eastAsia" w:ascii="仿宋_GB2312" w:eastAsia="仿宋_GB2312" w:cs="仿宋_GB2312"/>
          <w:color w:val="333333"/>
          <w:kern w:val="0"/>
          <w:sz w:val="32"/>
          <w:szCs w:val="32"/>
          <w:shd w:val="clear" w:color="auto" w:fill="FFFFFF"/>
        </w:rPr>
      </w:pPr>
      <w:r>
        <w:rPr>
          <w:rFonts w:hint="eastAsia" w:ascii="仿宋_GB2312" w:eastAsia="仿宋_GB2312" w:cs="仿宋_GB2312"/>
          <w:color w:val="333333"/>
          <w:kern w:val="0"/>
          <w:sz w:val="32"/>
          <w:szCs w:val="32"/>
          <w:shd w:val="clear" w:color="auto" w:fill="FFFFFF"/>
        </w:rPr>
        <w:t>下一步，将采取以下措施加强政府信息公开工作：</w:t>
      </w:r>
      <w:r>
        <w:rPr>
          <w:rFonts w:hint="eastAsia" w:ascii="仿宋_GB2312" w:eastAsia="仿宋_GB2312" w:cs="仿宋_GB2312"/>
          <w:b/>
          <w:color w:val="333333"/>
          <w:kern w:val="0"/>
          <w:sz w:val="32"/>
          <w:szCs w:val="32"/>
          <w:shd w:val="clear" w:color="auto" w:fill="FFFFFF"/>
        </w:rPr>
        <w:t>一是</w:t>
      </w:r>
      <w:r>
        <w:rPr>
          <w:rFonts w:hint="eastAsia" w:ascii="仿宋_GB2312" w:eastAsia="仿宋_GB2312" w:cs="仿宋_GB2312"/>
          <w:color w:val="333333"/>
          <w:kern w:val="0"/>
          <w:sz w:val="32"/>
          <w:szCs w:val="32"/>
          <w:shd w:val="clear" w:color="auto" w:fill="FFFFFF"/>
        </w:rPr>
        <w:t>根据国家和省市要求，对2023年政务公开和政府信息公开工作进行认真研究和周密部署，通过制发政务公开工作要点，对各项工作任务进行细化分解和</w:t>
      </w:r>
      <w:bookmarkStart w:id="0" w:name="_GoBack"/>
      <w:bookmarkEnd w:id="0"/>
      <w:r>
        <w:rPr>
          <w:rFonts w:hint="eastAsia" w:ascii="仿宋_GB2312" w:eastAsia="仿宋_GB2312" w:cs="仿宋_GB2312"/>
          <w:color w:val="333333"/>
          <w:kern w:val="0"/>
          <w:sz w:val="32"/>
          <w:szCs w:val="32"/>
          <w:shd w:val="clear" w:color="auto" w:fill="FFFFFF"/>
        </w:rPr>
        <w:t>明确责任，确保各项工作任务落地见效。</w:t>
      </w:r>
      <w:r>
        <w:rPr>
          <w:rFonts w:hint="eastAsia" w:ascii="仿宋_GB2312" w:eastAsia="仿宋_GB2312" w:cs="仿宋_GB2312"/>
          <w:b/>
          <w:color w:val="333333"/>
          <w:kern w:val="0"/>
          <w:sz w:val="32"/>
          <w:szCs w:val="32"/>
          <w:shd w:val="clear" w:color="auto" w:fill="FFFFFF"/>
        </w:rPr>
        <w:t>二是</w:t>
      </w:r>
      <w:r>
        <w:rPr>
          <w:rFonts w:hint="eastAsia" w:ascii="仿宋_GB2312" w:eastAsia="仿宋_GB2312" w:cs="仿宋_GB2312"/>
          <w:color w:val="333333"/>
          <w:kern w:val="0"/>
          <w:sz w:val="32"/>
          <w:szCs w:val="32"/>
          <w:shd w:val="clear" w:color="auto" w:fill="FFFFFF"/>
        </w:rPr>
        <w:t>按照《河北省政务公开工作考核办法》和年度政务公开工作要点要求，对我县政务公开工作考核指标进行进一步优化完善，增加考核频率，加强政务公开考核工作。</w:t>
      </w:r>
      <w:r>
        <w:rPr>
          <w:rFonts w:hint="eastAsia" w:ascii="仿宋_GB2312" w:eastAsia="仿宋_GB2312" w:cs="仿宋_GB2312"/>
          <w:b/>
          <w:color w:val="333333"/>
          <w:kern w:val="0"/>
          <w:sz w:val="32"/>
          <w:szCs w:val="32"/>
          <w:shd w:val="clear" w:color="auto" w:fill="FFFFFF"/>
        </w:rPr>
        <w:t>三是</w:t>
      </w:r>
      <w:r>
        <w:rPr>
          <w:rFonts w:hint="eastAsia" w:ascii="仿宋_GB2312" w:eastAsia="仿宋_GB2312" w:cs="仿宋_GB2312"/>
          <w:color w:val="333333"/>
          <w:kern w:val="0"/>
          <w:sz w:val="32"/>
          <w:szCs w:val="32"/>
          <w:shd w:val="clear" w:color="auto" w:fill="FFFFFF"/>
        </w:rPr>
        <w:t>围绕主动公开、依申请公开、政策解读、基层政务公开、政务新媒体等重点工作，开展形式多样的政务公开和政府信息公开业务培训和政策宣讲活动。</w:t>
      </w:r>
    </w:p>
    <w:p>
      <w:pPr>
        <w:keepNext w:val="0"/>
        <w:keepLines w:val="0"/>
        <w:pageBreakBefore w:val="0"/>
        <w:widowControl/>
        <w:suppressLineNumbers w:val="0"/>
        <w:kinsoku/>
        <w:wordWrap/>
        <w:overflowPunct/>
        <w:topLinePunct w:val="0"/>
        <w:autoSpaceDE/>
        <w:autoSpaceDN/>
        <w:adjustRightInd/>
        <w:snapToGrid/>
        <w:spacing w:line="600" w:lineRule="exact"/>
        <w:ind w:firstLine="640" w:firstLineChars="200"/>
        <w:jc w:val="both"/>
        <w:rPr>
          <w:rFonts w:hint="eastAsia" w:ascii="仿宋_GB2312" w:eastAsia="仿宋_GB2312" w:cs="仿宋_GB2312"/>
          <w:color w:val="333333"/>
          <w:kern w:val="0"/>
          <w:sz w:val="32"/>
          <w:szCs w:val="32"/>
          <w:shd w:val="clear" w:color="auto" w:fill="FFFFFF"/>
        </w:rPr>
      </w:pPr>
    </w:p>
    <w:p>
      <w:pPr>
        <w:keepNext w:val="0"/>
        <w:keepLines w:val="0"/>
        <w:pageBreakBefore w:val="0"/>
        <w:widowControl/>
        <w:suppressLineNumbers w:val="0"/>
        <w:kinsoku/>
        <w:wordWrap/>
        <w:overflowPunct/>
        <w:topLinePunct w:val="0"/>
        <w:autoSpaceDE/>
        <w:autoSpaceDN/>
        <w:adjustRightInd/>
        <w:snapToGrid/>
        <w:spacing w:line="600" w:lineRule="exact"/>
        <w:ind w:firstLine="640" w:firstLineChars="200"/>
        <w:jc w:val="both"/>
        <w:rPr>
          <w:rFonts w:hint="eastAsia" w:ascii="仿宋_GB2312" w:eastAsia="仿宋_GB2312" w:cs="仿宋_GB2312"/>
          <w:color w:val="333333"/>
          <w:kern w:val="0"/>
          <w:sz w:val="32"/>
          <w:szCs w:val="32"/>
          <w:shd w:val="clear" w:color="auto" w:fill="FFFFFF"/>
        </w:rPr>
      </w:pPr>
    </w:p>
    <w:p>
      <w:pPr>
        <w:keepNext w:val="0"/>
        <w:keepLines w:val="0"/>
        <w:pageBreakBefore w:val="0"/>
        <w:widowControl/>
        <w:suppressLineNumbers w:val="0"/>
        <w:kinsoku/>
        <w:wordWrap w:val="0"/>
        <w:overflowPunct/>
        <w:topLinePunct w:val="0"/>
        <w:autoSpaceDE/>
        <w:autoSpaceDN/>
        <w:adjustRightInd/>
        <w:snapToGrid/>
        <w:spacing w:line="600" w:lineRule="exact"/>
        <w:ind w:firstLine="640" w:firstLineChars="200"/>
        <w:jc w:val="right"/>
        <w:rPr>
          <w:rFonts w:hint="default" w:ascii="仿宋_GB2312" w:eastAsia="仿宋_GB2312" w:cs="仿宋_GB2312"/>
          <w:color w:val="333333"/>
          <w:kern w:val="0"/>
          <w:sz w:val="32"/>
          <w:szCs w:val="32"/>
          <w:shd w:val="clear" w:color="auto" w:fill="FFFFFF"/>
          <w:lang w:val="en-US" w:eastAsia="zh-CN"/>
        </w:rPr>
      </w:pPr>
      <w:r>
        <w:rPr>
          <w:rFonts w:hint="eastAsia" w:ascii="仿宋_GB2312" w:eastAsia="仿宋_GB2312" w:cs="仿宋_GB2312"/>
          <w:color w:val="333333"/>
          <w:kern w:val="0"/>
          <w:sz w:val="32"/>
          <w:szCs w:val="32"/>
          <w:shd w:val="clear" w:color="auto" w:fill="FFFFFF"/>
          <w:lang w:val="en-US" w:eastAsia="zh-CN"/>
        </w:rPr>
        <w:t xml:space="preserve">隆尧县人民政府办公室   </w:t>
      </w:r>
    </w:p>
    <w:p>
      <w:pPr>
        <w:keepNext w:val="0"/>
        <w:keepLines w:val="0"/>
        <w:pageBreakBefore w:val="0"/>
        <w:widowControl/>
        <w:suppressLineNumbers w:val="0"/>
        <w:kinsoku/>
        <w:wordWrap w:val="0"/>
        <w:overflowPunct/>
        <w:topLinePunct w:val="0"/>
        <w:autoSpaceDE/>
        <w:autoSpaceDN/>
        <w:adjustRightInd/>
        <w:snapToGrid/>
        <w:spacing w:line="600" w:lineRule="exact"/>
        <w:ind w:firstLine="640" w:firstLineChars="200"/>
        <w:jc w:val="right"/>
        <w:rPr>
          <w:rFonts w:hint="default" w:ascii="仿宋_GB2312" w:eastAsia="仿宋_GB2312" w:cs="仿宋_GB2312"/>
          <w:color w:val="333333"/>
          <w:kern w:val="0"/>
          <w:sz w:val="32"/>
          <w:szCs w:val="32"/>
          <w:shd w:val="clear" w:color="auto" w:fill="FFFFFF"/>
          <w:lang w:val="en-US" w:eastAsia="zh-CN"/>
        </w:rPr>
      </w:pPr>
      <w:r>
        <w:rPr>
          <w:rFonts w:hint="eastAsia" w:ascii="仿宋_GB2312" w:eastAsia="仿宋_GB2312" w:cs="仿宋_GB2312"/>
          <w:color w:val="333333"/>
          <w:kern w:val="0"/>
          <w:sz w:val="32"/>
          <w:szCs w:val="32"/>
          <w:shd w:val="clear" w:color="auto" w:fill="FFFFFF"/>
          <w:lang w:val="en-US" w:eastAsia="zh-CN"/>
        </w:rPr>
        <w:t xml:space="preserve">2023年2月17日   </w:t>
      </w:r>
    </w:p>
    <w:p>
      <w:pPr>
        <w:keepNext w:val="0"/>
        <w:keepLines w:val="0"/>
        <w:pageBreakBefore w:val="0"/>
        <w:widowControl/>
        <w:suppressLineNumbers w:val="0"/>
        <w:kinsoku/>
        <w:wordWrap/>
        <w:overflowPunct/>
        <w:topLinePunct w:val="0"/>
        <w:autoSpaceDE/>
        <w:autoSpaceDN/>
        <w:adjustRightInd/>
        <w:snapToGrid/>
        <w:spacing w:line="600" w:lineRule="exact"/>
        <w:ind w:firstLine="640" w:firstLineChars="200"/>
        <w:jc w:val="right"/>
        <w:rPr>
          <w:rFonts w:hint="eastAsia" w:ascii="仿宋_GB2312" w:eastAsia="仿宋_GB2312" w:cs="仿宋_GB2312"/>
          <w:color w:val="333333"/>
          <w:kern w:val="0"/>
          <w:sz w:val="32"/>
          <w:szCs w:val="32"/>
          <w:shd w:val="clear" w:color="auto" w:fill="FFFFFF"/>
        </w:rPr>
      </w:pPr>
    </w:p>
    <w:sectPr>
      <w:pgSz w:w="11907" w:h="16840"/>
      <w:pgMar w:top="2041" w:right="1474" w:bottom="2041" w:left="147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Luxi Sans">
    <w:altName w:val="Arial"/>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5"/>
  </w:compat>
  <w:rsids>
    <w:rsidRoot w:val="00000000"/>
    <w:rsid w:val="3CDE58C9"/>
    <w:rsid w:val="7C7606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bCs/>
      <w:kern w:val="2"/>
      <w:sz w:val="21"/>
      <w:szCs w:val="22"/>
      <w:lang w:val="en-US" w:eastAsia="zh-CN" w:bidi="ar-SA"/>
    </w:rPr>
  </w:style>
  <w:style w:type="paragraph" w:styleId="2">
    <w:name w:val="heading 1"/>
    <w:basedOn w:val="1"/>
    <w:next w:val="1"/>
    <w:qFormat/>
    <w:uiPriority w:val="0"/>
    <w:pPr>
      <w:spacing w:before="0" w:beforeAutospacing="1" w:after="0" w:afterAutospacing="1"/>
      <w:jc w:val="left"/>
      <w:outlineLvl w:val="0"/>
    </w:pPr>
    <w:rPr>
      <w:rFonts w:ascii="宋体" w:eastAsia="宋体" w:cs="宋体"/>
      <w:b/>
      <w:kern w:val="44"/>
      <w:sz w:val="48"/>
      <w:szCs w:val="48"/>
      <w:lang w:val="en-US" w:eastAsia="zh-CN"/>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Normal (Web)"/>
    <w:basedOn w:val="1"/>
    <w:qFormat/>
    <w:uiPriority w:val="0"/>
    <w:pPr>
      <w:spacing w:before="0" w:beforeAutospacing="1" w:after="0" w:afterAutospacing="1"/>
      <w:ind w:left="0" w:right="0"/>
      <w:jc w:val="left"/>
    </w:pPr>
    <w:rPr>
      <w:kern w:val="0"/>
      <w:sz w:val="24"/>
      <w:lang w:val="en-US" w:eastAsia="zh-CN"/>
    </w:rPr>
  </w:style>
  <w:style w:type="character" w:styleId="8">
    <w:name w:val="Strong"/>
    <w:basedOn w:val="7"/>
    <w:qFormat/>
    <w:uiPriority w:val="0"/>
    <w:rPr>
      <w:b/>
    </w:rPr>
  </w:style>
  <w:style w:type="paragraph" w:customStyle="1" w:styleId="9">
    <w:name w:val="样式1"/>
    <w:basedOn w:val="1"/>
    <w:qFormat/>
    <w:uiPriority w:val="0"/>
    <w:rPr>
      <w:b/>
      <w:color w:val="548235"/>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Yozosoft</Company>
  <Pages>1</Pages>
  <Words>2</Words>
  <Characters>2</Characters>
  <Lines>1</Lines>
  <Paragraphs>0</Paragraphs>
  <TotalTime>30</TotalTime>
  <ScaleCrop>false</ScaleCrop>
  <LinksUpToDate>false</LinksUpToDate>
  <CharactersWithSpaces>2</CharactersWithSpaces>
  <Application>WPS Office_11.8.2.1120_F1E327BC-269C-435d-A152-05C5408002CA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2020-05-09T06:11:00Z</dcterms:created>
  <dc:creator>User274</dc:creator>
  <cp:lastModifiedBy>work</cp:lastModifiedBy>
  <cp:lastPrinted>2023-02-17T15:08:29Z</cp:lastPrinted>
  <dcterms:modified xsi:type="dcterms:W3CDTF">2023-02-17T15:09:11Z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A1F7A56AD9540A8BBDE8EE63133FEFDF</vt:lpwstr>
  </property>
</Properties>
</file>