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Autospacing="0" w:afterAutospacing="0" w:line="560" w:lineRule="exact"/>
        <w:jc w:val="center"/>
        <w:rPr>
          <w:rFonts w:ascii="方正小标宋简体" w:hAnsi="方正小标宋简体" w:eastAsia="方正小标宋简体" w:cs="方正小标宋简体"/>
          <w:bCs/>
          <w:color w:val="333333"/>
          <w:sz w:val="44"/>
          <w:szCs w:val="44"/>
          <w:shd w:val="clear" w:color="auto" w:fill="FFFFFF"/>
        </w:rPr>
      </w:pPr>
      <w:bookmarkStart w:id="0" w:name="_GoBack"/>
      <w:bookmarkEnd w:id="0"/>
      <w:r>
        <w:rPr>
          <w:rFonts w:hint="eastAsia" w:ascii="方正小标宋简体" w:hAnsi="方正小标宋简体" w:eastAsia="方正小标宋简体" w:cs="方正小标宋简体"/>
          <w:bCs/>
          <w:color w:val="333333"/>
          <w:sz w:val="44"/>
          <w:szCs w:val="44"/>
          <w:shd w:val="clear" w:color="auto" w:fill="FFFFFF"/>
        </w:rPr>
        <w:t>邢台市隆尧县科工局</w:t>
      </w:r>
    </w:p>
    <w:p>
      <w:pPr>
        <w:pStyle w:val="5"/>
        <w:spacing w:beforeAutospacing="0" w:afterLines="50" w:afterAutospacing="0" w:line="560" w:lineRule="exact"/>
        <w:jc w:val="center"/>
        <w:rPr>
          <w:rFonts w:ascii="方正小标宋简体" w:hAnsi="方正小标宋简体" w:eastAsia="方正小标宋简体" w:cs="方正小标宋简体"/>
          <w:bCs/>
          <w:color w:val="333333"/>
          <w:sz w:val="44"/>
          <w:szCs w:val="44"/>
          <w:shd w:val="clear" w:color="auto" w:fill="FFFFFF"/>
        </w:rPr>
      </w:pPr>
      <w:r>
        <w:rPr>
          <w:rFonts w:hint="eastAsia" w:ascii="方正小标宋简体" w:hAnsi="方正小标宋简体" w:eastAsia="方正小标宋简体" w:cs="方正小标宋简体"/>
          <w:bCs/>
          <w:color w:val="333333"/>
          <w:sz w:val="44"/>
          <w:szCs w:val="44"/>
          <w:shd w:val="clear" w:color="auto" w:fill="FFFFFF"/>
        </w:rPr>
        <w:t>202</w:t>
      </w:r>
      <w:r>
        <w:rPr>
          <w:rFonts w:hint="eastAsia" w:ascii="方正小标宋简体" w:hAnsi="方正小标宋简体" w:eastAsia="方正小标宋简体" w:cs="方正小标宋简体"/>
          <w:bCs/>
          <w:color w:val="333333"/>
          <w:sz w:val="44"/>
          <w:szCs w:val="44"/>
          <w:shd w:val="clear" w:color="auto" w:fill="FFFFFF"/>
          <w:lang w:val="en-US" w:eastAsia="zh-CN"/>
        </w:rPr>
        <w:t>2</w:t>
      </w:r>
      <w:r>
        <w:rPr>
          <w:rFonts w:hint="eastAsia" w:ascii="方正小标宋简体" w:hAnsi="方正小标宋简体" w:eastAsia="方正小标宋简体" w:cs="方正小标宋简体"/>
          <w:bCs/>
          <w:color w:val="333333"/>
          <w:sz w:val="44"/>
          <w:szCs w:val="44"/>
          <w:shd w:val="clear" w:color="auto" w:fill="FFFFFF"/>
        </w:rPr>
        <w:t>年政府信息公开工作年度报告</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202</w:t>
      </w:r>
      <w:r>
        <w:rPr>
          <w:rFonts w:hint="eastAsia" w:ascii="仿宋_GB2312" w:hAnsi="仿宋_GB2312" w:eastAsia="仿宋_GB2312" w:cs="仿宋_GB2312"/>
          <w:color w:val="000000"/>
          <w:sz w:val="32"/>
          <w:szCs w:val="32"/>
          <w:shd w:val="clear" w:color="auto" w:fill="FFFFFF"/>
          <w:lang w:val="en-US" w:eastAsia="zh-CN"/>
        </w:rPr>
        <w:t>2</w:t>
      </w:r>
      <w:r>
        <w:rPr>
          <w:rFonts w:hint="eastAsia" w:ascii="仿宋_GB2312" w:hAnsi="仿宋_GB2312" w:eastAsia="仿宋_GB2312" w:cs="仿宋_GB2312"/>
          <w:color w:val="000000"/>
          <w:sz w:val="32"/>
          <w:szCs w:val="32"/>
          <w:shd w:val="clear" w:color="auto" w:fill="FFFFFF"/>
        </w:rPr>
        <w:t>年，</w:t>
      </w:r>
      <w:r>
        <w:rPr>
          <w:rFonts w:hint="eastAsia" w:ascii="仿宋_GB2312" w:hAnsi="仿宋_GB2312" w:eastAsia="仿宋_GB2312" w:cs="仿宋_GB2312"/>
          <w:color w:val="000000"/>
          <w:sz w:val="32"/>
          <w:szCs w:val="32"/>
          <w:shd w:val="clear" w:color="auto" w:fill="FFFFFF"/>
          <w:lang w:eastAsia="zh-CN"/>
        </w:rPr>
        <w:t>隆尧县科工局</w:t>
      </w:r>
      <w:r>
        <w:rPr>
          <w:rFonts w:hint="eastAsia" w:ascii="仿宋_GB2312" w:hAnsi="仿宋_GB2312" w:eastAsia="仿宋_GB2312" w:cs="仿宋_GB2312"/>
          <w:sz w:val="32"/>
          <w:szCs w:val="32"/>
          <w:lang w:eastAsia="zh-CN"/>
        </w:rPr>
        <w:t>在</w:t>
      </w:r>
      <w:r>
        <w:rPr>
          <w:rFonts w:hint="eastAsia" w:ascii="仿宋_GB2312" w:hAnsi="仿宋_GB2312" w:eastAsia="仿宋_GB2312" w:cs="仿宋_GB2312"/>
          <w:sz w:val="32"/>
          <w:szCs w:val="32"/>
        </w:rPr>
        <w:t>县委县政府的正确领导下，</w:t>
      </w:r>
      <w:r>
        <w:rPr>
          <w:rFonts w:hint="eastAsia" w:ascii="仿宋_GB2312" w:hAnsi="仿宋_GB2312" w:eastAsia="仿宋_GB2312" w:cs="仿宋_GB2312"/>
          <w:sz w:val="32"/>
          <w:szCs w:val="32"/>
          <w:lang w:eastAsia="zh-CN"/>
        </w:rPr>
        <w:t>在</w:t>
      </w:r>
      <w:r>
        <w:rPr>
          <w:rFonts w:hint="eastAsia" w:ascii="仿宋_GB2312" w:hAnsi="仿宋_GB2312" w:eastAsia="仿宋_GB2312" w:cs="仿宋_GB2312"/>
          <w:sz w:val="32"/>
          <w:szCs w:val="32"/>
        </w:rPr>
        <w:t>上级科技</w:t>
      </w:r>
      <w:r>
        <w:rPr>
          <w:rFonts w:hint="eastAsia" w:ascii="仿宋_GB2312" w:hAnsi="仿宋_GB2312" w:eastAsia="仿宋_GB2312" w:cs="仿宋_GB2312"/>
          <w:sz w:val="32"/>
          <w:szCs w:val="32"/>
          <w:lang w:val="en-US" w:eastAsia="zh-CN"/>
        </w:rPr>
        <w:t>和工信等</w:t>
      </w:r>
      <w:r>
        <w:rPr>
          <w:rFonts w:hint="eastAsia" w:ascii="仿宋_GB2312" w:hAnsi="仿宋_GB2312" w:eastAsia="仿宋_GB2312" w:cs="仿宋_GB2312"/>
          <w:sz w:val="32"/>
          <w:szCs w:val="32"/>
        </w:rPr>
        <w:t>部门的指导</w:t>
      </w:r>
      <w:r>
        <w:rPr>
          <w:rFonts w:hint="eastAsia" w:ascii="仿宋_GB2312" w:hAnsi="仿宋_GB2312" w:eastAsia="仿宋_GB2312" w:cs="仿宋_GB2312"/>
          <w:sz w:val="32"/>
          <w:szCs w:val="32"/>
          <w:lang w:eastAsia="zh-CN"/>
        </w:rPr>
        <w:t>帮助下，坚持</w:t>
      </w:r>
      <w:r>
        <w:rPr>
          <w:rFonts w:hint="eastAsia" w:ascii="仿宋_GB2312" w:hAnsi="仿宋_GB2312" w:eastAsia="仿宋_GB2312" w:cs="仿宋_GB2312"/>
          <w:color w:val="000000"/>
          <w:sz w:val="32"/>
          <w:szCs w:val="32"/>
          <w:shd w:val="clear" w:color="auto" w:fill="FFFFFF"/>
        </w:rPr>
        <w:t>以习近平新时代中国特色社会主义思想为指导</w:t>
      </w:r>
      <w:r>
        <w:rPr>
          <w:rFonts w:hint="eastAsia" w:ascii="仿宋_GB2312" w:hAnsi="仿宋_GB2312" w:eastAsia="仿宋_GB2312" w:cs="仿宋_GB2312"/>
          <w:color w:val="000000"/>
          <w:sz w:val="32"/>
          <w:szCs w:val="32"/>
          <w:shd w:val="clear" w:color="auto" w:fill="FFFFFF"/>
          <w:lang w:eastAsia="zh-CN"/>
        </w:rPr>
        <w:t>、</w:t>
      </w:r>
      <w:r>
        <w:rPr>
          <w:rFonts w:hint="eastAsia" w:ascii="仿宋_GB2312" w:hAnsi="仿宋_GB2312" w:eastAsia="仿宋_GB2312" w:cs="仿宋_GB2312"/>
          <w:color w:val="000000"/>
          <w:sz w:val="32"/>
          <w:szCs w:val="32"/>
          <w:shd w:val="clear" w:color="auto" w:fill="FFFFFF"/>
        </w:rPr>
        <w:t>严格落实党中央、国务院关于全面推进政务公开工作的部署，对标</w:t>
      </w:r>
      <w:r>
        <w:rPr>
          <w:rFonts w:hint="eastAsia" w:ascii="仿宋_GB2312" w:hAnsi="仿宋_GB2312" w:eastAsia="仿宋_GB2312" w:cs="仿宋_GB2312"/>
          <w:color w:val="000000"/>
          <w:sz w:val="32"/>
          <w:szCs w:val="32"/>
          <w:shd w:val="clear" w:color="auto" w:fill="FFFFFF"/>
          <w:lang w:eastAsia="zh-CN"/>
        </w:rPr>
        <w:t>上级政务公开工作的安排部署，</w:t>
      </w:r>
      <w:r>
        <w:rPr>
          <w:rFonts w:hint="eastAsia" w:ascii="仿宋_GB2312" w:hAnsi="仿宋_GB2312" w:eastAsia="仿宋_GB2312" w:cs="仿宋_GB2312"/>
          <w:color w:val="000000"/>
          <w:sz w:val="32"/>
          <w:szCs w:val="32"/>
          <w:shd w:val="clear" w:color="auto" w:fill="FFFFFF"/>
        </w:rPr>
        <w:t>着力做好主动公开、依申请公开、公开平台建设、推进基层政务公开标准化、规范化工作。</w:t>
      </w:r>
    </w:p>
    <w:p>
      <w:pPr>
        <w:widowControl/>
        <w:ind w:firstLine="640" w:firstLineChars="200"/>
        <w:jc w:val="left"/>
        <w:rPr>
          <w:rFonts w:hint="eastAsia" w:ascii="仿宋_GB2312" w:hAnsi="仿宋_GB2312" w:eastAsia="仿宋_GB2312" w:cs="仿宋_GB2312"/>
          <w:b w:val="0"/>
          <w:bCs w:val="0"/>
          <w:color w:val="000000"/>
          <w:sz w:val="32"/>
          <w:szCs w:val="32"/>
          <w:shd w:val="clear" w:color="auto" w:fill="FFFFFF"/>
        </w:rPr>
      </w:pPr>
      <w:r>
        <w:rPr>
          <w:rFonts w:hint="eastAsia" w:ascii="仿宋_GB2312" w:hAnsi="仿宋_GB2312" w:eastAsia="仿宋_GB2312" w:cs="仿宋_GB2312"/>
          <w:b w:val="0"/>
          <w:bCs w:val="0"/>
          <w:color w:val="000000"/>
          <w:sz w:val="32"/>
          <w:szCs w:val="32"/>
          <w:shd w:val="clear" w:color="auto" w:fill="FFFFFF"/>
        </w:rPr>
        <w:t>一、总体情况</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一）主动公开进一步加强。认真贯彻落实政府信息公开《中华人民共和国政府信息公开条例》及省市县政务公开有关要求，结合科工局工作实际，规范开展信息公开工作。坚持正确、准确、及时原则发布信息。为加强对机关信息公开工作的组织领导，我局成立了政府信息公开工作领导小组，明确了一名分管领导，负责推进、指导、协调、监督全局的政府信息公开工作。指定了一名工作人员具体办理政府信息公开工作，负责做好政府网站单位专栏信息发布、网上依申请公开、每月按时报送政府信息公开工作情况等相关工作。同时，对照政务公开标准规范清单，主动公开单位基本信息、法定职责、办公地址、办公时间、联系方式以及主要负责人信息等，依法保障了人民群众对科工局管理工作的知情权、参与权、表达权和监督权。</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本年度发布信息规划、权责清单、公告公示、</w:t>
      </w:r>
      <w:r>
        <w:rPr>
          <w:rFonts w:hint="eastAsia" w:ascii="仿宋_GB2312" w:hAnsi="仿宋_GB2312" w:eastAsia="仿宋_GB2312" w:cs="仿宋_GB2312"/>
          <w:color w:val="000000"/>
          <w:sz w:val="32"/>
          <w:szCs w:val="32"/>
          <w:shd w:val="clear" w:color="auto" w:fill="FFFFFF"/>
          <w:lang w:eastAsia="zh-CN"/>
        </w:rPr>
        <w:t>工作部署</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lang w:eastAsia="zh-CN"/>
        </w:rPr>
        <w:t>助企纾困</w:t>
      </w:r>
      <w:r>
        <w:rPr>
          <w:rFonts w:hint="eastAsia" w:ascii="仿宋_GB2312" w:hAnsi="仿宋_GB2312" w:eastAsia="仿宋_GB2312" w:cs="仿宋_GB2312"/>
          <w:color w:val="000000"/>
          <w:sz w:val="32"/>
          <w:szCs w:val="32"/>
          <w:shd w:val="clear" w:color="auto" w:fill="FFFFFF"/>
        </w:rPr>
        <w:t>等</w:t>
      </w:r>
      <w:r>
        <w:rPr>
          <w:rFonts w:hint="eastAsia" w:ascii="仿宋_GB2312" w:hAnsi="仿宋_GB2312" w:eastAsia="仿宋_GB2312" w:cs="仿宋_GB2312"/>
          <w:color w:val="000000"/>
          <w:sz w:val="32"/>
          <w:szCs w:val="32"/>
          <w:shd w:val="clear" w:color="auto" w:fill="FFFFFF"/>
          <w:lang w:val="en-US" w:eastAsia="zh-CN"/>
        </w:rPr>
        <w:t>8</w:t>
      </w:r>
      <w:r>
        <w:rPr>
          <w:rFonts w:hint="eastAsia" w:ascii="仿宋_GB2312" w:hAnsi="仿宋_GB2312" w:eastAsia="仿宋_GB2312" w:cs="仿宋_GB2312"/>
          <w:color w:val="000000"/>
          <w:sz w:val="32"/>
          <w:szCs w:val="32"/>
          <w:shd w:val="clear" w:color="auto" w:fill="FFFFFF"/>
        </w:rPr>
        <w:t>个重点领域，202</w:t>
      </w:r>
      <w:r>
        <w:rPr>
          <w:rFonts w:hint="eastAsia" w:ascii="仿宋_GB2312" w:hAnsi="仿宋_GB2312" w:eastAsia="仿宋_GB2312" w:cs="仿宋_GB2312"/>
          <w:color w:val="000000"/>
          <w:sz w:val="32"/>
          <w:szCs w:val="32"/>
          <w:shd w:val="clear" w:color="auto" w:fill="FFFFFF"/>
          <w:lang w:val="en-US" w:eastAsia="zh-CN"/>
        </w:rPr>
        <w:t>2</w:t>
      </w:r>
      <w:r>
        <w:rPr>
          <w:rFonts w:hint="eastAsia" w:ascii="仿宋_GB2312" w:hAnsi="仿宋_GB2312" w:eastAsia="仿宋_GB2312" w:cs="仿宋_GB2312"/>
          <w:color w:val="000000"/>
          <w:sz w:val="32"/>
          <w:szCs w:val="32"/>
          <w:shd w:val="clear" w:color="auto" w:fill="FFFFFF"/>
        </w:rPr>
        <w:t>年，我局通过隆尧县政府网站主动公开政府信息</w:t>
      </w:r>
      <w:r>
        <w:rPr>
          <w:rFonts w:hint="eastAsia" w:ascii="仿宋_GB2312" w:hAnsi="仿宋_GB2312" w:eastAsia="仿宋_GB2312" w:cs="仿宋_GB2312"/>
          <w:color w:val="000000"/>
          <w:sz w:val="32"/>
          <w:szCs w:val="32"/>
          <w:shd w:val="clear" w:color="auto" w:fill="FFFFFF"/>
          <w:lang w:val="en-US" w:eastAsia="zh-CN"/>
        </w:rPr>
        <w:t>29</w:t>
      </w:r>
      <w:r>
        <w:rPr>
          <w:rFonts w:hint="eastAsia" w:ascii="仿宋_GB2312" w:hAnsi="仿宋_GB2312" w:eastAsia="仿宋_GB2312" w:cs="仿宋_GB2312"/>
          <w:color w:val="000000"/>
          <w:sz w:val="32"/>
          <w:szCs w:val="32"/>
          <w:shd w:val="clear" w:color="auto" w:fill="FFFFFF"/>
        </w:rPr>
        <w:t>条。其中，</w:t>
      </w:r>
      <w:r>
        <w:rPr>
          <w:rFonts w:hint="eastAsia" w:ascii="仿宋_GB2312" w:hAnsi="仿宋_GB2312" w:eastAsia="仿宋_GB2312" w:cs="仿宋_GB2312"/>
          <w:color w:val="000000"/>
          <w:sz w:val="32"/>
          <w:szCs w:val="32"/>
          <w:shd w:val="clear" w:color="auto" w:fill="FFFFFF"/>
          <w:lang w:eastAsia="zh-CN"/>
        </w:rPr>
        <w:t>政策文件类</w:t>
      </w:r>
      <w:r>
        <w:rPr>
          <w:rFonts w:hint="eastAsia" w:ascii="仿宋_GB2312" w:hAnsi="仿宋_GB2312" w:eastAsia="仿宋_GB2312" w:cs="仿宋_GB2312"/>
          <w:color w:val="000000"/>
          <w:sz w:val="32"/>
          <w:szCs w:val="32"/>
          <w:shd w:val="clear" w:color="auto" w:fill="FFFFFF"/>
          <w:lang w:val="en-US" w:eastAsia="zh-CN"/>
        </w:rPr>
        <w:t>1条，政策公开指南1条，</w:t>
      </w:r>
      <w:r>
        <w:rPr>
          <w:rFonts w:hint="eastAsia" w:ascii="仿宋_GB2312" w:hAnsi="仿宋_GB2312" w:eastAsia="仿宋_GB2312" w:cs="仿宋_GB2312"/>
          <w:color w:val="000000"/>
          <w:sz w:val="32"/>
          <w:szCs w:val="32"/>
          <w:shd w:val="clear" w:color="auto" w:fill="FFFFFF"/>
          <w:lang w:eastAsia="zh-CN"/>
        </w:rPr>
        <w:t>政策信息公开类</w:t>
      </w:r>
      <w:r>
        <w:rPr>
          <w:rFonts w:hint="eastAsia" w:ascii="仿宋_GB2312" w:hAnsi="仿宋_GB2312" w:eastAsia="仿宋_GB2312" w:cs="仿宋_GB2312"/>
          <w:color w:val="000000"/>
          <w:sz w:val="32"/>
          <w:szCs w:val="32"/>
          <w:shd w:val="clear" w:color="auto" w:fill="FFFFFF"/>
          <w:lang w:val="en-US" w:eastAsia="zh-CN"/>
        </w:rPr>
        <w:t>4条，</w:t>
      </w:r>
      <w:r>
        <w:rPr>
          <w:rFonts w:hint="eastAsia" w:ascii="仿宋_GB2312" w:hAnsi="仿宋_GB2312" w:eastAsia="仿宋_GB2312" w:cs="仿宋_GB2312"/>
          <w:color w:val="000000"/>
          <w:sz w:val="32"/>
          <w:szCs w:val="32"/>
          <w:shd w:val="clear" w:color="auto" w:fill="FFFFFF"/>
        </w:rPr>
        <w:t>公告公示3条，</w:t>
      </w:r>
      <w:r>
        <w:rPr>
          <w:rFonts w:hint="eastAsia" w:ascii="仿宋_GB2312" w:hAnsi="仿宋_GB2312" w:eastAsia="仿宋_GB2312" w:cs="仿宋_GB2312"/>
          <w:color w:val="000000"/>
          <w:sz w:val="32"/>
          <w:szCs w:val="32"/>
          <w:shd w:val="clear" w:color="auto" w:fill="FFFFFF"/>
          <w:lang w:eastAsia="zh-CN"/>
        </w:rPr>
        <w:t>工作部署</w:t>
      </w:r>
      <w:r>
        <w:rPr>
          <w:rFonts w:hint="eastAsia" w:ascii="仿宋_GB2312" w:hAnsi="仿宋_GB2312" w:eastAsia="仿宋_GB2312" w:cs="仿宋_GB2312"/>
          <w:color w:val="000000"/>
          <w:sz w:val="32"/>
          <w:szCs w:val="32"/>
          <w:shd w:val="clear" w:color="auto" w:fill="FFFFFF"/>
          <w:lang w:val="en-US" w:eastAsia="zh-CN"/>
        </w:rPr>
        <w:t>12条</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lang w:eastAsia="zh-CN"/>
        </w:rPr>
        <w:t>基层政务清单</w:t>
      </w:r>
      <w:r>
        <w:rPr>
          <w:rFonts w:hint="eastAsia" w:ascii="仿宋_GB2312" w:hAnsi="仿宋_GB2312" w:eastAsia="仿宋_GB2312" w:cs="仿宋_GB2312"/>
          <w:color w:val="000000"/>
          <w:sz w:val="32"/>
          <w:szCs w:val="32"/>
          <w:shd w:val="clear" w:color="auto" w:fill="FFFFFF"/>
          <w:lang w:val="en-US" w:eastAsia="zh-CN"/>
        </w:rPr>
        <w:t>1</w:t>
      </w:r>
      <w:r>
        <w:rPr>
          <w:rFonts w:hint="eastAsia" w:ascii="仿宋_GB2312" w:hAnsi="仿宋_GB2312" w:eastAsia="仿宋_GB2312" w:cs="仿宋_GB2312"/>
          <w:color w:val="000000"/>
          <w:sz w:val="32"/>
          <w:szCs w:val="32"/>
          <w:shd w:val="clear" w:color="auto" w:fill="FFFFFF"/>
        </w:rPr>
        <w:t>条，</w:t>
      </w:r>
      <w:r>
        <w:rPr>
          <w:rFonts w:hint="eastAsia" w:ascii="仿宋_GB2312" w:hAnsi="仿宋_GB2312" w:eastAsia="仿宋_GB2312" w:cs="仿宋_GB2312"/>
          <w:color w:val="000000"/>
          <w:sz w:val="32"/>
          <w:szCs w:val="32"/>
          <w:shd w:val="clear" w:color="auto" w:fill="FFFFFF"/>
          <w:lang w:eastAsia="zh-CN"/>
        </w:rPr>
        <w:t>县稳经济政策</w:t>
      </w:r>
      <w:r>
        <w:rPr>
          <w:rFonts w:hint="eastAsia" w:ascii="仿宋_GB2312" w:hAnsi="仿宋_GB2312" w:eastAsia="仿宋_GB2312" w:cs="仿宋_GB2312"/>
          <w:color w:val="000000"/>
          <w:sz w:val="32"/>
          <w:szCs w:val="32"/>
          <w:shd w:val="clear" w:color="auto" w:fill="FFFFFF"/>
          <w:lang w:val="en-US" w:eastAsia="zh-CN"/>
        </w:rPr>
        <w:t>2条，助企纾困解难5条。</w:t>
      </w:r>
      <w:r>
        <w:rPr>
          <w:rFonts w:hint="eastAsia" w:ascii="仿宋_GB2312" w:hAnsi="仿宋_GB2312" w:eastAsia="仿宋_GB2312" w:cs="仿宋_GB2312"/>
          <w:color w:val="000000"/>
          <w:sz w:val="32"/>
          <w:szCs w:val="32"/>
          <w:shd w:val="clear" w:color="auto" w:fill="FFFFFF"/>
        </w:rPr>
        <w:t>内容</w:t>
      </w:r>
      <w:r>
        <w:rPr>
          <w:rFonts w:hint="eastAsia" w:ascii="仿宋_GB2312" w:hAnsi="仿宋_GB2312" w:eastAsia="仿宋_GB2312" w:cs="仿宋_GB2312"/>
          <w:color w:val="000000"/>
          <w:sz w:val="32"/>
          <w:szCs w:val="32"/>
          <w:shd w:val="clear" w:color="auto" w:fill="FFFFFF"/>
          <w:lang w:eastAsia="zh-CN"/>
        </w:rPr>
        <w:t>涉及学习党的方针政策、</w:t>
      </w:r>
      <w:r>
        <w:rPr>
          <w:rFonts w:hint="eastAsia" w:ascii="仿宋_GB2312" w:hAnsi="仿宋_GB2312" w:eastAsia="仿宋_GB2312" w:cs="仿宋_GB2312"/>
          <w:color w:val="000000"/>
          <w:sz w:val="32"/>
          <w:szCs w:val="32"/>
          <w:shd w:val="clear" w:color="auto" w:fill="FFFFFF"/>
        </w:rPr>
        <w:t>产业升级培训、指导企业培训</w:t>
      </w:r>
      <w:r>
        <w:rPr>
          <w:rFonts w:hint="eastAsia" w:ascii="仿宋_GB2312" w:hAnsi="仿宋_GB2312" w:eastAsia="仿宋_GB2312" w:cs="仿宋_GB2312"/>
          <w:color w:val="000000"/>
          <w:sz w:val="32"/>
          <w:szCs w:val="32"/>
          <w:shd w:val="clear" w:color="auto" w:fill="FFFFFF"/>
          <w:lang w:eastAsia="zh-CN"/>
        </w:rPr>
        <w:t>、助企纾困解难、工业企业安全生产督导检查</w:t>
      </w:r>
      <w:r>
        <w:rPr>
          <w:rFonts w:hint="eastAsia" w:ascii="仿宋_GB2312" w:hAnsi="仿宋_GB2312" w:eastAsia="仿宋_GB2312" w:cs="仿宋_GB2312"/>
          <w:color w:val="000000"/>
          <w:sz w:val="32"/>
          <w:szCs w:val="32"/>
          <w:shd w:val="clear" w:color="auto" w:fill="FFFFFF"/>
        </w:rPr>
        <w:t>等方面。</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（二）依申请公开进一步规范。</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严格执行新出台的《条例》，进一步规范政府信息公开申请办理工作，优化依申请工作流程。202</w:t>
      </w:r>
      <w:r>
        <w:rPr>
          <w:rFonts w:hint="eastAsia" w:ascii="仿宋_GB2312" w:hAnsi="仿宋_GB2312" w:eastAsia="仿宋_GB2312" w:cs="仿宋_GB2312"/>
          <w:color w:val="000000"/>
          <w:sz w:val="32"/>
          <w:szCs w:val="32"/>
          <w:shd w:val="clear" w:color="auto" w:fill="FFFFFF"/>
          <w:lang w:val="en-US" w:eastAsia="zh-CN"/>
        </w:rPr>
        <w:t>2</w:t>
      </w:r>
      <w:r>
        <w:rPr>
          <w:rFonts w:hint="eastAsia" w:ascii="仿宋_GB2312" w:hAnsi="仿宋_GB2312" w:eastAsia="仿宋_GB2312" w:cs="仿宋_GB2312"/>
          <w:color w:val="000000"/>
          <w:sz w:val="32"/>
          <w:szCs w:val="32"/>
          <w:shd w:val="clear" w:color="auto" w:fill="FFFFFF"/>
        </w:rPr>
        <w:t>年，我局未收到政府信息公开申请。</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（三）政府信息管理更加规范。</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认真落实政府信息公开的程序与要求，一是健全完善了政府信息制作、获取、保存、处理等方面制度。二是建立政府信息依申请公开工作机制。三是建立政府信息公开年度工作报告制度，对政府信息公开年报做出具体要求。确保政府信息公开工作到位，凡政务公开的信息都要报分管领导审核，主要领导审批。</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（四）公开平台建设进一步加快。</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着力落实省、市、县政务新媒体建设文件要求，有序推进我县政务新媒体建设工作，对我单位政务公开页面的机构职能、履职依据、领导信息等内容及时更新完善，确保了部门法定主动公开内容及时向社会公布。</w:t>
      </w:r>
    </w:p>
    <w:p>
      <w:pPr>
        <w:widowControl/>
        <w:ind w:firstLine="640" w:firstLineChars="200"/>
        <w:jc w:val="left"/>
        <w:rPr>
          <w:rFonts w:hint="eastAsia" w:ascii="仿宋_GB2312" w:hAnsi="仿宋_GB2312" w:eastAsia="仿宋_GB2312" w:cs="仿宋_GB2312"/>
          <w:color w:val="000000"/>
          <w:sz w:val="32"/>
          <w:szCs w:val="32"/>
          <w:shd w:val="clear" w:color="auto" w:fill="FFFFFF"/>
          <w:lang w:val="en-US" w:eastAsia="zh-CN"/>
        </w:rPr>
      </w:pPr>
      <w:r>
        <w:rPr>
          <w:rFonts w:hint="eastAsia" w:ascii="仿宋_GB2312" w:hAnsi="仿宋_GB2312" w:eastAsia="仿宋_GB2312" w:cs="仿宋_GB2312"/>
          <w:color w:val="000000"/>
          <w:sz w:val="32"/>
          <w:szCs w:val="32"/>
          <w:shd w:val="clear" w:color="auto" w:fill="FFFFFF"/>
        </w:rPr>
        <w:t>（五）组织协调监督保障持续加强</w:t>
      </w:r>
      <w:r>
        <w:rPr>
          <w:rFonts w:hint="eastAsia" w:ascii="仿宋_GB2312" w:hAnsi="仿宋_GB2312" w:eastAsia="仿宋_GB2312" w:cs="仿宋_GB2312"/>
          <w:color w:val="000000"/>
          <w:sz w:val="32"/>
          <w:szCs w:val="32"/>
          <w:shd w:val="clear" w:color="auto" w:fill="FFFFFF"/>
          <w:lang w:val="en-US" w:eastAsia="zh-CN"/>
        </w:rPr>
        <w:t>.</w:t>
      </w:r>
    </w:p>
    <w:p>
      <w:pPr>
        <w:widowControl/>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sz w:val="32"/>
          <w:szCs w:val="32"/>
          <w:shd w:val="clear" w:color="auto" w:fill="FFFFFF"/>
        </w:rPr>
        <w:t>组织协调保障持续加强，我单位高度重视政务公开工作，为加强对单位信息公开工作的组织领导，我局成立了政府信息公开工作</w:t>
      </w:r>
      <w:r>
        <w:rPr>
          <w:rFonts w:hint="eastAsia" w:ascii="仿宋_GB2312" w:hAnsi="仿宋_GB2312" w:eastAsia="仿宋_GB2312" w:cs="仿宋_GB2312"/>
          <w:color w:val="000000"/>
          <w:kern w:val="0"/>
          <w:sz w:val="32"/>
          <w:szCs w:val="32"/>
        </w:rPr>
        <w:t>领导小组，明确了一名分管领导负责推进、指导、协调、监督全局的政府信息公开工作。我局上、下半年各开展一次政务公开自查工作，对照测评指标逐项检查政务公开工作落实情况，查找政务公开工作存在的问题并及时改进。</w:t>
      </w:r>
    </w:p>
    <w:p>
      <w:pPr>
        <w:widowControl/>
        <w:jc w:val="left"/>
        <w:rPr>
          <w:rFonts w:hint="eastAsia" w:ascii="仿宋_GB2312" w:hAnsi="仿宋_GB2312" w:eastAsia="仿宋_GB2312" w:cs="仿宋_GB2312"/>
          <w:b w:val="0"/>
          <w:bCs w:val="0"/>
          <w:color w:val="000000"/>
          <w:kern w:val="0"/>
          <w:sz w:val="32"/>
          <w:szCs w:val="32"/>
        </w:rPr>
      </w:pPr>
      <w:r>
        <w:rPr>
          <w:rFonts w:hint="eastAsia" w:ascii="仿宋_GB2312" w:hAnsi="仿宋_GB2312" w:eastAsia="仿宋_GB2312" w:cs="仿宋_GB2312"/>
          <w:b w:val="0"/>
          <w:bCs w:val="0"/>
          <w:color w:val="000000"/>
          <w:kern w:val="0"/>
          <w:sz w:val="32"/>
          <w:szCs w:val="32"/>
        </w:rPr>
        <w:t>二、主动公开政府信息情况</w:t>
      </w:r>
    </w:p>
    <w:tbl>
      <w:tblPr>
        <w:tblStyle w:val="7"/>
        <w:tblW w:w="9740" w:type="dxa"/>
        <w:jc w:val="center"/>
        <w:tblLayout w:type="fixed"/>
        <w:tblCellMar>
          <w:top w:w="0" w:type="dxa"/>
          <w:left w:w="0" w:type="dxa"/>
          <w:bottom w:w="0" w:type="dxa"/>
          <w:right w:w="0" w:type="dxa"/>
        </w:tblCellMar>
      </w:tblPr>
      <w:tblGrid>
        <w:gridCol w:w="2435"/>
        <w:gridCol w:w="2435"/>
        <w:gridCol w:w="2435"/>
        <w:gridCol w:w="2435"/>
      </w:tblGrid>
      <w:tr>
        <w:tblPrEx>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pPr>
            <w:r>
              <w:rPr>
                <w:rFonts w:hint="eastAsia" w:ascii="宋体" w:hAnsi="宋体" w:eastAsia="宋体" w:cs="宋体"/>
                <w:color w:val="000000"/>
                <w:kern w:val="0"/>
                <w:sz w:val="20"/>
                <w:szCs w:val="20"/>
              </w:rPr>
              <w:t>第二十条第（一）项</w:t>
            </w:r>
          </w:p>
        </w:tc>
      </w:tr>
      <w:tr>
        <w:tblPrEx>
          <w:tblCellMar>
            <w:top w:w="0" w:type="dxa"/>
            <w:left w:w="0" w:type="dxa"/>
            <w:bottom w:w="0" w:type="dxa"/>
            <w:right w:w="0" w:type="dxa"/>
          </w:tblCellMar>
        </w:tblPrEx>
        <w:trPr>
          <w:trHeight w:val="484"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w:t>
            </w:r>
            <w:r>
              <w:rPr>
                <w:rFonts w:hint="eastAsia" w:ascii="宋体" w:hAnsi="宋体" w:eastAsia="宋体" w:cs="宋体"/>
                <w:kern w:val="0"/>
                <w:sz w:val="20"/>
                <w:szCs w:val="20"/>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现行有效件</w:t>
            </w:r>
            <w:r>
              <w:rPr>
                <w:rFonts w:hint="eastAsia" w:ascii="宋体" w:hAnsi="宋体" w:eastAsia="宋体" w:cs="宋体"/>
                <w:kern w:val="0"/>
                <w:sz w:val="20"/>
                <w:szCs w:val="20"/>
              </w:rPr>
              <w:t>数</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ascii="Calibri" w:hAnsi="Calibri" w:cs="Calibri"/>
                <w:kern w:val="0"/>
                <w:szCs w:val="21"/>
              </w:rPr>
              <w:t> </w:t>
            </w:r>
            <w:r>
              <w:rPr>
                <w:rFonts w:hint="eastAsia" w:ascii="Calibri" w:hAnsi="Calibri" w:cs="Calibri"/>
                <w:kern w:val="0"/>
                <w:szCs w:val="21"/>
              </w:rPr>
              <w:t>0</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ascii="Calibri" w:hAnsi="Calibri" w:cs="Calibri"/>
                <w:kern w:val="0"/>
                <w:szCs w:val="21"/>
              </w:rPr>
              <w:t> </w:t>
            </w:r>
            <w:r>
              <w:rPr>
                <w:rFonts w:hint="eastAsia" w:ascii="Calibri" w:hAnsi="Calibri" w:cs="Calibri"/>
                <w:kern w:val="0"/>
                <w:szCs w:val="21"/>
              </w:rPr>
              <w:t>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pPr>
            <w:r>
              <w:rPr>
                <w:rFonts w:hint="eastAsia" w:ascii="宋体" w:hAnsi="宋体" w:eastAsia="宋体" w:cs="宋体"/>
                <w:color w:val="000000"/>
                <w:kern w:val="0"/>
                <w:sz w:val="20"/>
                <w:szCs w:val="20"/>
              </w:rPr>
              <w:t>第二十条第（五）项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本年处理决定数量</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ascii="Calibri" w:hAnsi="Calibri" w:cs="Calibri"/>
                <w:kern w:val="0"/>
                <w:szCs w:val="21"/>
              </w:rPr>
              <w:t> </w:t>
            </w:r>
            <w:r>
              <w:rPr>
                <w:rFonts w:hint="eastAsia" w:ascii="Calibri" w:hAnsi="Calibri" w:cs="Calibri"/>
                <w:kern w:val="0"/>
                <w:szCs w:val="21"/>
              </w:rPr>
              <w:t>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pPr>
            <w:r>
              <w:rPr>
                <w:rFonts w:hint="eastAsia" w:ascii="宋体" w:hAnsi="宋体" w:eastAsia="宋体" w:cs="宋体"/>
                <w:color w:val="000000"/>
                <w:kern w:val="0"/>
                <w:sz w:val="20"/>
                <w:szCs w:val="20"/>
              </w:rPr>
              <w:t>第二十条第（六）项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本年处理决定数量</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rPr>
                <w:color w:val="FFFFFF" w:themeColor="background1"/>
                <w14:textFill>
                  <w14:solidFill>
                    <w14:schemeClr w14:val="bg1"/>
                  </w14:solidFill>
                </w14:textFill>
              </w:rPr>
            </w:pPr>
            <w:r>
              <w:rPr>
                <w:rFonts w:hint="eastAsia" w:ascii="宋体" w:hAnsi="宋体" w:eastAsia="宋体" w:cs="宋体"/>
                <w:color w:val="FFFFFF" w:themeColor="background1"/>
                <w:kern w:val="0"/>
                <w:sz w:val="20"/>
                <w:szCs w:val="20"/>
                <w14:textFill>
                  <w14:solidFill>
                    <w14:schemeClr w14:val="bg1"/>
                  </w14:solidFill>
                </w14:textFill>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rPr>
                <w:color w:val="FFFFFF" w:themeColor="background1"/>
                <w14:textFill>
                  <w14:solidFill>
                    <w14:schemeClr w14:val="bg1"/>
                  </w14:solidFill>
                </w14:textFill>
              </w:rPr>
            </w:pPr>
            <w:r>
              <w:rPr>
                <w:rFonts w:hint="eastAsia" w:ascii="宋体" w:hAnsi="宋体" w:eastAsia="宋体" w:cs="宋体"/>
                <w:color w:val="FFFFFF" w:themeColor="background1"/>
                <w:kern w:val="0"/>
                <w:sz w:val="20"/>
                <w:szCs w:val="20"/>
                <w14:textFill>
                  <w14:solidFill>
                    <w14:schemeClr w14:val="bg1"/>
                  </w14:solidFill>
                </w14:textFill>
              </w:rPr>
              <w:t>　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rPr>
                <w:color w:val="FFFFFF" w:themeColor="background1"/>
                <w14:textFill>
                  <w14:solidFill>
                    <w14:schemeClr w14:val="bg1"/>
                  </w14:solidFill>
                </w14:textFill>
              </w:rPr>
            </w:pPr>
            <w:r>
              <w:rPr>
                <w:rFonts w:hint="eastAsia" w:ascii="宋体" w:hAnsi="宋体" w:eastAsia="宋体" w:cs="宋体"/>
                <w:color w:val="auto"/>
                <w:kern w:val="0"/>
                <w:sz w:val="20"/>
                <w:szCs w:val="20"/>
              </w:rPr>
              <w:t>第二十条第（八）项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本年收费金额（单位：万元）</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ascii="宋体"/>
                <w:sz w:val="24"/>
              </w:rPr>
            </w:pPr>
            <w:r>
              <w:rPr>
                <w:rFonts w:hint="eastAsia" w:ascii="宋体"/>
                <w:sz w:val="24"/>
              </w:rPr>
              <w:t>0</w:t>
            </w:r>
          </w:p>
        </w:tc>
      </w:tr>
    </w:tbl>
    <w:p>
      <w:pPr>
        <w:widowControl/>
        <w:jc w:val="left"/>
        <w:rPr>
          <w:rFonts w:hint="eastAsia" w:ascii="仿宋_GB2312" w:hAnsi="仿宋_GB2312" w:eastAsia="仿宋_GB2312" w:cs="仿宋_GB2312"/>
          <w:b w:val="0"/>
          <w:bCs w:val="0"/>
          <w:kern w:val="0"/>
          <w:sz w:val="32"/>
          <w:szCs w:val="32"/>
        </w:rPr>
      </w:pPr>
      <w:r>
        <w:rPr>
          <w:rFonts w:hint="eastAsia" w:ascii="仿宋_GB2312" w:hAnsi="仿宋_GB2312" w:eastAsia="仿宋_GB2312" w:cs="仿宋_GB2312"/>
          <w:b w:val="0"/>
          <w:bCs w:val="0"/>
          <w:kern w:val="0"/>
          <w:sz w:val="32"/>
          <w:szCs w:val="32"/>
        </w:rPr>
        <w:t>三、收到和处理政府信息公开申请情况</w:t>
      </w:r>
    </w:p>
    <w:p>
      <w:pPr>
        <w:widowControl/>
        <w:jc w:val="left"/>
        <w:rPr>
          <w:rFonts w:hint="eastAsia" w:ascii="仿宋_GB2312" w:hAnsi="仿宋_GB2312" w:eastAsia="仿宋_GB2312" w:cs="仿宋_GB2312"/>
          <w:b/>
          <w:bCs/>
          <w:kern w:val="0"/>
          <w:sz w:val="32"/>
          <w:szCs w:val="32"/>
        </w:rPr>
      </w:pPr>
    </w:p>
    <w:p>
      <w:pPr>
        <w:widowControl/>
        <w:jc w:val="left"/>
        <w:rPr>
          <w:rFonts w:hint="eastAsia" w:ascii="宋体" w:hAnsi="宋体" w:eastAsia="宋体" w:cs="宋体"/>
          <w:kern w:val="0"/>
          <w:sz w:val="20"/>
          <w:szCs w:val="20"/>
        </w:rPr>
      </w:pP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3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widowControl/>
              <w:jc w:val="left"/>
            </w:pPr>
            <w:r>
              <w:rPr>
                <w:rFonts w:hint="eastAsia" w:ascii="楷体" w:hAnsi="楷体" w:eastAsia="楷体" w:cs="楷体"/>
                <w:kern w:val="0"/>
                <w:sz w:val="20"/>
                <w:szCs w:val="20"/>
              </w:rPr>
              <w:t>（本列数据的勾稽关系为：第一项加第二项之和，等于第三项加第四项之和）</w:t>
            </w:r>
          </w:p>
        </w:tc>
        <w:tc>
          <w:tcPr>
            <w:tcW w:w="4845"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ascii="宋体"/>
                <w:sz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法人或其他组织</w:t>
            </w:r>
          </w:p>
        </w:tc>
        <w:tc>
          <w:tcPr>
            <w:tcW w:w="637" w:type="dxa"/>
            <w:vMerge w:val="restart"/>
            <w:tcBorders>
              <w:top w:val="single" w:color="auto" w:sz="8" w:space="0"/>
              <w:left w:val="nil"/>
              <w:bottom w:val="outset"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ascii="宋体"/>
                <w:sz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ascii="宋体"/>
                <w:sz w:val="24"/>
              </w:rPr>
            </w:pPr>
          </w:p>
        </w:tc>
        <w:tc>
          <w:tcPr>
            <w:tcW w:w="73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pPr>
            <w:r>
              <w:rPr>
                <w:rFonts w:hint="eastAsia" w:ascii="宋体" w:hAnsi="宋体" w:eastAsia="宋体" w:cs="宋体"/>
                <w:kern w:val="0"/>
                <w:sz w:val="20"/>
                <w:szCs w:val="20"/>
              </w:rPr>
              <w:t>商业</w:t>
            </w:r>
          </w:p>
          <w:p>
            <w:pPr>
              <w:widowControl/>
            </w:pPr>
            <w:r>
              <w:rPr>
                <w:rFonts w:hint="eastAsia" w:ascii="宋体" w:hAnsi="宋体" w:eastAsia="宋体" w:cs="宋体"/>
                <w:kern w:val="0"/>
                <w:sz w:val="20"/>
                <w:szCs w:val="20"/>
              </w:rPr>
              <w:t>企业</w:t>
            </w:r>
          </w:p>
        </w:tc>
        <w:tc>
          <w:tcPr>
            <w:tcW w:w="73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pPr>
            <w:r>
              <w:rPr>
                <w:rFonts w:hint="eastAsia" w:ascii="宋体" w:hAnsi="宋体" w:eastAsia="宋体" w:cs="宋体"/>
                <w:kern w:val="0"/>
                <w:sz w:val="20"/>
                <w:szCs w:val="20"/>
              </w:rPr>
              <w:t>科研</w:t>
            </w:r>
          </w:p>
          <w:p>
            <w:pPr>
              <w:widowControl/>
            </w:pPr>
            <w:r>
              <w:rPr>
                <w:rFonts w:hint="eastAsia" w:ascii="宋体" w:hAnsi="宋体" w:eastAsia="宋体" w:cs="宋体"/>
                <w:kern w:val="0"/>
                <w:sz w:val="20"/>
                <w:szCs w:val="20"/>
              </w:rPr>
              <w:t>机构</w:t>
            </w:r>
          </w:p>
        </w:tc>
        <w:tc>
          <w:tcPr>
            <w:tcW w:w="68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其他</w:t>
            </w:r>
          </w:p>
        </w:tc>
        <w:tc>
          <w:tcPr>
            <w:tcW w:w="637" w:type="dxa"/>
            <w:vMerge w:val="continue"/>
            <w:tcBorders>
              <w:top w:val="single" w:color="auto" w:sz="8" w:space="0"/>
              <w:left w:val="nil"/>
              <w:bottom w:val="outset" w:color="auto" w:sz="8" w:space="0"/>
              <w:right w:val="single" w:color="auto" w:sz="8" w:space="0"/>
            </w:tcBorders>
            <w:shd w:val="clear" w:color="auto" w:fill="auto"/>
            <w:tcMar>
              <w:left w:w="108" w:type="dxa"/>
              <w:right w:w="108" w:type="dxa"/>
            </w:tcMar>
            <w:vAlign w:val="center"/>
          </w:tcPr>
          <w:p>
            <w:pPr>
              <w:rPr>
                <w:rFonts w:ascii="宋体"/>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（二）部分公开</w:t>
            </w:r>
            <w:r>
              <w:rPr>
                <w:rFonts w:hint="eastAsia" w:ascii="楷体" w:hAnsi="楷体" w:eastAsia="楷体" w:cs="楷体"/>
                <w:kern w:val="0"/>
                <w:sz w:val="20"/>
                <w:szCs w:val="20"/>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pPr>
              <w:widowControl/>
            </w:pPr>
            <w:r>
              <w:rPr>
                <w:rFonts w:hint="eastAsia" w:ascii="宋体" w:hAnsi="宋体" w:eastAsia="宋体" w:cs="宋体"/>
                <w:kern w:val="0"/>
                <w:sz w:val="20"/>
                <w:szCs w:val="20"/>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pPr>
            <w:r>
              <w:rPr>
                <w:rFonts w:hint="eastAsia" w:ascii="宋体" w:hAnsi="宋体" w:eastAsia="宋体" w:cs="宋体"/>
                <w:kern w:val="0"/>
                <w:sz w:val="20"/>
                <w:szCs w:val="20"/>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197"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pPr>
            <w:r>
              <w:rPr>
                <w:rFonts w:hint="eastAsia" w:ascii="宋体" w:hAnsi="宋体" w:eastAsia="宋体" w:cs="宋体"/>
                <w:kern w:val="0"/>
                <w:sz w:val="20"/>
                <w:szCs w:val="20"/>
              </w:rPr>
              <w:t>2.申请人逾期未按收费通知要求缴纳费用、行政机关不再处理其政府信息公开申请</w:t>
            </w:r>
          </w:p>
        </w:tc>
        <w:tc>
          <w:tcPr>
            <w:tcW w:w="685" w:type="dxa"/>
            <w:tcBorders>
              <w:top w:val="nil"/>
              <w:left w:val="nil"/>
              <w:bottom w:val="single" w:color="auto" w:sz="4"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4"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4"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4"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4"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nil"/>
              <w:left w:val="nil"/>
              <w:bottom w:val="single" w:color="auto" w:sz="4"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nil"/>
              <w:left w:val="nil"/>
              <w:bottom w:val="single" w:color="auto" w:sz="4"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41" w:type="dxa"/>
            <w:vMerge w:val="continue"/>
            <w:tcBorders>
              <w:top w:val="outset" w:color="auto" w:sz="8" w:space="0"/>
              <w:left w:val="nil"/>
              <w:bottom w:val="outset" w:color="auto" w:sz="8" w:space="0"/>
              <w:right w:val="single" w:color="auto" w:sz="4" w:space="0"/>
            </w:tcBorders>
            <w:shd w:val="clear" w:color="auto" w:fill="auto"/>
            <w:tcMar>
              <w:left w:w="57" w:type="dxa"/>
              <w:right w:w="57" w:type="dxa"/>
            </w:tcMar>
            <w:vAlign w:val="center"/>
          </w:tcPr>
          <w:p>
            <w:pPr>
              <w:rPr>
                <w:rFonts w:ascii="宋体"/>
                <w:sz w:val="24"/>
              </w:rPr>
            </w:pPr>
          </w:p>
        </w:tc>
        <w:tc>
          <w:tcPr>
            <w:tcW w:w="3197"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3.其他</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34"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4" w:space="0"/>
            </w:tcBorders>
            <w:shd w:val="clear" w:color="auto" w:fill="auto"/>
            <w:tcMar>
              <w:left w:w="57" w:type="dxa"/>
              <w:right w:w="57" w:type="dxa"/>
            </w:tcMar>
            <w:vAlign w:val="center"/>
          </w:tcPr>
          <w:p>
            <w:pPr>
              <w:rPr>
                <w:rFonts w:ascii="宋体"/>
                <w:sz w:val="24"/>
              </w:rPr>
            </w:pPr>
          </w:p>
        </w:tc>
        <w:tc>
          <w:tcPr>
            <w:tcW w:w="4138" w:type="dxa"/>
            <w:gridSpan w:val="2"/>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（七）总计</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p>
        </w:tc>
        <w:tc>
          <w:tcPr>
            <w:tcW w:w="734"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85"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637" w:type="dxa"/>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3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85"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637"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bl>
    <w:p>
      <w:pPr>
        <w:widowControl/>
        <w:ind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四、政府信息公开行政复议、行政诉讼情况</w:t>
      </w:r>
    </w:p>
    <w:p>
      <w:pPr>
        <w:widowControl/>
        <w:jc w:val="center"/>
        <w:rPr>
          <w:rFonts w:hint="eastAsia" w:ascii="黑体" w:hAnsi="宋体" w:eastAsia="黑体" w:cs="黑体"/>
          <w:kern w:val="0"/>
          <w:sz w:val="20"/>
          <w:szCs w:val="20"/>
          <w:lang w:val="en-US" w:eastAsia="zh-CN"/>
        </w:rPr>
      </w:pP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结果</w:t>
            </w:r>
          </w:p>
          <w:p>
            <w:pPr>
              <w:widowControl/>
              <w:jc w:val="center"/>
            </w:pPr>
            <w:r>
              <w:rPr>
                <w:rFonts w:hint="eastAsia" w:ascii="宋体" w:hAnsi="宋体" w:eastAsia="宋体" w:cs="宋体"/>
                <w:kern w:val="0"/>
                <w:sz w:val="20"/>
                <w:szCs w:val="20"/>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其他</w:t>
            </w:r>
          </w:p>
          <w:p>
            <w:pPr>
              <w:widowControl/>
              <w:jc w:val="center"/>
            </w:pPr>
            <w:r>
              <w:rPr>
                <w:rFonts w:hint="eastAsia" w:ascii="宋体" w:hAnsi="宋体" w:eastAsia="宋体" w:cs="宋体"/>
                <w:kern w:val="0"/>
                <w:sz w:val="20"/>
                <w:szCs w:val="20"/>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尚未</w:t>
            </w:r>
          </w:p>
          <w:p>
            <w:pPr>
              <w:widowControl/>
              <w:jc w:val="center"/>
            </w:pPr>
            <w:r>
              <w:rPr>
                <w:rFonts w:hint="eastAsia" w:ascii="宋体" w:hAnsi="宋体" w:eastAsia="宋体" w:cs="宋体"/>
                <w:kern w:val="0"/>
                <w:sz w:val="20"/>
                <w:szCs w:val="20"/>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结果</w:t>
            </w:r>
          </w:p>
          <w:p>
            <w:pPr>
              <w:widowControl/>
              <w:jc w:val="center"/>
            </w:pPr>
            <w:r>
              <w:rPr>
                <w:rFonts w:hint="eastAsia" w:ascii="宋体" w:hAnsi="宋体" w:eastAsia="宋体" w:cs="宋体"/>
                <w:kern w:val="0"/>
                <w:sz w:val="20"/>
                <w:szCs w:val="20"/>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结果</w:t>
            </w:r>
          </w:p>
          <w:p>
            <w:pPr>
              <w:widowControl/>
              <w:jc w:val="center"/>
            </w:pPr>
            <w:r>
              <w:rPr>
                <w:rFonts w:hint="eastAsia" w:ascii="宋体" w:hAnsi="宋体" w:eastAsia="宋体" w:cs="宋体"/>
                <w:kern w:val="0"/>
                <w:sz w:val="20"/>
                <w:szCs w:val="20"/>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其他</w:t>
            </w:r>
          </w:p>
          <w:p>
            <w:pPr>
              <w:widowControl/>
              <w:jc w:val="center"/>
            </w:pPr>
            <w:r>
              <w:rPr>
                <w:rFonts w:hint="eastAsia" w:ascii="宋体" w:hAnsi="宋体" w:eastAsia="宋体" w:cs="宋体"/>
                <w:kern w:val="0"/>
                <w:sz w:val="20"/>
                <w:szCs w:val="20"/>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尚未</w:t>
            </w:r>
          </w:p>
          <w:p>
            <w:pPr>
              <w:widowControl/>
              <w:jc w:val="center"/>
            </w:pPr>
            <w:r>
              <w:rPr>
                <w:rFonts w:hint="eastAsia" w:ascii="宋体" w:hAnsi="宋体" w:eastAsia="宋体" w:cs="宋体"/>
                <w:kern w:val="0"/>
                <w:sz w:val="20"/>
                <w:szCs w:val="20"/>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color w:val="000000"/>
                <w:kern w:val="0"/>
                <w:sz w:val="20"/>
                <w:szCs w:val="20"/>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结果</w:t>
            </w:r>
          </w:p>
          <w:p>
            <w:pPr>
              <w:widowControl/>
              <w:jc w:val="center"/>
            </w:pPr>
            <w:r>
              <w:rPr>
                <w:rFonts w:hint="eastAsia" w:ascii="宋体" w:hAnsi="宋体" w:eastAsia="宋体" w:cs="宋体"/>
                <w:kern w:val="0"/>
                <w:sz w:val="20"/>
                <w:szCs w:val="20"/>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结果</w:t>
            </w:r>
          </w:p>
          <w:p>
            <w:pPr>
              <w:widowControl/>
              <w:jc w:val="center"/>
            </w:pPr>
            <w:r>
              <w:rPr>
                <w:rFonts w:hint="eastAsia" w:ascii="宋体" w:hAnsi="宋体" w:eastAsia="宋体" w:cs="宋体"/>
                <w:kern w:val="0"/>
                <w:sz w:val="20"/>
                <w:szCs w:val="20"/>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其他</w:t>
            </w:r>
          </w:p>
          <w:p>
            <w:pPr>
              <w:widowControl/>
              <w:jc w:val="center"/>
            </w:pPr>
            <w:r>
              <w:rPr>
                <w:rFonts w:hint="eastAsia" w:ascii="宋体" w:hAnsi="宋体" w:eastAsia="宋体" w:cs="宋体"/>
                <w:color w:val="000000"/>
                <w:kern w:val="0"/>
                <w:sz w:val="20"/>
                <w:szCs w:val="20"/>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尚未</w:t>
            </w:r>
          </w:p>
          <w:p>
            <w:pPr>
              <w:widowControl/>
              <w:jc w:val="center"/>
            </w:pPr>
            <w:r>
              <w:rPr>
                <w:rFonts w:hint="eastAsia" w:ascii="宋体" w:hAnsi="宋体" w:eastAsia="宋体" w:cs="宋体"/>
                <w:kern w:val="0"/>
                <w:sz w:val="20"/>
                <w:szCs w:val="20"/>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color w:val="000000"/>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ascii="黑体" w:hAnsi="宋体" w:eastAsia="黑体" w:cs="黑体"/>
                <w:kern w:val="0"/>
                <w:sz w:val="20"/>
                <w:szCs w:val="20"/>
              </w:rPr>
              <w:t> </w:t>
            </w:r>
            <w:r>
              <w:rPr>
                <w:rFonts w:hint="eastAsia" w:ascii="黑体" w:hAnsi="宋体" w:eastAsia="黑体" w:cs="黑体"/>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0 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r>
              <w:rPr>
                <w:rFonts w:hint="eastAsia" w:ascii="宋体"/>
                <w:sz w:val="24"/>
              </w:rPr>
              <w:t>0</w:t>
            </w:r>
          </w:p>
        </w:tc>
      </w:tr>
    </w:tbl>
    <w:p>
      <w:pPr>
        <w:widowControl/>
        <w:jc w:val="left"/>
        <w:rPr>
          <w:rFonts w:hint="eastAsia" w:ascii="仿宋_GB2312" w:hAnsi="仿宋_GB2312" w:eastAsia="仿宋_GB2312" w:cs="仿宋_GB2312"/>
          <w:color w:val="000000"/>
          <w:sz w:val="32"/>
          <w:szCs w:val="32"/>
          <w:shd w:val="clear" w:color="auto" w:fill="FFFFFF"/>
        </w:rPr>
      </w:pP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五、存在的主要问题及改进情况</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目前，我单位信息公开工作仍存在薄弱环节，一是信息公开的计划性、主动性不强，有待进一步提升；二是对政府信息公开的有关细则和政策的把握还不够全面;三是对依申请公开申请范围的界定和信息公开的范围把握有待进一步探索。</w:t>
      </w:r>
    </w:p>
    <w:p>
      <w:pPr>
        <w:widowControl/>
        <w:ind w:firstLine="640" w:firstLineChars="200"/>
        <w:jc w:val="left"/>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下一步，我们将重点做好以下改进工作：一是制定202</w:t>
      </w:r>
      <w:r>
        <w:rPr>
          <w:rFonts w:hint="eastAsia" w:ascii="仿宋_GB2312" w:hAnsi="仿宋_GB2312" w:eastAsia="仿宋_GB2312" w:cs="仿宋_GB2312"/>
          <w:color w:val="000000"/>
          <w:sz w:val="32"/>
          <w:szCs w:val="32"/>
          <w:shd w:val="clear" w:color="auto" w:fill="FFFFFF"/>
          <w:lang w:val="en-US" w:eastAsia="zh-CN"/>
        </w:rPr>
        <w:t>3</w:t>
      </w:r>
      <w:r>
        <w:rPr>
          <w:rFonts w:hint="eastAsia" w:ascii="仿宋_GB2312" w:hAnsi="仿宋_GB2312" w:eastAsia="仿宋_GB2312" w:cs="仿宋_GB2312"/>
          <w:color w:val="000000"/>
          <w:sz w:val="32"/>
          <w:szCs w:val="32"/>
          <w:shd w:val="clear" w:color="auto" w:fill="FFFFFF"/>
        </w:rPr>
        <w:t>年政务公开工作计划。根据对政务公开工作的新要求，制定政务公开年度工作计划，明确政务公开年度工作重点，细化公开内容。二是加强安排政务公开培训。加强信息队伍建设，认真开展政务公开、信息报送、信息安全等教育培训工作，增强工作人员的</w:t>
      </w:r>
      <w:r>
        <w:rPr>
          <w:rFonts w:hint="eastAsia" w:ascii="仿宋_GB2312" w:hAnsi="仿宋_GB2312" w:eastAsia="仿宋_GB2312" w:cs="仿宋_GB2312"/>
          <w:color w:val="000000"/>
          <w:sz w:val="32"/>
          <w:szCs w:val="32"/>
          <w:shd w:val="clear" w:color="auto" w:fill="FFFFFF"/>
          <w:lang w:eastAsia="zh-CN"/>
        </w:rPr>
        <w:t>政府</w:t>
      </w:r>
      <w:r>
        <w:rPr>
          <w:rFonts w:hint="eastAsia" w:ascii="仿宋_GB2312" w:hAnsi="仿宋_GB2312" w:eastAsia="仿宋_GB2312" w:cs="仿宋_GB2312"/>
          <w:color w:val="000000"/>
          <w:sz w:val="32"/>
          <w:szCs w:val="32"/>
          <w:shd w:val="clear" w:color="auto" w:fill="FFFFFF"/>
        </w:rPr>
        <w:t xml:space="preserve">信息公开意识。三是进一步健全信息公开机制，深化主动公开内容，创新信息公开渠道，不断推进政府信息公开工作，切实提升政府信息公开的效果和水平。 </w:t>
      </w:r>
    </w:p>
    <w:p>
      <w:pPr>
        <w:widowControl/>
        <w:ind w:firstLine="640" w:firstLineChars="200"/>
        <w:jc w:val="left"/>
        <w:rPr>
          <w:rFonts w:ascii="Helvetica" w:hAnsi="Helvetica" w:eastAsia="Helvetica" w:cs="Helvetica"/>
          <w:sz w:val="30"/>
          <w:szCs w:val="30"/>
          <w:shd w:val="clear" w:color="auto" w:fill="FFFFFF"/>
        </w:rPr>
      </w:pPr>
      <w:r>
        <w:rPr>
          <w:rFonts w:hint="eastAsia" w:ascii="仿宋_GB2312" w:hAnsi="仿宋_GB2312" w:eastAsia="仿宋_GB2312" w:cs="仿宋_GB2312"/>
          <w:color w:val="000000"/>
          <w:sz w:val="32"/>
          <w:szCs w:val="32"/>
          <w:shd w:val="clear" w:color="auto" w:fill="FFFFFF"/>
        </w:rPr>
        <w:t>本年度报告由邢台市隆尧县科工局办公室编制，年报中所列数据的统计期限为202</w:t>
      </w:r>
      <w:r>
        <w:rPr>
          <w:rFonts w:hint="eastAsia" w:ascii="仿宋_GB2312" w:hAnsi="仿宋_GB2312" w:eastAsia="仿宋_GB2312" w:cs="仿宋_GB2312"/>
          <w:color w:val="000000"/>
          <w:sz w:val="32"/>
          <w:szCs w:val="32"/>
          <w:shd w:val="clear" w:color="auto" w:fill="FFFFFF"/>
          <w:lang w:val="en-US" w:eastAsia="zh-CN"/>
        </w:rPr>
        <w:t>2</w:t>
      </w:r>
      <w:r>
        <w:rPr>
          <w:rFonts w:hint="eastAsia" w:ascii="仿宋_GB2312" w:hAnsi="仿宋_GB2312" w:eastAsia="仿宋_GB2312" w:cs="仿宋_GB2312"/>
          <w:color w:val="000000"/>
          <w:sz w:val="32"/>
          <w:szCs w:val="32"/>
          <w:shd w:val="clear" w:color="auto" w:fill="FFFFFF"/>
        </w:rPr>
        <w:t>年1月1日至12月31日。本年报的电子版可在邢台市隆尧县人民政府网站（http://www.longyao.gov.cn/）查阅。如对本报告有疑问，请与邢台市隆尧县科工局办公室联系（地址：</w:t>
      </w:r>
      <w:r>
        <w:rPr>
          <w:rFonts w:hint="eastAsia" w:ascii="宋体" w:hAnsi="宋体" w:eastAsia="宋体" w:cs="宋体"/>
          <w:color w:val="000000"/>
          <w:sz w:val="30"/>
          <w:szCs w:val="30"/>
          <w:shd w:val="clear" w:color="auto" w:fill="FFFFFF"/>
        </w:rPr>
        <w:t>隆尧县</w:t>
      </w:r>
      <w:r>
        <w:rPr>
          <w:rFonts w:ascii="宋体" w:hAnsi="宋体" w:eastAsia="宋体" w:cs="宋体"/>
          <w:color w:val="000000"/>
          <w:sz w:val="30"/>
          <w:szCs w:val="30"/>
          <w:shd w:val="clear" w:color="auto" w:fill="FFFFFF"/>
        </w:rPr>
        <w:t>康庄路</w:t>
      </w:r>
      <w:r>
        <w:rPr>
          <w:rFonts w:hint="eastAsia" w:ascii="宋体" w:hAnsi="宋体" w:eastAsia="宋体" w:cs="宋体"/>
          <w:color w:val="000000"/>
          <w:sz w:val="30"/>
          <w:szCs w:val="30"/>
          <w:shd w:val="clear" w:color="auto" w:fill="FFFFFF"/>
        </w:rPr>
        <w:t>405号</w:t>
      </w:r>
      <w:r>
        <w:rPr>
          <w:rFonts w:ascii="宋体" w:hAnsi="宋体" w:eastAsia="宋体" w:cs="宋体"/>
          <w:color w:val="000000"/>
          <w:sz w:val="30"/>
          <w:szCs w:val="30"/>
          <w:shd w:val="clear" w:color="auto" w:fill="FFFFFF"/>
        </w:rPr>
        <w:t>）</w:t>
      </w:r>
      <w:r>
        <w:fldChar w:fldCharType="begin"/>
      </w:r>
      <w:r>
        <w:instrText xml:space="preserve"> HYPERLINK "mailto:，电话:（0319-6661713），电子邮箱（lyxkgj@163.com%20）。" </w:instrText>
      </w:r>
      <w:r>
        <w:fldChar w:fldCharType="separate"/>
      </w:r>
      <w:r>
        <w:rPr>
          <w:rStyle w:val="9"/>
          <w:rFonts w:hint="eastAsia" w:ascii="宋体" w:hAnsi="宋体" w:eastAsia="宋体" w:cs="宋体"/>
          <w:color w:val="auto"/>
          <w:sz w:val="30"/>
          <w:szCs w:val="30"/>
          <w:u w:val="none"/>
          <w:shd w:val="clear" w:color="auto" w:fill="FFFFFF"/>
        </w:rPr>
        <w:t>，电话</w:t>
      </w:r>
      <w:r>
        <w:rPr>
          <w:rStyle w:val="9"/>
          <w:rFonts w:ascii="宋体" w:hAnsi="宋体" w:eastAsia="宋体" w:cs="宋体"/>
          <w:color w:val="auto"/>
          <w:sz w:val="30"/>
          <w:szCs w:val="30"/>
          <w:u w:val="none"/>
          <w:shd w:val="clear" w:color="auto" w:fill="FFFFFF"/>
        </w:rPr>
        <w:t>:（</w:t>
      </w:r>
      <w:r>
        <w:rPr>
          <w:rStyle w:val="9"/>
          <w:rFonts w:hint="eastAsia" w:ascii="宋体" w:hAnsi="宋体" w:eastAsia="宋体" w:cs="宋体"/>
          <w:color w:val="auto"/>
          <w:sz w:val="30"/>
          <w:szCs w:val="30"/>
          <w:u w:val="none"/>
          <w:shd w:val="clear" w:color="auto" w:fill="FFFFFF"/>
        </w:rPr>
        <w:t>0319-6661713</w:t>
      </w:r>
      <w:r>
        <w:rPr>
          <w:rStyle w:val="9"/>
          <w:rFonts w:ascii="宋体" w:hAnsi="宋体" w:eastAsia="宋体" w:cs="宋体"/>
          <w:color w:val="auto"/>
          <w:sz w:val="30"/>
          <w:szCs w:val="30"/>
          <w:u w:val="none"/>
          <w:shd w:val="clear" w:color="auto" w:fill="FFFFFF"/>
        </w:rPr>
        <w:t>）</w:t>
      </w:r>
      <w:r>
        <w:rPr>
          <w:rStyle w:val="9"/>
          <w:rFonts w:hint="eastAsia" w:ascii="宋体" w:hAnsi="宋体" w:eastAsia="宋体" w:cs="宋体"/>
          <w:color w:val="auto"/>
          <w:sz w:val="30"/>
          <w:szCs w:val="30"/>
          <w:u w:val="none"/>
          <w:shd w:val="clear" w:color="auto" w:fill="FFFFFF"/>
        </w:rPr>
        <w:t>，电子邮箱（lyxkgj@163.com ）。</w:t>
      </w:r>
      <w:r>
        <w:rPr>
          <w:rStyle w:val="9"/>
          <w:rFonts w:hint="eastAsia" w:ascii="宋体" w:hAnsi="宋体" w:eastAsia="宋体" w:cs="宋体"/>
          <w:color w:val="auto"/>
          <w:sz w:val="30"/>
          <w:szCs w:val="30"/>
          <w:u w:val="none"/>
          <w:shd w:val="clear" w:color="auto" w:fill="FFFFFF"/>
        </w:rPr>
        <w:fldChar w:fldCharType="end"/>
      </w:r>
    </w:p>
    <w:sectPr>
      <w:footerReference r:id="rId5" w:type="first"/>
      <w:footerReference r:id="rId3" w:type="default"/>
      <w:footerReference r:id="rId4" w:type="even"/>
      <w:pgSz w:w="11906" w:h="16838"/>
      <w:pgMar w:top="2098" w:right="1531" w:bottom="1984" w:left="1531" w:header="851" w:footer="992" w:gutter="0"/>
      <w:pgNumType w:fmt="numberInDash"/>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posOffset>4885690</wp:posOffset>
              </wp:positionH>
              <wp:positionV relativeFrom="paragraph">
                <wp:posOffset>-466090</wp:posOffset>
              </wp:positionV>
              <wp:extent cx="708660" cy="702945"/>
              <wp:effectExtent l="0" t="0" r="0" b="0"/>
              <wp:wrapNone/>
              <wp:docPr id="1" name="文本框 1"/>
              <wp:cNvGraphicFramePr/>
              <a:graphic xmlns:a="http://schemas.openxmlformats.org/drawingml/2006/main">
                <a:graphicData uri="http://schemas.microsoft.com/office/word/2010/wordprocessingShape">
                  <wps:wsp>
                    <wps:cNvSpPr txBox="1"/>
                    <wps:spPr>
                      <a:xfrm>
                        <a:off x="0" y="0"/>
                        <a:ext cx="708660" cy="702945"/>
                      </a:xfrm>
                      <a:prstGeom prst="rect">
                        <a:avLst/>
                      </a:prstGeom>
                      <a:noFill/>
                      <a:ln w="6350">
                        <a:noFill/>
                      </a:ln>
                      <a:effectLst/>
                    </wps:spPr>
                    <wps:txbx>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- 5 -</w:t>
                          </w:r>
                          <w:r>
                            <w:rPr>
                              <w:rFonts w:hint="eastAsia" w:ascii="宋体" w:hAnsi="宋体" w:eastAsia="宋体" w:cs="宋体"/>
                              <w:sz w:val="28"/>
                              <w:szCs w:val="28"/>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84.7pt;margin-top:-36.7pt;height:55.35pt;width:55.8pt;mso-position-horizontal-relative:margin;z-index:251659264;mso-width-relative:page;mso-height-relative:page;" filled="f" stroked="f" coordsize="21600,21600" o:gfxdata="UEsDBAoAAAAAAIdO4kAAAAAAAAAAAAAAAAAEAAAAZHJzL1BLAwQUAAAACACHTuJAtRFok9kAAAAK&#10;AQAADwAAAGRycy9kb3ducmV2LnhtbE2Py07EMAxF90j8Q2QkdjNJKZqW0nQWPHY8B5BglzahrUic&#10;Kkk7w99jVrCz5aPrc+vtwVm2mBBHjxKytQBmsPN6xF7C68vtqgQWk0KtrEcj4dtE2DbHR7WqtN/j&#10;s1l2qWcUgrFSEoaUporz2A3Gqbj2k0G6ffrgVKI19FwHtadwZ/mZEBvu1Ij0YVCTuRpM97WbnQT7&#10;HsNdK9LHct3fp6dHPr/dZA9Snp5k4hJYMof0B8OvPqlDQ06tn1FHZiUUm4tzQiWsipwGIsoyo3at&#10;hLzIgTc1/1+h+QFQSwMEFAAAAAgAh07iQMKL7Qk+AgAAbwQAAA4AAABkcnMvZTJvRG9jLnhtbK1U&#10;wW7UMBC9I/EPlu80aaHbsmq2WloVIVW0UkGcvY6zsWR7jO1tUj4A/oATF+58V7+D5yS7RYVDD1yy&#10;45nxm3lvxnty2lvDblWImlzF9/dKzpSTVGu3rvjHDxcvjjmLSbhaGHKq4ncq8tPF82cnnZ+rA2rJ&#10;1CowgLg473zF25T8vCiibJUVcY+8cgg2FKxIOIZ1UQfRAd2a4qAsZ0VHofaBpIoR3vMxyCfE8BRA&#10;ahot1TnJjVUujahBGZFAKbbaR74Yum0aJdNV00SVmKk4mKbhiyKwV/lbLE7EfB2Eb7WcWhBPaeER&#10;Jyu0Q9Ed1LlIgm2C/gvKahkoUpP2JNliJDIoAhb75SNtblrh1cAFUke/Ez3+P1j5/vY6MF1jEzhz&#10;wmLg99+/3f/4df/zK9vP8nQ+zpF145GX+jfU59TJH+HMrPsm2PwLPgxxiHu3E1f1iUk4j8rj2QwR&#10;idBRefD61WFGKR4u+xDTW0WWZaPiAbMbJBW3lzGNqduUXMvRhTYGfjE3jnUVn708LIcLuwjAjcsJ&#10;atiECSYTGhvPVupX/cRmRfUdSAYatyR6eaHRyqWI6VoErAW6x8NJV/g0hlCSJouzlsKXf/lzPqaF&#10;KGcd1qzi8fNGBMWZeecwR0CmrRG2xmpruI09I2wuZoNuBhMXQjJbswlkP+E9LXMVhISTqFXxtDXP&#10;0rjseI9SLZdD0sYHvW7HC9hCL9Klu/EylxmFXW4SNXrQPEs06oJZ5QP2cJja9Gbyov95HrIe/icW&#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1EWiT2QAAAAoBAAAPAAAAAAAAAAEAIAAAACIAAABk&#10;cnMvZG93bnJldi54bWxQSwECFAAUAAAACACHTuJAwovtCT4CAABvBAAADgAAAAAAAAABACAAAAAo&#10;AQAAZHJzL2Uyb0RvYy54bWxQSwUGAAAAAAYABgBZAQAA2AUAAAAA&#10;">
              <v:fill on="f" focussize="0,0"/>
              <v:stroke on="f" weight="0.5pt"/>
              <v:imagedata o:title=""/>
              <o:lock v:ext="edit" aspectratio="f"/>
              <v:textbox inset="0mm,0mm,0mm,0mm">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- 5 -</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posOffset>247015</wp:posOffset>
              </wp:positionH>
              <wp:positionV relativeFrom="paragraph">
                <wp:posOffset>-466725</wp:posOffset>
              </wp:positionV>
              <wp:extent cx="593725" cy="703580"/>
              <wp:effectExtent l="0" t="0" r="0" b="0"/>
              <wp:wrapNone/>
              <wp:docPr id="2" name="文本框 2"/>
              <wp:cNvGraphicFramePr/>
              <a:graphic xmlns:a="http://schemas.openxmlformats.org/drawingml/2006/main">
                <a:graphicData uri="http://schemas.microsoft.com/office/word/2010/wordprocessingShape">
                  <wps:wsp>
                    <wps:cNvSpPr txBox="1"/>
                    <wps:spPr>
                      <a:xfrm>
                        <a:off x="0" y="0"/>
                        <a:ext cx="593725" cy="703580"/>
                      </a:xfrm>
                      <a:prstGeom prst="rect">
                        <a:avLst/>
                      </a:prstGeom>
                      <a:noFill/>
                      <a:ln w="6350">
                        <a:noFill/>
                      </a:ln>
                      <a:effectLst/>
                    </wps:spPr>
                    <wps:txbx>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- 4 -</w:t>
                          </w:r>
                          <w:r>
                            <w:rPr>
                              <w:rFonts w:hint="eastAsia" w:ascii="宋体" w:hAnsi="宋体" w:eastAsia="宋体" w:cs="宋体"/>
                              <w:sz w:val="28"/>
                              <w:szCs w:val="28"/>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9.45pt;margin-top:-36.75pt;height:55.4pt;width:46.75pt;mso-position-horizontal-relative:margin;z-index:251660288;mso-width-relative:page;mso-height-relative:page;" filled="f" stroked="f" coordsize="21600,21600" o:gfxdata="UEsDBAoAAAAAAIdO4kAAAAAAAAAAAAAAAAAEAAAAZHJzL1BLAwQUAAAACACHTuJAFOiFYNgAAAAJ&#10;AQAADwAAAGRycy9kb3ducmV2LnhtbE2Py07DMBBF90j8gzVI7Fo7DdAS4nTBY8ezLRLsnHhIIuxx&#10;ZDtp+XvcFSxH9+jeM+X6YA2b0IfekYRsLoAhNU731ErYbR9mK2AhKtLKOEIJPxhgXZ2elKrQbk9v&#10;OG1iy1IJhUJJ6GIcCs5D06FVYe4GpJR9OW9VTKdvufZqn8qt4QshrrhVPaWFTg1422HzvRmtBPMR&#10;/GMt4ud01z7F1xc+vt9nz1Ken2XiBljEQ/yD4aif1KFKTrUbSQdmJOSr60RKmC3zS2BHIF9cAKtT&#10;ssyBVyX//0H1C1BLAwQUAAAACACHTuJAziD1xz8CAABvBAAADgAAAGRycy9lMm9Eb2MueG1srVTB&#10;jtMwEL0j8Q+W7zRpq+4uVdNV2aoIqWJXKoiz6ziNJdtjbLdJ+QD4A05cuPNd/Q7GTtNFC4c9cHHG&#10;nvHMvDfPmd22WpGDcF6CKehwkFMiDIdSml1BP35YvbqhxAdmSqbAiIIehae385cvZo2dihHUoErh&#10;CCYxftrYgtYh2GmWeV4LzfwArDDorMBpFnDrdlnpWIPZtcpGeX6VNeBK64AL7/F02TnpOaN7TkKo&#10;KsnFEvheCxO6rE4oFhCSr6X1dJ66rSrBw31VeRGIKigiDWnFImhv45rNZ2y6c8zWkp9bYM9p4Qkm&#10;zaTBopdUSxYY2Tv5VyotuQMPVRhw0FkHJDGCKIb5E242NbMiYUGqvb2Q7v9fWv7+8OCILAs6osQw&#10;jQM/ff92+vHr9PMrGUV6GuunGLWxGBfaN9CiaPpzj4cRdVs5Hb+Ih6AfyT1eyBVtIBwPJ6/H16MJ&#10;JRxd1/l4cpPIzx4vW+fDWwGaRKOgDmeXKGWHtQ/YCIb2IbGWgZVUKs1PGdIU9Go8ydOFiwdvKBNj&#10;RVLCOU0E1DUerdBu2zPKLZRHBOmgU4m3fCWxlTXz4YE5lAXiwocT7nGpFGBJOFuU1OC+/Os8xuO0&#10;0EtJgzIrqP+8Z05Qot4ZnGPUZG+43tj2htnrO0DlDvFJWp5MvOCC6s3Kgf6E72kRq6CLGY61Chp6&#10;8y50Ysf3yMVikYL21sld3V1AFVoW1mZjeSzTEbvYB6hk4jxS1PGCA4gb1GEaxfnNRKH/uU9Rj/+J&#10;+W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U6IVg2AAAAAkBAAAPAAAAAAAAAAEAIAAAACIAAABk&#10;cnMvZG93bnJldi54bWxQSwECFAAUAAAACACHTuJAziD1xz8CAABvBAAADgAAAAAAAAABACAAAAAn&#10;AQAAZHJzL2Uyb0RvYy54bWxQSwUGAAAAAAYABgBZAQAA2AUAAAAA&#10;">
              <v:fill on="f" focussize="0,0"/>
              <v:stroke on="f" weight="0.5pt"/>
              <v:imagedata o:title=""/>
              <o:lock v:ext="edit" aspectratio="f"/>
              <v:textbox inset="0mm,0mm,0mm,0mm">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- 4 -</w:t>
                    </w:r>
                    <w:r>
                      <w:rPr>
                        <w:rFonts w:hint="eastAsia" w:ascii="宋体" w:hAnsi="宋体" w:eastAsia="宋体" w:cs="宋体"/>
                        <w:sz w:val="28"/>
                        <w:szCs w:val="2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pPr>
                      <w:pStyle w:val="3"/>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evenAndOddHeaders w:val="1"/>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4ZDNiNTNiOGNjMjNkZjYyNTVlMzY2ZmNiYmJlMzIifQ=="/>
  </w:docVars>
  <w:rsids>
    <w:rsidRoot w:val="4CC77B3F"/>
    <w:rsid w:val="001507D0"/>
    <w:rsid w:val="001D6D92"/>
    <w:rsid w:val="001F20FD"/>
    <w:rsid w:val="00201735"/>
    <w:rsid w:val="00212B8C"/>
    <w:rsid w:val="00367A16"/>
    <w:rsid w:val="00434791"/>
    <w:rsid w:val="0045322F"/>
    <w:rsid w:val="004736E1"/>
    <w:rsid w:val="004C246A"/>
    <w:rsid w:val="00561417"/>
    <w:rsid w:val="005C7E9A"/>
    <w:rsid w:val="005F2F2E"/>
    <w:rsid w:val="00601DB5"/>
    <w:rsid w:val="0060448B"/>
    <w:rsid w:val="006F1EC9"/>
    <w:rsid w:val="00750A3F"/>
    <w:rsid w:val="007A03AC"/>
    <w:rsid w:val="00885D91"/>
    <w:rsid w:val="008A7A60"/>
    <w:rsid w:val="008D06E0"/>
    <w:rsid w:val="008D3DCE"/>
    <w:rsid w:val="008F319C"/>
    <w:rsid w:val="009713B6"/>
    <w:rsid w:val="00B6633B"/>
    <w:rsid w:val="00B81C5A"/>
    <w:rsid w:val="00B85688"/>
    <w:rsid w:val="00BB56C3"/>
    <w:rsid w:val="00BF5DB3"/>
    <w:rsid w:val="00C25CFA"/>
    <w:rsid w:val="00C73DE9"/>
    <w:rsid w:val="00E87AB2"/>
    <w:rsid w:val="00ED5B61"/>
    <w:rsid w:val="021D78EA"/>
    <w:rsid w:val="03DB0848"/>
    <w:rsid w:val="0C6C1B66"/>
    <w:rsid w:val="240E3DFE"/>
    <w:rsid w:val="26EA649B"/>
    <w:rsid w:val="2B79155D"/>
    <w:rsid w:val="32237D47"/>
    <w:rsid w:val="39333326"/>
    <w:rsid w:val="393B23E8"/>
    <w:rsid w:val="39827E3B"/>
    <w:rsid w:val="42AE79D2"/>
    <w:rsid w:val="4322637B"/>
    <w:rsid w:val="45D750A0"/>
    <w:rsid w:val="48DF3FFC"/>
    <w:rsid w:val="4B862B03"/>
    <w:rsid w:val="4CC77B3F"/>
    <w:rsid w:val="52A04A32"/>
    <w:rsid w:val="546516BC"/>
    <w:rsid w:val="571A5256"/>
    <w:rsid w:val="5AB362F2"/>
    <w:rsid w:val="5BDF44BC"/>
    <w:rsid w:val="5F9E69E0"/>
    <w:rsid w:val="643C061B"/>
    <w:rsid w:val="66CD1EA4"/>
    <w:rsid w:val="68C119F0"/>
    <w:rsid w:val="6F435CB9"/>
    <w:rsid w:val="752E2832"/>
    <w:rsid w:val="7CD852CC"/>
    <w:rsid w:val="F87FF3B9"/>
    <w:rsid w:val="FCF7079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unhideWhenUsed/>
    <w:qFormat/>
    <w:uiPriority w:val="99"/>
    <w:pPr>
      <w:spacing w:line="480" w:lineRule="auto"/>
      <w:ind w:firstLine="643" w:firstLineChars="200"/>
    </w:pPr>
    <w:rPr>
      <w:rFonts w:ascii="宋体" w:hAnsi="宋体"/>
      <w:b/>
      <w:sz w:val="24"/>
      <w:szCs w:val="36"/>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0"/>
    <w:pPr>
      <w:spacing w:beforeAutospacing="1" w:afterAutospacing="1"/>
      <w:jc w:val="left"/>
    </w:pPr>
    <w:rPr>
      <w:rFonts w:cs="Times New Roman"/>
      <w:kern w:val="0"/>
      <w:sz w:val="24"/>
    </w:rPr>
  </w:style>
  <w:style w:type="paragraph" w:styleId="6">
    <w:name w:val="Body Text First Indent 2"/>
    <w:basedOn w:val="2"/>
    <w:unhideWhenUsed/>
    <w:qFormat/>
    <w:uiPriority w:val="99"/>
    <w:pPr>
      <w:ind w:firstLine="420"/>
    </w:pPr>
  </w:style>
  <w:style w:type="character" w:styleId="9">
    <w:name w:val="Hyperlink"/>
    <w:basedOn w:val="8"/>
    <w:qFormat/>
    <w:uiPriority w:val="0"/>
    <w:rPr>
      <w:color w:val="0563C1" w:themeColor="hyperlink"/>
      <w:u w:val="single"/>
      <w14:textFill>
        <w14:solidFill>
          <w14:schemeClr w14:val="hlink"/>
        </w14:solidFill>
      </w14:textFill>
    </w:rPr>
  </w:style>
  <w:style w:type="paragraph" w:customStyle="1" w:styleId="10">
    <w:name w:val="BodyText1I2"/>
    <w:basedOn w:val="11"/>
    <w:qFormat/>
    <w:uiPriority w:val="0"/>
    <w:pPr>
      <w:ind w:firstLine="420"/>
    </w:pPr>
  </w:style>
  <w:style w:type="paragraph" w:customStyle="1" w:styleId="11">
    <w:name w:val="BodyTextIndent"/>
    <w:basedOn w:val="1"/>
    <w:qFormat/>
    <w:uiPriority w:val="0"/>
    <w:pPr>
      <w:spacing w:line="480" w:lineRule="auto"/>
      <w:ind w:firstLine="643" w:firstLineChars="200"/>
      <w:textAlignment w:val="baseline"/>
    </w:pPr>
    <w:rPr>
      <w:rFonts w:ascii="宋体" w:hAnsi="宋体" w:eastAsia="宋体"/>
      <w:b/>
      <w:sz w:val="24"/>
      <w:szCs w:val="36"/>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2516</Words>
  <Characters>2608</Characters>
  <Lines>22</Lines>
  <Paragraphs>6</Paragraphs>
  <TotalTime>17</TotalTime>
  <ScaleCrop>false</ScaleCrop>
  <LinksUpToDate>false</LinksUpToDate>
  <CharactersWithSpaces>2813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2021-10-13T15:07:00Z</dcterms:created>
  <dc:creator>Administrator</dc:creator>
  <cp:lastModifiedBy>Administrator</cp:lastModifiedBy>
  <cp:lastPrinted>2021-10-13T15:23:00Z</cp:lastPrinted>
  <dcterms:modified xsi:type="dcterms:W3CDTF">2023-02-07T01:31:33Z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5F679A3B5C774B05B117A220E99DC89C</vt:lpwstr>
  </property>
</Properties>
</file>