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27</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一、河北省隆尧县气象局本级收支预算</w:t>
      </w:r>
      <w:r>
        <w:tab/>
      </w:r>
      <w:r>
        <w:fldChar w:fldCharType="begin"/>
      </w:r>
      <w:r>
        <w:instrText xml:space="preserve">PAGEREF _Toc_4_4_0000000019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906河北省隆尧县气象局</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89.33</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三十一、往来性收支</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89.33</w:t>
            </w:r>
          </w:p>
        </w:tc>
        <w:tc>
          <w:tcPr>
            <w:tcW w:w="1971" w:type="dxa"/>
            <w:vAlign w:val="center"/>
          </w:tcPr>
          <w:p>
            <w:pPr>
              <w:pStyle w:val="16"/>
            </w:pPr>
            <w:r>
              <w:t>本年支出合计</w:t>
            </w:r>
          </w:p>
        </w:tc>
        <w:tc>
          <w:tcPr>
            <w:tcW w:w="1971" w:type="dxa"/>
            <w:vAlign w:val="center"/>
          </w:tcPr>
          <w:p>
            <w:pPr>
              <w:pStyle w:val="17"/>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89.33</w:t>
            </w:r>
          </w:p>
        </w:tc>
        <w:tc>
          <w:tcPr>
            <w:tcW w:w="1971" w:type="dxa"/>
            <w:vAlign w:val="center"/>
          </w:tcPr>
          <w:p>
            <w:pPr>
              <w:pStyle w:val="16"/>
            </w:pPr>
            <w:r>
              <w:t>支出总计</w:t>
            </w:r>
          </w:p>
        </w:tc>
        <w:tc>
          <w:tcPr>
            <w:tcW w:w="1971" w:type="dxa"/>
            <w:vAlign w:val="center"/>
          </w:tcPr>
          <w:p>
            <w:pPr>
              <w:pStyle w:val="17"/>
            </w:pPr>
            <w:r>
              <w:t>89.33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906河北省隆尧县气象局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89.33</w:t>
            </w:r>
          </w:p>
        </w:tc>
        <w:tc>
          <w:tcPr>
            <w:tcW w:w="758" w:type="dxa"/>
            <w:vAlign w:val="center"/>
          </w:tcPr>
          <w:p>
            <w:pPr>
              <w:pStyle w:val="17"/>
            </w:pPr>
            <w:r>
              <w:t>89.33</w:t>
            </w:r>
          </w:p>
        </w:tc>
        <w:tc>
          <w:tcPr>
            <w:tcW w:w="758" w:type="dxa"/>
            <w:vAlign w:val="center"/>
          </w:tcPr>
          <w:p>
            <w:pPr>
              <w:pStyle w:val="17"/>
            </w:pPr>
            <w:r>
              <w:t>89.33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220</w:t>
            </w:r>
          </w:p>
        </w:tc>
        <w:tc>
          <w:tcPr>
            <w:tcW w:w="758" w:type="dxa"/>
            <w:vAlign w:val="center"/>
          </w:tcPr>
          <w:p>
            <w:pPr>
              <w:pStyle w:val="14"/>
            </w:pPr>
            <w:r>
              <w:t>自然资源海洋气象等支出</w:t>
            </w:r>
          </w:p>
        </w:tc>
        <w:tc>
          <w:tcPr>
            <w:tcW w:w="758" w:type="dxa"/>
            <w:vAlign w:val="center"/>
          </w:tcPr>
          <w:p>
            <w:pPr>
              <w:pStyle w:val="13"/>
            </w:pPr>
            <w:r>
              <w:t>89.33</w:t>
            </w:r>
          </w:p>
        </w:tc>
        <w:tc>
          <w:tcPr>
            <w:tcW w:w="758" w:type="dxa"/>
            <w:vAlign w:val="center"/>
          </w:tcPr>
          <w:p>
            <w:pPr>
              <w:pStyle w:val="13"/>
            </w:pPr>
            <w:r>
              <w:t>89.33</w:t>
            </w:r>
          </w:p>
        </w:tc>
        <w:tc>
          <w:tcPr>
            <w:tcW w:w="758" w:type="dxa"/>
            <w:vAlign w:val="center"/>
          </w:tcPr>
          <w:p>
            <w:pPr>
              <w:pStyle w:val="13"/>
            </w:pPr>
            <w:r>
              <w:t>89.33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22005</w:t>
            </w:r>
          </w:p>
        </w:tc>
        <w:tc>
          <w:tcPr>
            <w:tcW w:w="758" w:type="dxa"/>
            <w:vAlign w:val="center"/>
          </w:tcPr>
          <w:p>
            <w:pPr>
              <w:pStyle w:val="14"/>
            </w:pPr>
            <w:r>
              <w:t>气象事务</w:t>
            </w:r>
          </w:p>
        </w:tc>
        <w:tc>
          <w:tcPr>
            <w:tcW w:w="758" w:type="dxa"/>
            <w:vAlign w:val="center"/>
          </w:tcPr>
          <w:p>
            <w:pPr>
              <w:pStyle w:val="13"/>
            </w:pPr>
            <w:r>
              <w:t>89.33</w:t>
            </w:r>
          </w:p>
        </w:tc>
        <w:tc>
          <w:tcPr>
            <w:tcW w:w="758" w:type="dxa"/>
            <w:vAlign w:val="center"/>
          </w:tcPr>
          <w:p>
            <w:pPr>
              <w:pStyle w:val="13"/>
            </w:pPr>
            <w:r>
              <w:t>89.33</w:t>
            </w:r>
          </w:p>
        </w:tc>
        <w:tc>
          <w:tcPr>
            <w:tcW w:w="758" w:type="dxa"/>
            <w:vAlign w:val="center"/>
          </w:tcPr>
          <w:p>
            <w:pPr>
              <w:pStyle w:val="13"/>
            </w:pPr>
            <w:r>
              <w:t>89.33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2200501</w:t>
            </w:r>
          </w:p>
        </w:tc>
        <w:tc>
          <w:tcPr>
            <w:tcW w:w="758" w:type="dxa"/>
            <w:vAlign w:val="center"/>
          </w:tcPr>
          <w:p>
            <w:pPr>
              <w:pStyle w:val="14"/>
            </w:pPr>
            <w:r>
              <w:t>行政运行</w:t>
            </w:r>
          </w:p>
        </w:tc>
        <w:tc>
          <w:tcPr>
            <w:tcW w:w="758" w:type="dxa"/>
            <w:vAlign w:val="center"/>
          </w:tcPr>
          <w:p>
            <w:pPr>
              <w:pStyle w:val="13"/>
            </w:pPr>
            <w:r>
              <w:t>18.93</w:t>
            </w:r>
          </w:p>
        </w:tc>
        <w:tc>
          <w:tcPr>
            <w:tcW w:w="758" w:type="dxa"/>
            <w:vAlign w:val="center"/>
          </w:tcPr>
          <w:p>
            <w:pPr>
              <w:pStyle w:val="13"/>
            </w:pPr>
            <w:r>
              <w:t>18.93</w:t>
            </w:r>
          </w:p>
        </w:tc>
        <w:tc>
          <w:tcPr>
            <w:tcW w:w="758" w:type="dxa"/>
            <w:vAlign w:val="center"/>
          </w:tcPr>
          <w:p>
            <w:pPr>
              <w:pStyle w:val="13"/>
            </w:pPr>
            <w:r>
              <w:t>18.93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2200509</w:t>
            </w:r>
          </w:p>
        </w:tc>
        <w:tc>
          <w:tcPr>
            <w:tcW w:w="758" w:type="dxa"/>
            <w:vAlign w:val="center"/>
          </w:tcPr>
          <w:p>
            <w:pPr>
              <w:pStyle w:val="14"/>
            </w:pPr>
            <w:r>
              <w:t>气象服务</w:t>
            </w:r>
          </w:p>
        </w:tc>
        <w:tc>
          <w:tcPr>
            <w:tcW w:w="758" w:type="dxa"/>
            <w:vAlign w:val="center"/>
          </w:tcPr>
          <w:p>
            <w:pPr>
              <w:pStyle w:val="13"/>
            </w:pPr>
            <w:r>
              <w:t>70.40</w:t>
            </w:r>
          </w:p>
        </w:tc>
        <w:tc>
          <w:tcPr>
            <w:tcW w:w="758" w:type="dxa"/>
            <w:vAlign w:val="center"/>
          </w:tcPr>
          <w:p>
            <w:pPr>
              <w:pStyle w:val="13"/>
            </w:pPr>
            <w:r>
              <w:t>70.40</w:t>
            </w:r>
          </w:p>
        </w:tc>
        <w:tc>
          <w:tcPr>
            <w:tcW w:w="758" w:type="dxa"/>
            <w:vAlign w:val="center"/>
          </w:tcPr>
          <w:p>
            <w:pPr>
              <w:pStyle w:val="13"/>
            </w:pPr>
            <w:r>
              <w:t>70.40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906河北省隆尧县气象局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89.33</w:t>
            </w:r>
          </w:p>
        </w:tc>
        <w:tc>
          <w:tcPr>
            <w:tcW w:w="1095" w:type="dxa"/>
            <w:vAlign w:val="center"/>
          </w:tcPr>
          <w:p>
            <w:pPr>
              <w:pStyle w:val="17"/>
            </w:pPr>
          </w:p>
        </w:tc>
        <w:tc>
          <w:tcPr>
            <w:tcW w:w="1095" w:type="dxa"/>
            <w:vAlign w:val="center"/>
          </w:tcPr>
          <w:p>
            <w:pPr>
              <w:pStyle w:val="17"/>
            </w:pPr>
            <w:r>
              <w:t>89.33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220</w:t>
            </w:r>
          </w:p>
        </w:tc>
        <w:tc>
          <w:tcPr>
            <w:tcW w:w="1095" w:type="dxa"/>
            <w:vAlign w:val="center"/>
          </w:tcPr>
          <w:p>
            <w:pPr>
              <w:pStyle w:val="14"/>
            </w:pPr>
            <w:r>
              <w:t>自然资源海洋气象等支出</w:t>
            </w:r>
          </w:p>
        </w:tc>
        <w:tc>
          <w:tcPr>
            <w:tcW w:w="1095" w:type="dxa"/>
            <w:vAlign w:val="center"/>
          </w:tcPr>
          <w:p>
            <w:pPr>
              <w:pStyle w:val="13"/>
            </w:pPr>
            <w:r>
              <w:t>89.33</w:t>
            </w:r>
          </w:p>
        </w:tc>
        <w:tc>
          <w:tcPr>
            <w:tcW w:w="1095" w:type="dxa"/>
            <w:vAlign w:val="center"/>
          </w:tcPr>
          <w:p>
            <w:pPr>
              <w:pStyle w:val="13"/>
            </w:pPr>
          </w:p>
        </w:tc>
        <w:tc>
          <w:tcPr>
            <w:tcW w:w="1095" w:type="dxa"/>
            <w:vAlign w:val="center"/>
          </w:tcPr>
          <w:p>
            <w:pPr>
              <w:pStyle w:val="13"/>
            </w:pPr>
            <w:r>
              <w:t>89.33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22005</w:t>
            </w:r>
          </w:p>
        </w:tc>
        <w:tc>
          <w:tcPr>
            <w:tcW w:w="1095" w:type="dxa"/>
            <w:vAlign w:val="center"/>
          </w:tcPr>
          <w:p>
            <w:pPr>
              <w:pStyle w:val="14"/>
            </w:pPr>
            <w:r>
              <w:t>气象事务</w:t>
            </w:r>
          </w:p>
        </w:tc>
        <w:tc>
          <w:tcPr>
            <w:tcW w:w="1095" w:type="dxa"/>
            <w:vAlign w:val="center"/>
          </w:tcPr>
          <w:p>
            <w:pPr>
              <w:pStyle w:val="13"/>
            </w:pPr>
            <w:r>
              <w:t>89.33</w:t>
            </w:r>
          </w:p>
        </w:tc>
        <w:tc>
          <w:tcPr>
            <w:tcW w:w="1095" w:type="dxa"/>
            <w:vAlign w:val="center"/>
          </w:tcPr>
          <w:p>
            <w:pPr>
              <w:pStyle w:val="13"/>
            </w:pPr>
          </w:p>
        </w:tc>
        <w:tc>
          <w:tcPr>
            <w:tcW w:w="1095" w:type="dxa"/>
            <w:vAlign w:val="center"/>
          </w:tcPr>
          <w:p>
            <w:pPr>
              <w:pStyle w:val="13"/>
            </w:pPr>
            <w:r>
              <w:t>89.33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2200501</w:t>
            </w:r>
          </w:p>
        </w:tc>
        <w:tc>
          <w:tcPr>
            <w:tcW w:w="1095" w:type="dxa"/>
            <w:vAlign w:val="center"/>
          </w:tcPr>
          <w:p>
            <w:pPr>
              <w:pStyle w:val="14"/>
            </w:pPr>
            <w:r>
              <w:t>行政运行</w:t>
            </w:r>
          </w:p>
        </w:tc>
        <w:tc>
          <w:tcPr>
            <w:tcW w:w="1095" w:type="dxa"/>
            <w:vAlign w:val="center"/>
          </w:tcPr>
          <w:p>
            <w:pPr>
              <w:pStyle w:val="13"/>
            </w:pPr>
            <w:r>
              <w:t>18.93</w:t>
            </w:r>
          </w:p>
        </w:tc>
        <w:tc>
          <w:tcPr>
            <w:tcW w:w="1095" w:type="dxa"/>
            <w:vAlign w:val="center"/>
          </w:tcPr>
          <w:p>
            <w:pPr>
              <w:pStyle w:val="13"/>
            </w:pPr>
          </w:p>
        </w:tc>
        <w:tc>
          <w:tcPr>
            <w:tcW w:w="1095" w:type="dxa"/>
            <w:vAlign w:val="center"/>
          </w:tcPr>
          <w:p>
            <w:pPr>
              <w:pStyle w:val="13"/>
            </w:pPr>
            <w:r>
              <w:t>18.93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2200509</w:t>
            </w:r>
          </w:p>
        </w:tc>
        <w:tc>
          <w:tcPr>
            <w:tcW w:w="1095" w:type="dxa"/>
            <w:vAlign w:val="center"/>
          </w:tcPr>
          <w:p>
            <w:pPr>
              <w:pStyle w:val="14"/>
            </w:pPr>
            <w:r>
              <w:t>气象服务</w:t>
            </w:r>
          </w:p>
        </w:tc>
        <w:tc>
          <w:tcPr>
            <w:tcW w:w="1095" w:type="dxa"/>
            <w:vAlign w:val="center"/>
          </w:tcPr>
          <w:p>
            <w:pPr>
              <w:pStyle w:val="13"/>
            </w:pPr>
            <w:r>
              <w:t>70.40</w:t>
            </w:r>
          </w:p>
        </w:tc>
        <w:tc>
          <w:tcPr>
            <w:tcW w:w="1095" w:type="dxa"/>
            <w:vAlign w:val="center"/>
          </w:tcPr>
          <w:p>
            <w:pPr>
              <w:pStyle w:val="13"/>
            </w:pPr>
          </w:p>
        </w:tc>
        <w:tc>
          <w:tcPr>
            <w:tcW w:w="1095" w:type="dxa"/>
            <w:vAlign w:val="center"/>
          </w:tcPr>
          <w:p>
            <w:pPr>
              <w:pStyle w:val="13"/>
            </w:pPr>
            <w:r>
              <w:t>70.40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906河北省隆尧县气象局</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89.33</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r>
              <w:t>89.33</w:t>
            </w:r>
          </w:p>
        </w:tc>
        <w:tc>
          <w:tcPr>
            <w:tcW w:w="1232" w:type="dxa"/>
            <w:vAlign w:val="center"/>
          </w:tcPr>
          <w:p>
            <w:pPr>
              <w:pStyle w:val="13"/>
            </w:pPr>
            <w:r>
              <w:t>89.33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89.33</w:t>
            </w:r>
          </w:p>
        </w:tc>
        <w:tc>
          <w:tcPr>
            <w:tcW w:w="1232" w:type="dxa"/>
            <w:vAlign w:val="center"/>
          </w:tcPr>
          <w:p>
            <w:pPr>
              <w:pStyle w:val="16"/>
            </w:pPr>
            <w:r>
              <w:t>本年支出合计</w:t>
            </w:r>
          </w:p>
        </w:tc>
        <w:tc>
          <w:tcPr>
            <w:tcW w:w="1232" w:type="dxa"/>
            <w:vAlign w:val="center"/>
          </w:tcPr>
          <w:p>
            <w:pPr>
              <w:pStyle w:val="17"/>
            </w:pPr>
            <w:r>
              <w:t>89.33</w:t>
            </w:r>
          </w:p>
        </w:tc>
        <w:tc>
          <w:tcPr>
            <w:tcW w:w="1232" w:type="dxa"/>
            <w:vAlign w:val="center"/>
          </w:tcPr>
          <w:p>
            <w:pPr>
              <w:pStyle w:val="17"/>
            </w:pPr>
            <w:r>
              <w:t>89.33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89.33</w:t>
            </w:r>
          </w:p>
        </w:tc>
        <w:tc>
          <w:tcPr>
            <w:tcW w:w="1232" w:type="dxa"/>
            <w:vAlign w:val="center"/>
          </w:tcPr>
          <w:p>
            <w:pPr>
              <w:pStyle w:val="16"/>
            </w:pPr>
            <w:r>
              <w:t>支出总计</w:t>
            </w:r>
          </w:p>
        </w:tc>
        <w:tc>
          <w:tcPr>
            <w:tcW w:w="1232" w:type="dxa"/>
            <w:vAlign w:val="center"/>
          </w:tcPr>
          <w:p>
            <w:pPr>
              <w:pStyle w:val="17"/>
            </w:pPr>
            <w:r>
              <w:t>89.33</w:t>
            </w:r>
          </w:p>
        </w:tc>
        <w:tc>
          <w:tcPr>
            <w:tcW w:w="1232" w:type="dxa"/>
            <w:vAlign w:val="center"/>
          </w:tcPr>
          <w:p>
            <w:pPr>
              <w:pStyle w:val="17"/>
            </w:pPr>
            <w:r>
              <w:t>89.33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906河北省隆尧县气象局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89.33</w:t>
            </w:r>
          </w:p>
        </w:tc>
        <w:tc>
          <w:tcPr>
            <w:tcW w:w="1643" w:type="dxa"/>
            <w:vAlign w:val="center"/>
          </w:tcPr>
          <w:p>
            <w:pPr>
              <w:pStyle w:val="17"/>
            </w:pPr>
          </w:p>
        </w:tc>
        <w:tc>
          <w:tcPr>
            <w:tcW w:w="1643" w:type="dxa"/>
            <w:vAlign w:val="center"/>
          </w:tcPr>
          <w:p>
            <w:pPr>
              <w:pStyle w:val="17"/>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220</w:t>
            </w:r>
          </w:p>
        </w:tc>
        <w:tc>
          <w:tcPr>
            <w:tcW w:w="1643" w:type="dxa"/>
            <w:vAlign w:val="center"/>
          </w:tcPr>
          <w:p>
            <w:pPr>
              <w:pStyle w:val="14"/>
            </w:pPr>
            <w:r>
              <w:t>自然资源海洋气象等支出</w:t>
            </w:r>
          </w:p>
        </w:tc>
        <w:tc>
          <w:tcPr>
            <w:tcW w:w="1643" w:type="dxa"/>
            <w:vAlign w:val="center"/>
          </w:tcPr>
          <w:p>
            <w:pPr>
              <w:pStyle w:val="13"/>
            </w:pPr>
            <w:r>
              <w:t>89.33</w:t>
            </w:r>
          </w:p>
        </w:tc>
        <w:tc>
          <w:tcPr>
            <w:tcW w:w="1643" w:type="dxa"/>
            <w:vAlign w:val="center"/>
          </w:tcPr>
          <w:p>
            <w:pPr>
              <w:pStyle w:val="13"/>
            </w:pPr>
          </w:p>
        </w:tc>
        <w:tc>
          <w:tcPr>
            <w:tcW w:w="1643" w:type="dxa"/>
            <w:vAlign w:val="center"/>
          </w:tcPr>
          <w:p>
            <w:pPr>
              <w:pStyle w:val="13"/>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22005</w:t>
            </w:r>
          </w:p>
        </w:tc>
        <w:tc>
          <w:tcPr>
            <w:tcW w:w="1643" w:type="dxa"/>
            <w:vAlign w:val="center"/>
          </w:tcPr>
          <w:p>
            <w:pPr>
              <w:pStyle w:val="14"/>
            </w:pPr>
            <w:r>
              <w:t>气象事务</w:t>
            </w:r>
          </w:p>
        </w:tc>
        <w:tc>
          <w:tcPr>
            <w:tcW w:w="1643" w:type="dxa"/>
            <w:vAlign w:val="center"/>
          </w:tcPr>
          <w:p>
            <w:pPr>
              <w:pStyle w:val="13"/>
            </w:pPr>
            <w:r>
              <w:t>89.33</w:t>
            </w:r>
          </w:p>
        </w:tc>
        <w:tc>
          <w:tcPr>
            <w:tcW w:w="1643" w:type="dxa"/>
            <w:vAlign w:val="center"/>
          </w:tcPr>
          <w:p>
            <w:pPr>
              <w:pStyle w:val="13"/>
            </w:pPr>
          </w:p>
        </w:tc>
        <w:tc>
          <w:tcPr>
            <w:tcW w:w="1643" w:type="dxa"/>
            <w:vAlign w:val="center"/>
          </w:tcPr>
          <w:p>
            <w:pPr>
              <w:pStyle w:val="13"/>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2200501</w:t>
            </w:r>
          </w:p>
        </w:tc>
        <w:tc>
          <w:tcPr>
            <w:tcW w:w="1643" w:type="dxa"/>
            <w:vAlign w:val="center"/>
          </w:tcPr>
          <w:p>
            <w:pPr>
              <w:pStyle w:val="14"/>
            </w:pPr>
            <w:r>
              <w:t>行政运行</w:t>
            </w:r>
          </w:p>
        </w:tc>
        <w:tc>
          <w:tcPr>
            <w:tcW w:w="1643" w:type="dxa"/>
            <w:vAlign w:val="center"/>
          </w:tcPr>
          <w:p>
            <w:pPr>
              <w:pStyle w:val="13"/>
            </w:pPr>
            <w:r>
              <w:t>18.93</w:t>
            </w:r>
          </w:p>
        </w:tc>
        <w:tc>
          <w:tcPr>
            <w:tcW w:w="1643" w:type="dxa"/>
            <w:vAlign w:val="center"/>
          </w:tcPr>
          <w:p>
            <w:pPr>
              <w:pStyle w:val="13"/>
            </w:pPr>
          </w:p>
        </w:tc>
        <w:tc>
          <w:tcPr>
            <w:tcW w:w="1643" w:type="dxa"/>
            <w:vAlign w:val="center"/>
          </w:tcPr>
          <w:p>
            <w:pPr>
              <w:pStyle w:val="13"/>
            </w:pPr>
            <w:r>
              <w:t>18.93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2200509</w:t>
            </w:r>
          </w:p>
        </w:tc>
        <w:tc>
          <w:tcPr>
            <w:tcW w:w="1643" w:type="dxa"/>
            <w:vAlign w:val="center"/>
          </w:tcPr>
          <w:p>
            <w:pPr>
              <w:pStyle w:val="14"/>
            </w:pPr>
            <w:r>
              <w:t>气象服务</w:t>
            </w:r>
          </w:p>
        </w:tc>
        <w:tc>
          <w:tcPr>
            <w:tcW w:w="1643" w:type="dxa"/>
            <w:vAlign w:val="center"/>
          </w:tcPr>
          <w:p>
            <w:pPr>
              <w:pStyle w:val="13"/>
            </w:pPr>
            <w:r>
              <w:t>70.40</w:t>
            </w:r>
          </w:p>
        </w:tc>
        <w:tc>
          <w:tcPr>
            <w:tcW w:w="1643" w:type="dxa"/>
            <w:vAlign w:val="center"/>
          </w:tcPr>
          <w:p>
            <w:pPr>
              <w:pStyle w:val="13"/>
            </w:pPr>
          </w:p>
        </w:tc>
        <w:tc>
          <w:tcPr>
            <w:tcW w:w="1643" w:type="dxa"/>
            <w:vAlign w:val="center"/>
          </w:tcPr>
          <w:p>
            <w:pPr>
              <w:pStyle w:val="13"/>
            </w:pPr>
            <w:r>
              <w:t>70.40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906河北省隆尧县气象局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906河北省隆尧县气象局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906河北省隆尧县气象局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906河北省隆尧县气象局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河北省隆尧县气象局2023年部门预算信息公开情况说明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河北省隆尧县气象局2023年部门预算信息公开情况说明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按照《预算法》、《地方预决算公开操作规程》和《关于进一步推进预算公开工作的实施意见》规定，现将河北省隆尧县气象局2023年部门预算公开如下：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 xml:space="preserve">隆尧县气象局始建于1957年1月，为省属事业单位，实行主管部门和地方政府双重领导和中央与地方双重财务体制，其中中央负责业务经费和公共气象经费，地方负责为地方服务的有关人员及装备如人影、防汛抗旱、中尺度自动站、雷电防护、电视天气预报等经费。 </w:t>
      </w:r>
    </w:p>
    <w:p>
      <w:pPr>
        <w:pStyle w:val="19"/>
      </w:pPr>
      <w:r>
        <w:t>原为国家农气一级站、观测一般站。2006年1月根据《国务院关于加快气象事业发展的若干意见》国发[2006]3号文件，中国气象局批准我局升格为国家观测一级站，肩负着为国家、国防提供24小时气象资料和为地方政府决策、防灾减灾、经济社会发展、生态环境和社会公众提供气象预报服务的重任。近年来，隆尧气象事业在上级主管部门和县委县政府的领导和关心下，得到了较快发展，新建了业务楼、县综合减灾中心楼，新上了虚拟主持人的电视天气预报制作设备，建立“12121”天气预报电话自动答询系统、卫星接收站、十一个中尺度灾害性区域自动站、人工增雨作业人队（固定、流动火箭发射架各一架）等现代化业务服务系统，开展了雷电防护、农田生态环境监测等新业务，曾获得邢台市文明单位、中国气象局局务公开先进单位、河北省气象局“五大工程”一级达标单位等荣誉称号。气象事业是科技型、基础性社会公益事业，以公共气象为主导，协调安全气象、资源气象的发展，对当今经济社会发展，人民生活有着重要作用。我们将抢抓机遇，艰苦奋斗，按照“一流装备、一流技术、一流人才、一流台站”的要求，以监测精密、预报精准、服务精细高标准工作态度，与时俱进，开拓创新，在县委县政府的领导下，为实现隆尧经济社会的更快更好发展作出更大贡献。</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河北省隆尧县气象局本级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按照预算管理有关规定，目前我部门预算的编制实行综合预算管理，即全部收入和支出都反映在预算中。河北省隆尧县气象局机关及所属事业单位的收支包含在部门预算中。</w:t>
      </w:r>
    </w:p>
    <w:p>
      <w:pPr>
        <w:pStyle w:val="20"/>
      </w:pPr>
      <w:r>
        <w:t>1、收入说明</w:t>
      </w:r>
    </w:p>
    <w:p>
      <w:pPr>
        <w:pStyle w:val="20"/>
      </w:pPr>
      <w:r>
        <w:t>反映本部门当年地方财政拨款全部收入。2023年预算收入89.334万元，其中：一般公共预算收入89.334万元，财政专户核拨收入0万元，其他来源收入0万元。</w:t>
      </w:r>
    </w:p>
    <w:p>
      <w:pPr>
        <w:pStyle w:val="20"/>
      </w:pPr>
      <w:r>
        <w:t>2、支出说明</w:t>
      </w:r>
    </w:p>
    <w:p>
      <w:pPr>
        <w:pStyle w:val="20"/>
      </w:pPr>
      <w:r>
        <w:t>收支预算总表支出栏、基本支出表、项目支出表按经济分类和支出功能分类科目编制，反映河北省隆尧县气象局年度部门预算中支出预算的总体情况。2023年部门支出预算为89.33万元，其中人员经费</w:t>
      </w:r>
      <w:r>
        <w:rPr>
          <w:rFonts w:hint="eastAsia"/>
          <w:lang w:val="en-US" w:eastAsia="zh-CN"/>
        </w:rPr>
        <w:t>0</w:t>
      </w:r>
      <w:r>
        <w:t>万元；项目支出</w:t>
      </w:r>
      <w:r>
        <w:rPr>
          <w:rFonts w:hint="eastAsia"/>
          <w:lang w:val="en-US" w:eastAsia="zh-CN"/>
        </w:rPr>
        <w:t>89.33</w:t>
      </w:r>
      <w:r>
        <w:t>万元，主要为防灾绩效管理支出1.7万元，气象观测站维护经费支出10.2万元，气象服务及防雷支出5.1万元，人工影响天气支出3.4万元，标准化固定点运行经费10万元，经济开发区气候可行性论证评估40万元</w:t>
      </w:r>
      <w:r>
        <w:rPr>
          <w:rFonts w:hint="eastAsia"/>
          <w:lang w:val="en-US" w:eastAsia="zh-CN"/>
        </w:rPr>
        <w:t>等</w:t>
      </w:r>
      <w:r>
        <w:t>。</w:t>
      </w:r>
    </w:p>
    <w:p>
      <w:pPr>
        <w:pStyle w:val="20"/>
        <w:rPr>
          <w:color w:val="auto"/>
        </w:rPr>
      </w:pPr>
      <w:r>
        <w:rPr>
          <w:color w:val="auto"/>
        </w:rPr>
        <w:t>3、比上年增减情况</w:t>
      </w:r>
    </w:p>
    <w:p>
      <w:pPr>
        <w:pStyle w:val="20"/>
        <w:rPr>
          <w:color w:val="auto"/>
        </w:rPr>
      </w:pPr>
      <w:r>
        <w:rPr>
          <w:rFonts w:hint="eastAsia"/>
          <w:color w:val="auto"/>
          <w:lang w:eastAsia="zh-CN"/>
        </w:rPr>
        <w:t>2023</w:t>
      </w:r>
      <w:r>
        <w:rPr>
          <w:color w:val="auto"/>
        </w:rPr>
        <w:t>年部门预算收支安排</w:t>
      </w:r>
      <w:r>
        <w:rPr>
          <w:rFonts w:hint="eastAsia"/>
          <w:color w:val="auto"/>
          <w:lang w:val="en-US" w:eastAsia="zh-CN"/>
        </w:rPr>
        <w:t>89.334</w:t>
      </w:r>
      <w:r>
        <w:rPr>
          <w:color w:val="auto"/>
        </w:rPr>
        <w:t>万元，较202</w:t>
      </w:r>
      <w:r>
        <w:rPr>
          <w:rFonts w:hint="eastAsia"/>
          <w:color w:val="auto"/>
          <w:lang w:val="en-US" w:eastAsia="zh-CN"/>
        </w:rPr>
        <w:t>2</w:t>
      </w:r>
      <w:r>
        <w:rPr>
          <w:color w:val="auto"/>
        </w:rPr>
        <w:t>年102.765</w:t>
      </w:r>
      <w:r>
        <w:rPr>
          <w:rFonts w:hint="eastAsia"/>
          <w:color w:val="auto"/>
          <w:lang w:val="en-US" w:eastAsia="zh-CN"/>
        </w:rPr>
        <w:t>万元</w:t>
      </w:r>
      <w:r>
        <w:rPr>
          <w:color w:val="auto"/>
        </w:rPr>
        <w:t>增</w:t>
      </w:r>
      <w:r>
        <w:rPr>
          <w:rFonts w:hint="eastAsia"/>
          <w:color w:val="auto"/>
          <w:lang w:eastAsia="zh-CN"/>
        </w:rPr>
        <w:t>减</w:t>
      </w:r>
      <w:r>
        <w:rPr>
          <w:rFonts w:hint="eastAsia"/>
          <w:color w:val="auto"/>
          <w:lang w:val="en-US" w:eastAsia="zh-CN"/>
        </w:rPr>
        <w:t>13.431</w:t>
      </w:r>
      <w:r>
        <w:rPr>
          <w:color w:val="auto"/>
        </w:rPr>
        <w:t>万元，主要是增</w:t>
      </w:r>
      <w:r>
        <w:rPr>
          <w:rFonts w:hint="eastAsia"/>
          <w:color w:val="auto"/>
          <w:lang w:eastAsia="zh-CN"/>
        </w:rPr>
        <w:t>减</w:t>
      </w:r>
      <w:r>
        <w:rPr>
          <w:color w:val="auto"/>
        </w:rPr>
        <w:t>自然灾害综合风险普查经费和经济开发区气候可行性论证评估费用；其他项目支出同202</w:t>
      </w:r>
      <w:r>
        <w:rPr>
          <w:rFonts w:hint="eastAsia"/>
          <w:color w:val="auto"/>
          <w:lang w:val="en-US" w:eastAsia="zh-CN"/>
        </w:rPr>
        <w:t>2</w:t>
      </w:r>
      <w:r>
        <w:rPr>
          <w:color w:val="auto"/>
        </w:rPr>
        <w:t>年一致。</w:t>
      </w: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rPr>
          <w:rFonts w:hint="eastAsia"/>
          <w:lang w:eastAsia="zh-CN"/>
        </w:rPr>
      </w:pPr>
      <w:r>
        <w:t>2023年，我局运行经费共计安排</w:t>
      </w:r>
      <w:r>
        <w:rPr>
          <w:rFonts w:hint="eastAsia"/>
          <w:lang w:val="en-US" w:eastAsia="zh-CN"/>
        </w:rPr>
        <w:t>0</w:t>
      </w:r>
      <w:r>
        <w:t>万元</w:t>
      </w:r>
      <w:r>
        <w:rPr>
          <w:rFonts w:hint="eastAsia"/>
          <w:lang w:eastAsia="zh-CN"/>
        </w:rPr>
        <w:t>。</w:t>
      </w:r>
    </w:p>
    <w:p>
      <w:pPr>
        <w:pStyle w:val="21"/>
        <w:rPr>
          <w:rFonts w:hint="eastAsia"/>
          <w:lang w:eastAsia="zh-CN"/>
        </w:rPr>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2023年，我局财政拨款“三公”经费预算安排0万元，其中因公出国（境）费0万元；公务用车购置及运维费0万元；公务接待费0万元。与2022年相比“三公”经费无增减变化。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隆尧县气象局全年开展气象灾害防御、面向公众的公共气象服务、面向行业的专业气象服务、面向农业的农业气象服务和人工影响天气等业务。通过持续支持，做至决策气象服务科学、及时、有效，且更具有针对性。保障国家突发事件预警信息发布系统安全、稳定运行。气象灾情上报系统安全有效运行,进一步提高灾情数据在效益评估方面的运用。通过12121、隆尧频道栏目播出等信息发布建设，提高公众气象服务覆盖面，提升气象信息服务质量。提升农业、重大活动等气象服务水平，强化关键农事季节、重大活动等气象服务保障能力，继续做好本区域内作物产量、重大活动预报。保障交通、旅游、林业、地质灾害等专业气象服务业务平台稳定运行。完成人工影响天气年度技术指导、作业指挥系统和平台运行、装备保障任务。公众和行业气象服务满意度保持在90分及以上。</w:t>
      </w:r>
    </w:p>
    <w:p>
      <w:pPr>
        <w:pStyle w:val="23"/>
      </w:pPr>
      <w:r>
        <w:t>开展气象为农服务能力提升建设。加强基层气象防灾减灾能力建设，提高气象灾害预警和应急联动响应能力，加强气象灾害风险预警服务；加强农业气象服务能力建设，发展基于“互联网+”的智慧农业气象服务，强化“直通式”农业气象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1.气象灾害防御能力建设进一步完善</w:t>
      </w:r>
    </w:p>
    <w:p>
      <w:pPr>
        <w:pStyle w:val="24"/>
      </w:pPr>
      <w:r>
        <w:t>绩效目标：提高气象灾害防御能力，避免、减轻气象灾害风险和损失，保障人民生命财产安全，促进经济社会发展。</w:t>
      </w:r>
    </w:p>
    <w:p>
      <w:pPr>
        <w:pStyle w:val="24"/>
      </w:pPr>
      <w:r>
        <w:t>绩效指标：建设完善的气象灾害监测站网，保障全市气象灾害监测站网和装备、通信网络正常运行，观测设备正常运行率达95%以上，气象资料传输率达98%以上，定期巡检次数不少于6次；建设完善突发公共事件预警信息发布系统，保障突发公共事件预警信息发布系统稳定运行，正常运行率达95%以上，全年发布成功率达90%以上；新建改建扩建建筑物防雷装置设计技术评价应评必评，新建改建扩建建筑物防雷装置应检必检。</w:t>
      </w:r>
    </w:p>
    <w:p>
      <w:pPr>
        <w:pStyle w:val="24"/>
      </w:pPr>
      <w:r>
        <w:t>2.气象服务水平进一步提高</w:t>
      </w:r>
    </w:p>
    <w:p>
      <w:pPr>
        <w:pStyle w:val="24"/>
      </w:pPr>
      <w:r>
        <w:t>绩效目标： 提高公共气象服务水平，丰富专业气象预报产品，提高人工增雨作业水平和抗旱救灾等能力。</w:t>
      </w:r>
    </w:p>
    <w:p>
      <w:pPr>
        <w:pStyle w:val="24"/>
      </w:pPr>
      <w:r>
        <w:t>绩效指标：加强农业、交通、能源、旅游、城市、生态等专业气象服务，开展重大活动气象保障服务，提高我市防灾减灾气象服务水平，提升气象保障经济发展的能力，实现气象服务产品多样化、精细化，提供信息准确率90%以上，信息及时率95%以上，公众服务满意度达90%。</w:t>
      </w:r>
    </w:p>
    <w:p>
      <w:pPr>
        <w:pStyle w:val="24"/>
      </w:pPr>
      <w:r>
        <w:t>3.气象政务管理进一步完善</w:t>
      </w:r>
    </w:p>
    <w:p>
      <w:pPr>
        <w:pStyle w:val="24"/>
      </w:pPr>
      <w:r>
        <w:t>绩效目标：建立高效、便民的气象依法行政体系和气象灾害防御体系，管理能力和水平显著提高。</w:t>
      </w:r>
    </w:p>
    <w:p>
      <w:pPr>
        <w:pStyle w:val="24"/>
      </w:pPr>
      <w:r>
        <w:t>绩效指标： 综合事务管理完成率95%以上。</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pPr>
      <w:r>
        <w:t>6、加强宣传培训。加强人员培训，加大宣传力度，强化预算绩效管理意识，促进预算绩效管理水平提升。</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1、标准化固定作业点绩效目标表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开展有效人影作业</w:t>
            </w:r>
          </w:p>
        </w:tc>
        <w:tc>
          <w:tcPr>
            <w:tcW w:w="2466" w:type="dxa"/>
            <w:vAlign w:val="center"/>
          </w:tcPr>
          <w:p>
            <w:pPr>
              <w:pStyle w:val="14"/>
            </w:pPr>
            <w:r>
              <w:t>全年增加降水量20%，有效缓解土壤墒情</w:t>
            </w:r>
          </w:p>
        </w:tc>
        <w:tc>
          <w:tcPr>
            <w:tcW w:w="2466" w:type="dxa"/>
            <w:vAlign w:val="center"/>
          </w:tcPr>
          <w:p>
            <w:pPr>
              <w:pStyle w:val="14"/>
            </w:pPr>
            <w:r>
              <w:t>≥20百分数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受益区域</w:t>
            </w:r>
          </w:p>
        </w:tc>
        <w:tc>
          <w:tcPr>
            <w:tcW w:w="2466" w:type="dxa"/>
            <w:vAlign w:val="center"/>
          </w:tcPr>
          <w:p>
            <w:pPr>
              <w:pStyle w:val="14"/>
            </w:pPr>
            <w:r>
              <w:t>开展人工增雨作业受益覆盖率</w:t>
            </w:r>
          </w:p>
        </w:tc>
        <w:tc>
          <w:tcPr>
            <w:tcW w:w="2466" w:type="dxa"/>
            <w:vAlign w:val="center"/>
          </w:tcPr>
          <w:p>
            <w:pPr>
              <w:pStyle w:val="14"/>
            </w:pPr>
            <w:r>
              <w:t>≥80百分数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当年投资完成率</w:t>
            </w:r>
          </w:p>
        </w:tc>
        <w:tc>
          <w:tcPr>
            <w:tcW w:w="2466" w:type="dxa"/>
            <w:vAlign w:val="center"/>
          </w:tcPr>
          <w:p>
            <w:pPr>
              <w:pStyle w:val="14"/>
            </w:pPr>
            <w:r>
              <w:t>全年有效投资达100%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火箭弹购置成本</w:t>
            </w:r>
          </w:p>
        </w:tc>
        <w:tc>
          <w:tcPr>
            <w:tcW w:w="2466" w:type="dxa"/>
            <w:vAlign w:val="center"/>
          </w:tcPr>
          <w:p>
            <w:pPr>
              <w:pStyle w:val="14"/>
              <w:rPr>
                <w:rFonts w:hint="default" w:eastAsia="方正书宋_GBK"/>
                <w:lang w:val="en-US" w:eastAsia="zh-CN"/>
              </w:rPr>
            </w:pPr>
            <w:r>
              <w:t>用于人工增雨雪火箭弹的费用</w:t>
            </w:r>
            <w:r>
              <w:rPr>
                <w:rFonts w:hint="eastAsia"/>
                <w:lang w:val="en-US" w:eastAsia="zh-CN"/>
              </w:rPr>
              <w:t>100%采购。</w:t>
            </w:r>
          </w:p>
        </w:tc>
        <w:tc>
          <w:tcPr>
            <w:tcW w:w="2466" w:type="dxa"/>
            <w:vAlign w:val="center"/>
          </w:tcPr>
          <w:p>
            <w:pPr>
              <w:pStyle w:val="14"/>
            </w:pPr>
            <w:r>
              <w:t>≤6万元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缓解污染天气空气质量</w:t>
            </w:r>
          </w:p>
        </w:tc>
        <w:tc>
          <w:tcPr>
            <w:tcW w:w="2466" w:type="dxa"/>
            <w:vAlign w:val="center"/>
          </w:tcPr>
          <w:p>
            <w:pPr>
              <w:pStyle w:val="14"/>
              <w:rPr>
                <w:rFonts w:hint="default" w:eastAsia="方正书宋_GBK"/>
                <w:lang w:val="en-US" w:eastAsia="zh-CN"/>
              </w:rPr>
            </w:pPr>
            <w:r>
              <w:t>能有效缓解空气质量程</w:t>
            </w:r>
            <w:r>
              <w:rPr>
                <w:rFonts w:hint="eastAsia"/>
                <w:lang w:eastAsia="zh-CN"/>
              </w:rPr>
              <w:t>度净化率提高</w:t>
            </w:r>
            <w:r>
              <w:rPr>
                <w:rFonts w:hint="eastAsia"/>
                <w:lang w:val="en-US" w:eastAsia="zh-CN"/>
              </w:rPr>
              <w:t>80%</w:t>
            </w:r>
          </w:p>
        </w:tc>
        <w:tc>
          <w:tcPr>
            <w:tcW w:w="2466" w:type="dxa"/>
            <w:vAlign w:val="center"/>
          </w:tcPr>
          <w:p>
            <w:pPr>
              <w:pStyle w:val="14"/>
            </w:pPr>
            <w:r>
              <w:t>≥80百分数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能有效缓解旱情减少农业灌溉</w:t>
            </w:r>
          </w:p>
        </w:tc>
        <w:tc>
          <w:tcPr>
            <w:tcW w:w="2466" w:type="dxa"/>
            <w:vAlign w:val="center"/>
          </w:tcPr>
          <w:p>
            <w:pPr>
              <w:pStyle w:val="14"/>
            </w:pPr>
            <w:r>
              <w:t>≥100百分数</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2、防灾绩效管理绩效目标表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召开指挥部会议</w:t>
            </w:r>
          </w:p>
        </w:tc>
        <w:tc>
          <w:tcPr>
            <w:tcW w:w="2466" w:type="dxa"/>
            <w:vAlign w:val="center"/>
          </w:tcPr>
          <w:p>
            <w:pPr>
              <w:pStyle w:val="14"/>
            </w:pPr>
            <w:r>
              <w:t>召开指挥部会议次数</w:t>
            </w:r>
            <w:r>
              <w:rPr>
                <w:rFonts w:hint="eastAsia"/>
              </w:rPr>
              <w:t>2次</w:t>
            </w:r>
          </w:p>
        </w:tc>
        <w:tc>
          <w:tcPr>
            <w:tcW w:w="2466" w:type="dxa"/>
            <w:vAlign w:val="center"/>
          </w:tcPr>
          <w:p>
            <w:pPr>
              <w:pStyle w:val="14"/>
            </w:pPr>
            <w:r>
              <w:t>≥2次数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关键农时气象服务产品采用</w:t>
            </w:r>
          </w:p>
        </w:tc>
        <w:tc>
          <w:tcPr>
            <w:tcW w:w="2466" w:type="dxa"/>
            <w:vAlign w:val="center"/>
          </w:tcPr>
          <w:p>
            <w:pPr>
              <w:pStyle w:val="14"/>
            </w:pPr>
            <w:r>
              <w:t>制作发布关键农时气象服务产品采用率</w:t>
            </w:r>
            <w:r>
              <w:rPr>
                <w:rFonts w:hint="eastAsia"/>
              </w:rPr>
              <w:t>100%</w:t>
            </w:r>
          </w:p>
        </w:tc>
        <w:tc>
          <w:tcPr>
            <w:tcW w:w="2466" w:type="dxa"/>
            <w:vAlign w:val="center"/>
          </w:tcPr>
          <w:p>
            <w:pPr>
              <w:pStyle w:val="14"/>
            </w:pPr>
            <w:r>
              <w:t>≥90百分数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农业天气预报时效</w:t>
            </w:r>
          </w:p>
        </w:tc>
        <w:tc>
          <w:tcPr>
            <w:tcW w:w="2466" w:type="dxa"/>
            <w:vAlign w:val="center"/>
          </w:tcPr>
          <w:p>
            <w:pPr>
              <w:pStyle w:val="14"/>
            </w:pPr>
            <w:r>
              <w:t>发布农业气象灾害和农用天气预报提前天数</w:t>
            </w:r>
            <w:r>
              <w:rPr>
                <w:rFonts w:hint="eastAsia"/>
              </w:rPr>
              <w:t>2-3天</w:t>
            </w:r>
            <w:bookmarkStart w:id="19" w:name="_GoBack"/>
            <w:bookmarkEnd w:id="19"/>
          </w:p>
        </w:tc>
        <w:tc>
          <w:tcPr>
            <w:tcW w:w="2466" w:type="dxa"/>
            <w:vAlign w:val="center"/>
          </w:tcPr>
          <w:p>
            <w:pPr>
              <w:pStyle w:val="14"/>
            </w:pPr>
            <w:r>
              <w:t>≥3天</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该项目控制成本</w:t>
            </w:r>
          </w:p>
        </w:tc>
        <w:tc>
          <w:tcPr>
            <w:tcW w:w="2466" w:type="dxa"/>
            <w:vAlign w:val="center"/>
          </w:tcPr>
          <w:p>
            <w:pPr>
              <w:pStyle w:val="14"/>
            </w:pPr>
            <w:r>
              <w:t>该项目在预算控制内完成情况</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对气象防灾减灾的可持续影响</w:t>
            </w:r>
          </w:p>
        </w:tc>
        <w:tc>
          <w:tcPr>
            <w:tcW w:w="2466" w:type="dxa"/>
            <w:vAlign w:val="center"/>
          </w:tcPr>
          <w:p>
            <w:pPr>
              <w:pStyle w:val="14"/>
            </w:pPr>
            <w:r>
              <w:t>降低气象灾害造成的损失率</w:t>
            </w:r>
            <w:r>
              <w:rPr>
                <w:rFonts w:hint="eastAsia"/>
              </w:rPr>
              <w:t>30%</w:t>
            </w:r>
          </w:p>
        </w:tc>
        <w:tc>
          <w:tcPr>
            <w:tcW w:w="2466" w:type="dxa"/>
            <w:vAlign w:val="center"/>
          </w:tcPr>
          <w:p>
            <w:pPr>
              <w:pStyle w:val="14"/>
            </w:pPr>
            <w:r>
              <w:t>≥30百分数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调查问卷满意度</w:t>
            </w:r>
            <w:r>
              <w:rPr>
                <w:rFonts w:hint="eastAsia"/>
              </w:rPr>
              <w:t>100%</w:t>
            </w:r>
          </w:p>
        </w:tc>
        <w:tc>
          <w:tcPr>
            <w:tcW w:w="2466" w:type="dxa"/>
            <w:vAlign w:val="center"/>
          </w:tcPr>
          <w:p>
            <w:pPr>
              <w:pStyle w:val="14"/>
            </w:pPr>
            <w:r>
              <w:t>≥90百分数</w:t>
            </w:r>
          </w:p>
        </w:tc>
        <w:tc>
          <w:tcPr>
            <w:tcW w:w="2466" w:type="dxa"/>
            <w:vAlign w:val="center"/>
          </w:tcPr>
          <w:p>
            <w:pPr>
              <w:pStyle w:val="14"/>
            </w:pPr>
            <w:r>
              <w:t>按照问卷调查评分标准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3、隆尧县经济开发区气候可行性论证评估绩效目标表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项目参与人员数量</w:t>
            </w:r>
          </w:p>
        </w:tc>
        <w:tc>
          <w:tcPr>
            <w:tcW w:w="2466" w:type="dxa"/>
            <w:vAlign w:val="center"/>
          </w:tcPr>
          <w:p>
            <w:pPr>
              <w:pStyle w:val="14"/>
            </w:pPr>
            <w:r>
              <w:t>按照业务分工不同，参与人员3人</w:t>
            </w:r>
            <w:r>
              <w:rPr>
                <w:rFonts w:hint="eastAsia"/>
              </w:rPr>
              <w:t>达100%</w:t>
            </w:r>
          </w:p>
        </w:tc>
        <w:tc>
          <w:tcPr>
            <w:tcW w:w="2466" w:type="dxa"/>
            <w:vAlign w:val="center"/>
          </w:tcPr>
          <w:p>
            <w:pPr>
              <w:pStyle w:val="14"/>
            </w:pPr>
            <w:r>
              <w:t>≥3人数</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完成《实施方案》工作目标要求</w:t>
            </w:r>
          </w:p>
        </w:tc>
        <w:tc>
          <w:tcPr>
            <w:tcW w:w="2466" w:type="dxa"/>
            <w:vAlign w:val="center"/>
          </w:tcPr>
          <w:p>
            <w:pPr>
              <w:pStyle w:val="14"/>
            </w:pPr>
            <w:r>
              <w:t>完成《实施方案》工作目标要求</w:t>
            </w:r>
            <w:r>
              <w:rPr>
                <w:rFonts w:hint="eastAsia"/>
              </w:rPr>
              <w:t>完成率达100%</w:t>
            </w:r>
          </w:p>
        </w:tc>
        <w:tc>
          <w:tcPr>
            <w:tcW w:w="2466" w:type="dxa"/>
            <w:vAlign w:val="center"/>
          </w:tcPr>
          <w:p>
            <w:pPr>
              <w:pStyle w:val="14"/>
            </w:pPr>
            <w:r>
              <w:t>按要求完成工作目标</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按时间节点完成招标工作</w:t>
            </w:r>
          </w:p>
        </w:tc>
        <w:tc>
          <w:tcPr>
            <w:tcW w:w="2466" w:type="dxa"/>
            <w:vAlign w:val="center"/>
          </w:tcPr>
          <w:p>
            <w:pPr>
              <w:pStyle w:val="14"/>
            </w:pPr>
            <w:r>
              <w:t>按相关文件时间节点完成招标工作</w:t>
            </w:r>
            <w:r>
              <w:rPr>
                <w:rFonts w:hint="eastAsia"/>
              </w:rPr>
              <w:t>达100%</w:t>
            </w:r>
          </w:p>
        </w:tc>
        <w:tc>
          <w:tcPr>
            <w:tcW w:w="2466" w:type="dxa"/>
            <w:vAlign w:val="center"/>
          </w:tcPr>
          <w:p>
            <w:pPr>
              <w:pStyle w:val="14"/>
            </w:pPr>
            <w:r>
              <w:t>按相关文件时间节点完成</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完成该项目所需成本</w:t>
            </w:r>
          </w:p>
        </w:tc>
        <w:tc>
          <w:tcPr>
            <w:tcW w:w="2466" w:type="dxa"/>
            <w:vAlign w:val="center"/>
          </w:tcPr>
          <w:p>
            <w:pPr>
              <w:pStyle w:val="14"/>
            </w:pPr>
            <w:r>
              <w:t>该项目在预算控制内完成100%</w:t>
            </w:r>
          </w:p>
        </w:tc>
        <w:tc>
          <w:tcPr>
            <w:tcW w:w="2466" w:type="dxa"/>
            <w:vAlign w:val="center"/>
          </w:tcPr>
          <w:p>
            <w:pPr>
              <w:pStyle w:val="14"/>
            </w:pPr>
            <w:r>
              <w:t>≥100百分数</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减轻企业负担，节约社会资源</w:t>
            </w:r>
          </w:p>
        </w:tc>
        <w:tc>
          <w:tcPr>
            <w:tcW w:w="2466" w:type="dxa"/>
            <w:vAlign w:val="center"/>
          </w:tcPr>
          <w:p>
            <w:pPr>
              <w:pStyle w:val="14"/>
            </w:pPr>
            <w:r>
              <w:t>形成整体性、区域化评估结果，进一步提高审批效率</w:t>
            </w:r>
            <w:r>
              <w:rPr>
                <w:rFonts w:hint="eastAsia"/>
              </w:rPr>
              <w:t>达100%</w:t>
            </w:r>
          </w:p>
        </w:tc>
        <w:tc>
          <w:tcPr>
            <w:tcW w:w="2466" w:type="dxa"/>
            <w:vAlign w:val="center"/>
          </w:tcPr>
          <w:p>
            <w:pPr>
              <w:pStyle w:val="14"/>
            </w:pPr>
            <w:r>
              <w:t>≥90百分数</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通过调查问卷满意度90%</w:t>
            </w:r>
          </w:p>
        </w:tc>
        <w:tc>
          <w:tcPr>
            <w:tcW w:w="2466" w:type="dxa"/>
            <w:vAlign w:val="center"/>
          </w:tcPr>
          <w:p>
            <w:pPr>
              <w:pStyle w:val="14"/>
            </w:pPr>
            <w:r>
              <w:t>≥90百分数</w:t>
            </w:r>
          </w:p>
        </w:tc>
        <w:tc>
          <w:tcPr>
            <w:tcW w:w="2466" w:type="dxa"/>
            <w:vAlign w:val="center"/>
          </w:tcPr>
          <w:p>
            <w:pPr>
              <w:pStyle w:val="14"/>
            </w:pPr>
            <w:r>
              <w:t>按照问卷调查评分标准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4、气象服务及防雷绩效目标表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综合事务管理完成率</w:t>
            </w:r>
          </w:p>
        </w:tc>
        <w:tc>
          <w:tcPr>
            <w:tcW w:w="2466" w:type="dxa"/>
            <w:vAlign w:val="center"/>
          </w:tcPr>
          <w:p>
            <w:pPr>
              <w:pStyle w:val="14"/>
            </w:pPr>
            <w:r>
              <w:t>综合事务管理完成率</w:t>
            </w:r>
            <w:r>
              <w:rPr>
                <w:rFonts w:hint="eastAsia"/>
              </w:rPr>
              <w:t>80%</w:t>
            </w:r>
          </w:p>
        </w:tc>
        <w:tc>
          <w:tcPr>
            <w:tcW w:w="2466" w:type="dxa"/>
            <w:vAlign w:val="center"/>
          </w:tcPr>
          <w:p>
            <w:pPr>
              <w:pStyle w:val="14"/>
            </w:pPr>
            <w:r>
              <w:t>≥80百分数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开展气象灾害调查</w:t>
            </w:r>
          </w:p>
        </w:tc>
        <w:tc>
          <w:tcPr>
            <w:tcW w:w="2466" w:type="dxa"/>
            <w:vAlign w:val="center"/>
          </w:tcPr>
          <w:p>
            <w:pPr>
              <w:pStyle w:val="14"/>
            </w:pPr>
            <w:r>
              <w:t>据灾害天气情况及时开展田间调查率</w:t>
            </w:r>
            <w:r>
              <w:rPr>
                <w:rFonts w:hint="eastAsia"/>
              </w:rPr>
              <w:t>90%</w:t>
            </w:r>
          </w:p>
        </w:tc>
        <w:tc>
          <w:tcPr>
            <w:tcW w:w="2466" w:type="dxa"/>
            <w:vAlign w:val="center"/>
          </w:tcPr>
          <w:p>
            <w:pPr>
              <w:pStyle w:val="14"/>
            </w:pPr>
            <w:r>
              <w:t>≥90百分数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灾情上报时效</w:t>
            </w:r>
          </w:p>
        </w:tc>
        <w:tc>
          <w:tcPr>
            <w:tcW w:w="2466" w:type="dxa"/>
            <w:vAlign w:val="center"/>
          </w:tcPr>
          <w:p>
            <w:pPr>
              <w:pStyle w:val="14"/>
            </w:pPr>
            <w:r>
              <w:t>因灾害天气发生气象灾情时上报及时率</w:t>
            </w:r>
            <w:r>
              <w:rPr>
                <w:rFonts w:hint="eastAsia"/>
              </w:rPr>
              <w:t>90%</w:t>
            </w:r>
          </w:p>
        </w:tc>
        <w:tc>
          <w:tcPr>
            <w:tcW w:w="2466" w:type="dxa"/>
            <w:vAlign w:val="center"/>
          </w:tcPr>
          <w:p>
            <w:pPr>
              <w:pStyle w:val="14"/>
            </w:pPr>
            <w:r>
              <w:t>≥90百分数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气象防灾知识宣传成本</w:t>
            </w:r>
          </w:p>
        </w:tc>
        <w:tc>
          <w:tcPr>
            <w:tcW w:w="2466" w:type="dxa"/>
            <w:vAlign w:val="center"/>
          </w:tcPr>
          <w:p>
            <w:pPr>
              <w:pStyle w:val="14"/>
            </w:pPr>
            <w:r>
              <w:t>为了普及气象灾害知识，开展活动所需经费</w:t>
            </w:r>
            <w:r>
              <w:rPr>
                <w:rFonts w:hint="eastAsia"/>
              </w:rPr>
              <w:t>5.1万元</w:t>
            </w:r>
          </w:p>
        </w:tc>
        <w:tc>
          <w:tcPr>
            <w:tcW w:w="2466" w:type="dxa"/>
            <w:vAlign w:val="center"/>
          </w:tcPr>
          <w:p>
            <w:pPr>
              <w:pStyle w:val="14"/>
            </w:pPr>
            <w:r>
              <w:t>按照预算计划完成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社会效益指标</w:t>
            </w:r>
          </w:p>
        </w:tc>
        <w:tc>
          <w:tcPr>
            <w:tcW w:w="2466" w:type="dxa"/>
            <w:vAlign w:val="center"/>
          </w:tcPr>
          <w:p>
            <w:pPr>
              <w:pStyle w:val="14"/>
            </w:pPr>
            <w:r>
              <w:t>行政审批及时率</w:t>
            </w:r>
            <w:r>
              <w:rPr>
                <w:rFonts w:hint="eastAsia"/>
              </w:rPr>
              <w:t>95%</w:t>
            </w:r>
          </w:p>
        </w:tc>
        <w:tc>
          <w:tcPr>
            <w:tcW w:w="2466" w:type="dxa"/>
            <w:vAlign w:val="center"/>
          </w:tcPr>
          <w:p>
            <w:pPr>
              <w:pStyle w:val="14"/>
            </w:pPr>
            <w:r>
              <w:t>≥95百分数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群众对气象信息满意度</w:t>
            </w:r>
          </w:p>
        </w:tc>
        <w:tc>
          <w:tcPr>
            <w:tcW w:w="2466" w:type="dxa"/>
            <w:vAlign w:val="center"/>
          </w:tcPr>
          <w:p>
            <w:pPr>
              <w:pStyle w:val="14"/>
            </w:pPr>
            <w:r>
              <w:t>群众对气象整体满意度</w:t>
            </w:r>
            <w:r>
              <w:rPr>
                <w:rFonts w:hint="eastAsia"/>
              </w:rPr>
              <w:t>100%</w:t>
            </w:r>
          </w:p>
        </w:tc>
        <w:tc>
          <w:tcPr>
            <w:tcW w:w="2466" w:type="dxa"/>
            <w:vAlign w:val="center"/>
          </w:tcPr>
          <w:p>
            <w:pPr>
              <w:pStyle w:val="14"/>
            </w:pPr>
            <w:r>
              <w:t>≥100百分数</w:t>
            </w:r>
          </w:p>
        </w:tc>
        <w:tc>
          <w:tcPr>
            <w:tcW w:w="2466" w:type="dxa"/>
            <w:vAlign w:val="center"/>
          </w:tcPr>
          <w:p>
            <w:pPr>
              <w:pStyle w:val="14"/>
            </w:pPr>
            <w:r>
              <w:t>按照问卷调查评分标准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5、气象观测站维护经费绩效目标表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国家级地面观测站观测次数</w:t>
            </w:r>
          </w:p>
        </w:tc>
        <w:tc>
          <w:tcPr>
            <w:tcW w:w="2466" w:type="dxa"/>
            <w:vAlign w:val="center"/>
          </w:tcPr>
          <w:p>
            <w:pPr>
              <w:pStyle w:val="14"/>
            </w:pPr>
            <w:r>
              <w:t>国家级地面观测站观测</w:t>
            </w:r>
            <w:r>
              <w:rPr>
                <w:rFonts w:hint="eastAsia"/>
              </w:rPr>
              <w:t>率100%</w:t>
            </w:r>
          </w:p>
        </w:tc>
        <w:tc>
          <w:tcPr>
            <w:tcW w:w="2466" w:type="dxa"/>
            <w:vAlign w:val="center"/>
          </w:tcPr>
          <w:p>
            <w:pPr>
              <w:pStyle w:val="14"/>
            </w:pPr>
            <w:r>
              <w:t>≥100百分数</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地面观测数据传输率</w:t>
            </w:r>
          </w:p>
        </w:tc>
        <w:tc>
          <w:tcPr>
            <w:tcW w:w="2466" w:type="dxa"/>
            <w:vAlign w:val="center"/>
          </w:tcPr>
          <w:p>
            <w:pPr>
              <w:pStyle w:val="14"/>
            </w:pPr>
            <w:r>
              <w:t>地面观测数据传输率</w:t>
            </w:r>
            <w:r>
              <w:rPr>
                <w:rFonts w:hint="eastAsia"/>
              </w:rPr>
              <w:t>100%</w:t>
            </w:r>
          </w:p>
        </w:tc>
        <w:tc>
          <w:tcPr>
            <w:tcW w:w="2466" w:type="dxa"/>
            <w:vAlign w:val="center"/>
          </w:tcPr>
          <w:p>
            <w:pPr>
              <w:pStyle w:val="14"/>
            </w:pPr>
            <w:r>
              <w:t>≥100百分数</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观测站故障排除时效</w:t>
            </w:r>
          </w:p>
        </w:tc>
        <w:tc>
          <w:tcPr>
            <w:tcW w:w="2466" w:type="dxa"/>
            <w:vAlign w:val="center"/>
          </w:tcPr>
          <w:p>
            <w:pPr>
              <w:pStyle w:val="14"/>
            </w:pPr>
            <w:r>
              <w:t>观测站故障监控通报及时性</w:t>
            </w:r>
            <w:r>
              <w:rPr>
                <w:rFonts w:hint="eastAsia"/>
              </w:rPr>
              <w:t>100%</w:t>
            </w:r>
          </w:p>
        </w:tc>
        <w:tc>
          <w:tcPr>
            <w:tcW w:w="2466" w:type="dxa"/>
            <w:vAlign w:val="center"/>
          </w:tcPr>
          <w:p>
            <w:pPr>
              <w:pStyle w:val="14"/>
            </w:pPr>
            <w:r>
              <w:t>在一小时内排除故障</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观测站设备的维修和更换</w:t>
            </w:r>
          </w:p>
        </w:tc>
        <w:tc>
          <w:tcPr>
            <w:tcW w:w="2466" w:type="dxa"/>
            <w:vAlign w:val="center"/>
          </w:tcPr>
          <w:p>
            <w:pPr>
              <w:pStyle w:val="14"/>
            </w:pPr>
            <w:r>
              <w:t>观测站设备的升级维修的成本</w:t>
            </w:r>
            <w:r>
              <w:rPr>
                <w:rFonts w:hint="eastAsia"/>
              </w:rPr>
              <w:t>100%</w:t>
            </w:r>
          </w:p>
        </w:tc>
        <w:tc>
          <w:tcPr>
            <w:tcW w:w="2466" w:type="dxa"/>
            <w:vAlign w:val="center"/>
          </w:tcPr>
          <w:p>
            <w:pPr>
              <w:pStyle w:val="14"/>
            </w:pPr>
            <w:r>
              <w:t>在预算内完成</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社会稳定度</w:t>
            </w:r>
          </w:p>
        </w:tc>
        <w:tc>
          <w:tcPr>
            <w:tcW w:w="2466" w:type="dxa"/>
            <w:vAlign w:val="center"/>
          </w:tcPr>
          <w:p>
            <w:pPr>
              <w:pStyle w:val="14"/>
            </w:pPr>
            <w:r>
              <w:t>通过监测气象数据，为生态环境治理提供依据</w:t>
            </w:r>
            <w:r>
              <w:rPr>
                <w:rFonts w:hint="eastAsia"/>
              </w:rPr>
              <w:t>100%</w:t>
            </w:r>
          </w:p>
        </w:tc>
        <w:tc>
          <w:tcPr>
            <w:tcW w:w="2466" w:type="dxa"/>
            <w:vAlign w:val="center"/>
          </w:tcPr>
          <w:p>
            <w:pPr>
              <w:pStyle w:val="14"/>
            </w:pPr>
            <w:r>
              <w:t>为生态环境提供科学依据</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群众对气象整体满意度</w:t>
            </w:r>
            <w:r>
              <w:rPr>
                <w:rFonts w:hint="eastAsia"/>
              </w:rPr>
              <w:t>100%</w:t>
            </w:r>
          </w:p>
        </w:tc>
        <w:tc>
          <w:tcPr>
            <w:tcW w:w="2466" w:type="dxa"/>
            <w:vAlign w:val="center"/>
          </w:tcPr>
          <w:p>
            <w:pPr>
              <w:pStyle w:val="14"/>
            </w:pPr>
            <w:r>
              <w:t>≥100百分数</w:t>
            </w:r>
          </w:p>
        </w:tc>
        <w:tc>
          <w:tcPr>
            <w:tcW w:w="2466" w:type="dxa"/>
            <w:vAlign w:val="center"/>
          </w:tcPr>
          <w:p>
            <w:pPr>
              <w:pStyle w:val="14"/>
            </w:pPr>
            <w:r>
              <w:t>观测站传输率和到报率考核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6、人工影响天气绩效目标表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人工增雨（雪）飞机作业时间</w:t>
            </w:r>
          </w:p>
        </w:tc>
        <w:tc>
          <w:tcPr>
            <w:tcW w:w="2466" w:type="dxa"/>
            <w:vAlign w:val="center"/>
          </w:tcPr>
          <w:p>
            <w:pPr>
              <w:pStyle w:val="14"/>
              <w:ind w:firstLine="0" w:firstLineChars="0"/>
            </w:pPr>
            <w:r>
              <w:t>人工增雨（雪）飞机作业时间</w:t>
            </w:r>
            <w:r>
              <w:rPr>
                <w:rFonts w:hint="eastAsia"/>
              </w:rPr>
              <w:t>4小时</w:t>
            </w:r>
          </w:p>
        </w:tc>
        <w:tc>
          <w:tcPr>
            <w:tcW w:w="2466" w:type="dxa"/>
            <w:vAlign w:val="center"/>
          </w:tcPr>
          <w:p>
            <w:pPr>
              <w:pStyle w:val="14"/>
            </w:pPr>
            <w:r>
              <w:t>≥4小时</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人影综合业务平台运行稳定</w:t>
            </w:r>
          </w:p>
        </w:tc>
        <w:tc>
          <w:tcPr>
            <w:tcW w:w="2466" w:type="dxa"/>
            <w:vAlign w:val="center"/>
          </w:tcPr>
          <w:p>
            <w:pPr>
              <w:pStyle w:val="14"/>
              <w:ind w:firstLine="0" w:firstLineChars="0"/>
            </w:pPr>
            <w:r>
              <w:t>人影综合业务平台运行故障率</w:t>
            </w:r>
            <w:r>
              <w:rPr>
                <w:rFonts w:hint="eastAsia"/>
              </w:rPr>
              <w:t>10%</w:t>
            </w:r>
          </w:p>
        </w:tc>
        <w:tc>
          <w:tcPr>
            <w:tcW w:w="2466" w:type="dxa"/>
            <w:vAlign w:val="center"/>
          </w:tcPr>
          <w:p>
            <w:pPr>
              <w:pStyle w:val="14"/>
            </w:pPr>
            <w:r>
              <w:t>≤10百分数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人影作业方案制定</w:t>
            </w:r>
          </w:p>
        </w:tc>
        <w:tc>
          <w:tcPr>
            <w:tcW w:w="2466" w:type="dxa"/>
            <w:vAlign w:val="center"/>
          </w:tcPr>
          <w:p>
            <w:pPr>
              <w:pStyle w:val="14"/>
              <w:ind w:firstLine="0" w:firstLineChars="0"/>
            </w:pPr>
            <w:r>
              <w:t>年初人影作业方案制定完成</w:t>
            </w:r>
            <w:r>
              <w:rPr>
                <w:rFonts w:hint="eastAsia"/>
              </w:rPr>
              <w:t>100%</w:t>
            </w:r>
          </w:p>
        </w:tc>
        <w:tc>
          <w:tcPr>
            <w:tcW w:w="2466" w:type="dxa"/>
            <w:vAlign w:val="center"/>
          </w:tcPr>
          <w:p>
            <w:pPr>
              <w:pStyle w:val="14"/>
            </w:pPr>
            <w:r>
              <w:t>年初制定完成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该项目全年成本</w:t>
            </w:r>
          </w:p>
        </w:tc>
        <w:tc>
          <w:tcPr>
            <w:tcW w:w="2466" w:type="dxa"/>
            <w:vAlign w:val="center"/>
          </w:tcPr>
          <w:p>
            <w:pPr>
              <w:pStyle w:val="14"/>
              <w:ind w:firstLine="0" w:firstLineChars="0"/>
            </w:pPr>
            <w:r>
              <w:t>人工影响天气在预算成本控制内完成</w:t>
            </w:r>
            <w:r>
              <w:rPr>
                <w:rFonts w:hint="eastAsia"/>
              </w:rPr>
              <w:t>100%</w:t>
            </w:r>
          </w:p>
        </w:tc>
        <w:tc>
          <w:tcPr>
            <w:tcW w:w="2466" w:type="dxa"/>
            <w:vAlign w:val="center"/>
          </w:tcPr>
          <w:p>
            <w:pPr>
              <w:pStyle w:val="14"/>
            </w:pPr>
            <w:r>
              <w:t>按预算完成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环境修复生态效益</w:t>
            </w:r>
          </w:p>
        </w:tc>
        <w:tc>
          <w:tcPr>
            <w:tcW w:w="2466" w:type="dxa"/>
            <w:vAlign w:val="center"/>
          </w:tcPr>
          <w:p>
            <w:pPr>
              <w:pStyle w:val="14"/>
              <w:ind w:firstLine="0" w:firstLineChars="0"/>
            </w:pPr>
            <w:r>
              <w:t>对当地生态环境修复产生积极影响</w:t>
            </w:r>
            <w:r>
              <w:rPr>
                <w:rFonts w:hint="eastAsia"/>
              </w:rPr>
              <w:t>80%</w:t>
            </w:r>
          </w:p>
        </w:tc>
        <w:tc>
          <w:tcPr>
            <w:tcW w:w="2466" w:type="dxa"/>
            <w:vAlign w:val="center"/>
          </w:tcPr>
          <w:p>
            <w:pPr>
              <w:pStyle w:val="14"/>
            </w:pPr>
            <w:r>
              <w:t>对当地生态环境修复产生积极影响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ind w:firstLine="0" w:firstLineChars="0"/>
            </w:pPr>
            <w:r>
              <w:t>人工影响天气影响地区人民群众问卷调查满意度</w:t>
            </w:r>
            <w:r>
              <w:rPr>
                <w:rFonts w:hint="eastAsia"/>
              </w:rPr>
              <w:t>90%</w:t>
            </w:r>
          </w:p>
        </w:tc>
        <w:tc>
          <w:tcPr>
            <w:tcW w:w="2466" w:type="dxa"/>
            <w:vAlign w:val="center"/>
          </w:tcPr>
          <w:p>
            <w:pPr>
              <w:pStyle w:val="14"/>
            </w:pPr>
            <w:r>
              <w:t>≥90百分数</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7、人员运行经费绩效目标表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气象人员培养数量</w:t>
            </w:r>
          </w:p>
        </w:tc>
        <w:tc>
          <w:tcPr>
            <w:tcW w:w="2466" w:type="dxa"/>
            <w:vAlign w:val="center"/>
          </w:tcPr>
          <w:p>
            <w:pPr>
              <w:pStyle w:val="14"/>
            </w:pPr>
            <w:r>
              <w:t>气象人员培养数量每年人数</w:t>
            </w:r>
            <w:r>
              <w:rPr>
                <w:rFonts w:hint="eastAsia"/>
              </w:rPr>
              <w:t>为8人</w:t>
            </w:r>
          </w:p>
        </w:tc>
        <w:tc>
          <w:tcPr>
            <w:tcW w:w="2466" w:type="dxa"/>
            <w:vAlign w:val="center"/>
          </w:tcPr>
          <w:p>
            <w:pPr>
              <w:pStyle w:val="14"/>
            </w:pPr>
            <w:r>
              <w:t>≥3人数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气象人员素质</w:t>
            </w:r>
          </w:p>
        </w:tc>
        <w:tc>
          <w:tcPr>
            <w:tcW w:w="2466" w:type="dxa"/>
            <w:vAlign w:val="center"/>
          </w:tcPr>
          <w:p>
            <w:pPr>
              <w:pStyle w:val="14"/>
            </w:pPr>
            <w:r>
              <w:t>气象人员素质教育覆盖率</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气象人员工作建设时效</w:t>
            </w:r>
          </w:p>
        </w:tc>
        <w:tc>
          <w:tcPr>
            <w:tcW w:w="2466" w:type="dxa"/>
            <w:vAlign w:val="center"/>
          </w:tcPr>
          <w:p>
            <w:pPr>
              <w:pStyle w:val="14"/>
            </w:pPr>
            <w:r>
              <w:t>气象人员工作建设完成率</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气象人员运行成本</w:t>
            </w:r>
          </w:p>
        </w:tc>
        <w:tc>
          <w:tcPr>
            <w:tcW w:w="2466" w:type="dxa"/>
            <w:vAlign w:val="center"/>
          </w:tcPr>
          <w:p>
            <w:pPr>
              <w:pStyle w:val="14"/>
            </w:pPr>
            <w:r>
              <w:t>气象人员运行预算完成情况</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对气象事业发展的影响</w:t>
            </w:r>
          </w:p>
        </w:tc>
        <w:tc>
          <w:tcPr>
            <w:tcW w:w="2466" w:type="dxa"/>
            <w:vAlign w:val="center"/>
          </w:tcPr>
          <w:p>
            <w:pPr>
              <w:pStyle w:val="14"/>
            </w:pPr>
            <w:r>
              <w:t>能保障气象事业可持续发展</w:t>
            </w:r>
            <w:r>
              <w:rPr>
                <w:rFonts w:hint="eastAsia"/>
              </w:rPr>
              <w:t>保障率100%</w:t>
            </w:r>
          </w:p>
        </w:tc>
        <w:tc>
          <w:tcPr>
            <w:tcW w:w="2466" w:type="dxa"/>
            <w:vAlign w:val="center"/>
          </w:tcPr>
          <w:p>
            <w:pPr>
              <w:pStyle w:val="14"/>
            </w:pPr>
            <w:r>
              <w:t>能保障气象事业可持续发展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气象人员构成</w:t>
            </w:r>
          </w:p>
        </w:tc>
        <w:tc>
          <w:tcPr>
            <w:tcW w:w="2466" w:type="dxa"/>
            <w:vAlign w:val="center"/>
          </w:tcPr>
          <w:p>
            <w:pPr>
              <w:pStyle w:val="14"/>
            </w:pPr>
            <w:r>
              <w:t>气象人员满意度</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2023年，河北省隆尧县气象局安排政府采购预算0.00万元。具体内容见下表。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906河北省隆尧县气象局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河北省隆尧县气象局（含所属单位）上年末固定资产金额为</w:t>
      </w:r>
      <w:r>
        <w:rPr>
          <w:rFonts w:hint="eastAsia" w:eastAsia="方正仿宋_GBK" w:cs="Times New Roman"/>
          <w:b w:val="0"/>
          <w:color w:val="000000"/>
          <w:sz w:val="28"/>
          <w:lang w:val="en-US" w:eastAsia="zh-CN"/>
        </w:rPr>
        <w:t>740.64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906河北省隆尧县气象局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740.64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t>1468.20</w:t>
            </w:r>
          </w:p>
        </w:tc>
        <w:tc>
          <w:tcPr>
            <w:tcW w:w="493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506</w:t>
            </w:r>
            <w:r>
              <w:rPr>
                <w:rFonts w:hint="eastAsia"/>
                <w:lang w:val="en-US" w:eastAsia="zh-CN"/>
              </w:rPr>
              <w:t>.</w:t>
            </w:r>
            <w:r>
              <w:t>4</w:t>
            </w:r>
            <w:r>
              <w:rPr>
                <w:rFonts w:hint="eastAsia"/>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r>
              <w:t>1165.80</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193</w:t>
            </w:r>
            <w:r>
              <w:rPr>
                <w:rFonts w:hint="eastAsia"/>
                <w:lang w:val="en-US" w:eastAsia="zh-CN"/>
              </w:rPr>
              <w:t>.</w:t>
            </w:r>
            <w:r>
              <w:t>5</w:t>
            </w:r>
            <w:r>
              <w:rPr>
                <w:rFonts w:hint="eastAsia"/>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r>
              <w:t>2</w:t>
            </w:r>
          </w:p>
        </w:tc>
        <w:tc>
          <w:tcPr>
            <w:tcW w:w="493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30</w:t>
            </w:r>
            <w:r>
              <w:rPr>
                <w:rFonts w:hint="eastAsia"/>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203.85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一、河北省隆尧县气象局本级收支预算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906001河北省隆尧县气象局本级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89.33</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89.33</w:t>
            </w:r>
          </w:p>
        </w:tc>
        <w:tc>
          <w:tcPr>
            <w:tcW w:w="2959" w:type="dxa"/>
            <w:vAlign w:val="center"/>
          </w:tcPr>
          <w:p>
            <w:pPr>
              <w:pStyle w:val="16"/>
            </w:pPr>
            <w:r>
              <w:t>本年支出合计</w:t>
            </w:r>
          </w:p>
        </w:tc>
        <w:tc>
          <w:tcPr>
            <w:tcW w:w="2959" w:type="dxa"/>
            <w:vAlign w:val="center"/>
          </w:tcPr>
          <w:p>
            <w:pPr>
              <w:pStyle w:val="17"/>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89.33</w:t>
            </w:r>
          </w:p>
        </w:tc>
        <w:tc>
          <w:tcPr>
            <w:tcW w:w="2959" w:type="dxa"/>
            <w:vAlign w:val="center"/>
          </w:tcPr>
          <w:p>
            <w:pPr>
              <w:pStyle w:val="16"/>
            </w:pPr>
            <w:r>
              <w:t>支出总计</w:t>
            </w:r>
          </w:p>
        </w:tc>
        <w:tc>
          <w:tcPr>
            <w:tcW w:w="2959" w:type="dxa"/>
            <w:vAlign w:val="center"/>
          </w:tcPr>
          <w:p>
            <w:pPr>
              <w:pStyle w:val="17"/>
            </w:pPr>
            <w:r>
              <w:t>89.33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906001河北省隆尧县气象局本级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89.33</w:t>
            </w:r>
          </w:p>
        </w:tc>
        <w:tc>
          <w:tcPr>
            <w:tcW w:w="758" w:type="dxa"/>
            <w:vAlign w:val="center"/>
          </w:tcPr>
          <w:p>
            <w:pPr>
              <w:pStyle w:val="17"/>
            </w:pPr>
            <w:r>
              <w:t>89.33</w:t>
            </w:r>
          </w:p>
        </w:tc>
        <w:tc>
          <w:tcPr>
            <w:tcW w:w="758" w:type="dxa"/>
            <w:vAlign w:val="center"/>
          </w:tcPr>
          <w:p>
            <w:pPr>
              <w:pStyle w:val="17"/>
            </w:pPr>
            <w:r>
              <w:t>89.33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220</w:t>
            </w:r>
          </w:p>
        </w:tc>
        <w:tc>
          <w:tcPr>
            <w:tcW w:w="758" w:type="dxa"/>
            <w:vAlign w:val="center"/>
          </w:tcPr>
          <w:p>
            <w:pPr>
              <w:pStyle w:val="14"/>
            </w:pPr>
            <w:r>
              <w:t>自然资源海洋气象等支出</w:t>
            </w:r>
          </w:p>
        </w:tc>
        <w:tc>
          <w:tcPr>
            <w:tcW w:w="758" w:type="dxa"/>
            <w:vAlign w:val="center"/>
          </w:tcPr>
          <w:p>
            <w:pPr>
              <w:pStyle w:val="13"/>
            </w:pPr>
            <w:r>
              <w:t>89.33</w:t>
            </w:r>
          </w:p>
        </w:tc>
        <w:tc>
          <w:tcPr>
            <w:tcW w:w="758" w:type="dxa"/>
            <w:vAlign w:val="center"/>
          </w:tcPr>
          <w:p>
            <w:pPr>
              <w:pStyle w:val="13"/>
            </w:pPr>
            <w:r>
              <w:t>89.33</w:t>
            </w:r>
          </w:p>
        </w:tc>
        <w:tc>
          <w:tcPr>
            <w:tcW w:w="758" w:type="dxa"/>
            <w:vAlign w:val="center"/>
          </w:tcPr>
          <w:p>
            <w:pPr>
              <w:pStyle w:val="13"/>
            </w:pPr>
            <w:r>
              <w:t>89.33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22005</w:t>
            </w:r>
          </w:p>
        </w:tc>
        <w:tc>
          <w:tcPr>
            <w:tcW w:w="758" w:type="dxa"/>
            <w:vAlign w:val="center"/>
          </w:tcPr>
          <w:p>
            <w:pPr>
              <w:pStyle w:val="14"/>
            </w:pPr>
            <w:r>
              <w:t>气象事务</w:t>
            </w:r>
          </w:p>
        </w:tc>
        <w:tc>
          <w:tcPr>
            <w:tcW w:w="758" w:type="dxa"/>
            <w:vAlign w:val="center"/>
          </w:tcPr>
          <w:p>
            <w:pPr>
              <w:pStyle w:val="13"/>
            </w:pPr>
            <w:r>
              <w:t>89.33</w:t>
            </w:r>
          </w:p>
        </w:tc>
        <w:tc>
          <w:tcPr>
            <w:tcW w:w="758" w:type="dxa"/>
            <w:vAlign w:val="center"/>
          </w:tcPr>
          <w:p>
            <w:pPr>
              <w:pStyle w:val="13"/>
            </w:pPr>
            <w:r>
              <w:t>89.33</w:t>
            </w:r>
          </w:p>
        </w:tc>
        <w:tc>
          <w:tcPr>
            <w:tcW w:w="758" w:type="dxa"/>
            <w:vAlign w:val="center"/>
          </w:tcPr>
          <w:p>
            <w:pPr>
              <w:pStyle w:val="13"/>
            </w:pPr>
            <w:r>
              <w:t>89.33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2200501</w:t>
            </w:r>
          </w:p>
        </w:tc>
        <w:tc>
          <w:tcPr>
            <w:tcW w:w="758" w:type="dxa"/>
            <w:vAlign w:val="center"/>
          </w:tcPr>
          <w:p>
            <w:pPr>
              <w:pStyle w:val="14"/>
            </w:pPr>
            <w:r>
              <w:t>行政运行</w:t>
            </w:r>
          </w:p>
        </w:tc>
        <w:tc>
          <w:tcPr>
            <w:tcW w:w="758" w:type="dxa"/>
            <w:vAlign w:val="center"/>
          </w:tcPr>
          <w:p>
            <w:pPr>
              <w:pStyle w:val="13"/>
            </w:pPr>
            <w:r>
              <w:t>18.93</w:t>
            </w:r>
          </w:p>
        </w:tc>
        <w:tc>
          <w:tcPr>
            <w:tcW w:w="758" w:type="dxa"/>
            <w:vAlign w:val="center"/>
          </w:tcPr>
          <w:p>
            <w:pPr>
              <w:pStyle w:val="13"/>
            </w:pPr>
            <w:r>
              <w:t>18.93</w:t>
            </w:r>
          </w:p>
        </w:tc>
        <w:tc>
          <w:tcPr>
            <w:tcW w:w="758" w:type="dxa"/>
            <w:vAlign w:val="center"/>
          </w:tcPr>
          <w:p>
            <w:pPr>
              <w:pStyle w:val="13"/>
            </w:pPr>
            <w:r>
              <w:t>18.93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2200509</w:t>
            </w:r>
          </w:p>
        </w:tc>
        <w:tc>
          <w:tcPr>
            <w:tcW w:w="758" w:type="dxa"/>
            <w:vAlign w:val="center"/>
          </w:tcPr>
          <w:p>
            <w:pPr>
              <w:pStyle w:val="14"/>
            </w:pPr>
            <w:r>
              <w:t>气象服务</w:t>
            </w:r>
          </w:p>
        </w:tc>
        <w:tc>
          <w:tcPr>
            <w:tcW w:w="758" w:type="dxa"/>
            <w:vAlign w:val="center"/>
          </w:tcPr>
          <w:p>
            <w:pPr>
              <w:pStyle w:val="13"/>
            </w:pPr>
            <w:r>
              <w:t>70.40</w:t>
            </w:r>
          </w:p>
        </w:tc>
        <w:tc>
          <w:tcPr>
            <w:tcW w:w="758" w:type="dxa"/>
            <w:vAlign w:val="center"/>
          </w:tcPr>
          <w:p>
            <w:pPr>
              <w:pStyle w:val="13"/>
            </w:pPr>
            <w:r>
              <w:t>70.40</w:t>
            </w:r>
          </w:p>
        </w:tc>
        <w:tc>
          <w:tcPr>
            <w:tcW w:w="758" w:type="dxa"/>
            <w:vAlign w:val="center"/>
          </w:tcPr>
          <w:p>
            <w:pPr>
              <w:pStyle w:val="13"/>
            </w:pPr>
            <w:r>
              <w:t>70.40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89.33</w:t>
            </w:r>
          </w:p>
        </w:tc>
        <w:tc>
          <w:tcPr>
            <w:tcW w:w="1095" w:type="dxa"/>
            <w:vAlign w:val="center"/>
          </w:tcPr>
          <w:p>
            <w:pPr>
              <w:pStyle w:val="17"/>
            </w:pPr>
          </w:p>
        </w:tc>
        <w:tc>
          <w:tcPr>
            <w:tcW w:w="1095" w:type="dxa"/>
            <w:vAlign w:val="center"/>
          </w:tcPr>
          <w:p>
            <w:pPr>
              <w:pStyle w:val="17"/>
            </w:pPr>
            <w:r>
              <w:t>89.33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220</w:t>
            </w:r>
          </w:p>
        </w:tc>
        <w:tc>
          <w:tcPr>
            <w:tcW w:w="1095" w:type="dxa"/>
            <w:vAlign w:val="center"/>
          </w:tcPr>
          <w:p>
            <w:pPr>
              <w:pStyle w:val="14"/>
            </w:pPr>
            <w:r>
              <w:t>自然资源海洋气象等支出</w:t>
            </w:r>
          </w:p>
        </w:tc>
        <w:tc>
          <w:tcPr>
            <w:tcW w:w="1095" w:type="dxa"/>
            <w:vAlign w:val="center"/>
          </w:tcPr>
          <w:p>
            <w:pPr>
              <w:pStyle w:val="13"/>
            </w:pPr>
            <w:r>
              <w:t>89.33</w:t>
            </w:r>
          </w:p>
        </w:tc>
        <w:tc>
          <w:tcPr>
            <w:tcW w:w="1095" w:type="dxa"/>
            <w:vAlign w:val="center"/>
          </w:tcPr>
          <w:p>
            <w:pPr>
              <w:pStyle w:val="13"/>
            </w:pPr>
          </w:p>
        </w:tc>
        <w:tc>
          <w:tcPr>
            <w:tcW w:w="1095" w:type="dxa"/>
            <w:vAlign w:val="center"/>
          </w:tcPr>
          <w:p>
            <w:pPr>
              <w:pStyle w:val="13"/>
            </w:pPr>
            <w:r>
              <w:t>89.33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22005</w:t>
            </w:r>
          </w:p>
        </w:tc>
        <w:tc>
          <w:tcPr>
            <w:tcW w:w="1095" w:type="dxa"/>
            <w:vAlign w:val="center"/>
          </w:tcPr>
          <w:p>
            <w:pPr>
              <w:pStyle w:val="14"/>
            </w:pPr>
            <w:r>
              <w:t>气象事务</w:t>
            </w:r>
          </w:p>
        </w:tc>
        <w:tc>
          <w:tcPr>
            <w:tcW w:w="1095" w:type="dxa"/>
            <w:vAlign w:val="center"/>
          </w:tcPr>
          <w:p>
            <w:pPr>
              <w:pStyle w:val="13"/>
            </w:pPr>
            <w:r>
              <w:t>89.33</w:t>
            </w:r>
          </w:p>
        </w:tc>
        <w:tc>
          <w:tcPr>
            <w:tcW w:w="1095" w:type="dxa"/>
            <w:vAlign w:val="center"/>
          </w:tcPr>
          <w:p>
            <w:pPr>
              <w:pStyle w:val="13"/>
            </w:pPr>
          </w:p>
        </w:tc>
        <w:tc>
          <w:tcPr>
            <w:tcW w:w="1095" w:type="dxa"/>
            <w:vAlign w:val="center"/>
          </w:tcPr>
          <w:p>
            <w:pPr>
              <w:pStyle w:val="13"/>
            </w:pPr>
            <w:r>
              <w:t>89.33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2200501</w:t>
            </w:r>
          </w:p>
        </w:tc>
        <w:tc>
          <w:tcPr>
            <w:tcW w:w="1095" w:type="dxa"/>
            <w:vAlign w:val="center"/>
          </w:tcPr>
          <w:p>
            <w:pPr>
              <w:pStyle w:val="14"/>
            </w:pPr>
            <w:r>
              <w:t>行政运行</w:t>
            </w:r>
          </w:p>
        </w:tc>
        <w:tc>
          <w:tcPr>
            <w:tcW w:w="1095" w:type="dxa"/>
            <w:vAlign w:val="center"/>
          </w:tcPr>
          <w:p>
            <w:pPr>
              <w:pStyle w:val="13"/>
            </w:pPr>
            <w:r>
              <w:t>18.93</w:t>
            </w:r>
          </w:p>
        </w:tc>
        <w:tc>
          <w:tcPr>
            <w:tcW w:w="1095" w:type="dxa"/>
            <w:vAlign w:val="center"/>
          </w:tcPr>
          <w:p>
            <w:pPr>
              <w:pStyle w:val="13"/>
            </w:pPr>
          </w:p>
        </w:tc>
        <w:tc>
          <w:tcPr>
            <w:tcW w:w="1095" w:type="dxa"/>
            <w:vAlign w:val="center"/>
          </w:tcPr>
          <w:p>
            <w:pPr>
              <w:pStyle w:val="13"/>
            </w:pPr>
            <w:r>
              <w:t>18.93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2200509</w:t>
            </w:r>
          </w:p>
        </w:tc>
        <w:tc>
          <w:tcPr>
            <w:tcW w:w="1095" w:type="dxa"/>
            <w:vAlign w:val="center"/>
          </w:tcPr>
          <w:p>
            <w:pPr>
              <w:pStyle w:val="14"/>
            </w:pPr>
            <w:r>
              <w:t>气象服务</w:t>
            </w:r>
          </w:p>
        </w:tc>
        <w:tc>
          <w:tcPr>
            <w:tcW w:w="1095" w:type="dxa"/>
            <w:vAlign w:val="center"/>
          </w:tcPr>
          <w:p>
            <w:pPr>
              <w:pStyle w:val="13"/>
            </w:pPr>
            <w:r>
              <w:t>70.40</w:t>
            </w:r>
          </w:p>
        </w:tc>
        <w:tc>
          <w:tcPr>
            <w:tcW w:w="1095" w:type="dxa"/>
            <w:vAlign w:val="center"/>
          </w:tcPr>
          <w:p>
            <w:pPr>
              <w:pStyle w:val="13"/>
            </w:pPr>
          </w:p>
        </w:tc>
        <w:tc>
          <w:tcPr>
            <w:tcW w:w="1095" w:type="dxa"/>
            <w:vAlign w:val="center"/>
          </w:tcPr>
          <w:p>
            <w:pPr>
              <w:pStyle w:val="13"/>
            </w:pPr>
            <w:r>
              <w:t>70.40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89.33</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r>
              <w:t>89.33</w:t>
            </w:r>
          </w:p>
        </w:tc>
        <w:tc>
          <w:tcPr>
            <w:tcW w:w="1232" w:type="dxa"/>
            <w:vAlign w:val="center"/>
          </w:tcPr>
          <w:p>
            <w:pPr>
              <w:pStyle w:val="13"/>
            </w:pPr>
            <w:r>
              <w:t>89.33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89.33</w:t>
            </w:r>
          </w:p>
        </w:tc>
        <w:tc>
          <w:tcPr>
            <w:tcW w:w="1232" w:type="dxa"/>
            <w:vAlign w:val="center"/>
          </w:tcPr>
          <w:p>
            <w:pPr>
              <w:pStyle w:val="16"/>
            </w:pPr>
            <w:r>
              <w:t>本年支出合计</w:t>
            </w:r>
          </w:p>
        </w:tc>
        <w:tc>
          <w:tcPr>
            <w:tcW w:w="1232" w:type="dxa"/>
            <w:vAlign w:val="center"/>
          </w:tcPr>
          <w:p>
            <w:pPr>
              <w:pStyle w:val="17"/>
            </w:pPr>
            <w:r>
              <w:t>89.33</w:t>
            </w:r>
          </w:p>
        </w:tc>
        <w:tc>
          <w:tcPr>
            <w:tcW w:w="1232" w:type="dxa"/>
            <w:vAlign w:val="center"/>
          </w:tcPr>
          <w:p>
            <w:pPr>
              <w:pStyle w:val="17"/>
            </w:pPr>
            <w:r>
              <w:t>89.33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89.33</w:t>
            </w:r>
          </w:p>
        </w:tc>
        <w:tc>
          <w:tcPr>
            <w:tcW w:w="1232" w:type="dxa"/>
            <w:vAlign w:val="center"/>
          </w:tcPr>
          <w:p>
            <w:pPr>
              <w:pStyle w:val="16"/>
            </w:pPr>
            <w:r>
              <w:t>支出总计</w:t>
            </w:r>
          </w:p>
        </w:tc>
        <w:tc>
          <w:tcPr>
            <w:tcW w:w="1232" w:type="dxa"/>
            <w:vAlign w:val="center"/>
          </w:tcPr>
          <w:p>
            <w:pPr>
              <w:pStyle w:val="17"/>
            </w:pPr>
            <w:r>
              <w:t>89.33</w:t>
            </w:r>
          </w:p>
        </w:tc>
        <w:tc>
          <w:tcPr>
            <w:tcW w:w="1232" w:type="dxa"/>
            <w:vAlign w:val="center"/>
          </w:tcPr>
          <w:p>
            <w:pPr>
              <w:pStyle w:val="17"/>
            </w:pPr>
            <w:r>
              <w:t>89.33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89.33</w:t>
            </w:r>
          </w:p>
        </w:tc>
        <w:tc>
          <w:tcPr>
            <w:tcW w:w="1643" w:type="dxa"/>
            <w:vAlign w:val="center"/>
          </w:tcPr>
          <w:p>
            <w:pPr>
              <w:pStyle w:val="17"/>
            </w:pPr>
          </w:p>
        </w:tc>
        <w:tc>
          <w:tcPr>
            <w:tcW w:w="1643" w:type="dxa"/>
            <w:vAlign w:val="center"/>
          </w:tcPr>
          <w:p>
            <w:pPr>
              <w:pStyle w:val="17"/>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220</w:t>
            </w:r>
          </w:p>
        </w:tc>
        <w:tc>
          <w:tcPr>
            <w:tcW w:w="1643" w:type="dxa"/>
            <w:vAlign w:val="center"/>
          </w:tcPr>
          <w:p>
            <w:pPr>
              <w:pStyle w:val="14"/>
            </w:pPr>
            <w:r>
              <w:t>自然资源海洋气象等支出</w:t>
            </w:r>
          </w:p>
        </w:tc>
        <w:tc>
          <w:tcPr>
            <w:tcW w:w="1643" w:type="dxa"/>
            <w:vAlign w:val="center"/>
          </w:tcPr>
          <w:p>
            <w:pPr>
              <w:pStyle w:val="13"/>
            </w:pPr>
            <w:r>
              <w:t>89.33</w:t>
            </w:r>
          </w:p>
        </w:tc>
        <w:tc>
          <w:tcPr>
            <w:tcW w:w="1643" w:type="dxa"/>
            <w:vAlign w:val="center"/>
          </w:tcPr>
          <w:p>
            <w:pPr>
              <w:pStyle w:val="13"/>
            </w:pPr>
          </w:p>
        </w:tc>
        <w:tc>
          <w:tcPr>
            <w:tcW w:w="1643" w:type="dxa"/>
            <w:vAlign w:val="center"/>
          </w:tcPr>
          <w:p>
            <w:pPr>
              <w:pStyle w:val="13"/>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22005</w:t>
            </w:r>
          </w:p>
        </w:tc>
        <w:tc>
          <w:tcPr>
            <w:tcW w:w="1643" w:type="dxa"/>
            <w:vAlign w:val="center"/>
          </w:tcPr>
          <w:p>
            <w:pPr>
              <w:pStyle w:val="14"/>
            </w:pPr>
            <w:r>
              <w:t>气象事务</w:t>
            </w:r>
          </w:p>
        </w:tc>
        <w:tc>
          <w:tcPr>
            <w:tcW w:w="1643" w:type="dxa"/>
            <w:vAlign w:val="center"/>
          </w:tcPr>
          <w:p>
            <w:pPr>
              <w:pStyle w:val="13"/>
            </w:pPr>
            <w:r>
              <w:t>89.33</w:t>
            </w:r>
          </w:p>
        </w:tc>
        <w:tc>
          <w:tcPr>
            <w:tcW w:w="1643" w:type="dxa"/>
            <w:vAlign w:val="center"/>
          </w:tcPr>
          <w:p>
            <w:pPr>
              <w:pStyle w:val="13"/>
            </w:pPr>
          </w:p>
        </w:tc>
        <w:tc>
          <w:tcPr>
            <w:tcW w:w="1643" w:type="dxa"/>
            <w:vAlign w:val="center"/>
          </w:tcPr>
          <w:p>
            <w:pPr>
              <w:pStyle w:val="13"/>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2200501</w:t>
            </w:r>
          </w:p>
        </w:tc>
        <w:tc>
          <w:tcPr>
            <w:tcW w:w="1643" w:type="dxa"/>
            <w:vAlign w:val="center"/>
          </w:tcPr>
          <w:p>
            <w:pPr>
              <w:pStyle w:val="14"/>
            </w:pPr>
            <w:r>
              <w:t>行政运行</w:t>
            </w:r>
          </w:p>
        </w:tc>
        <w:tc>
          <w:tcPr>
            <w:tcW w:w="1643" w:type="dxa"/>
            <w:vAlign w:val="center"/>
          </w:tcPr>
          <w:p>
            <w:pPr>
              <w:pStyle w:val="13"/>
            </w:pPr>
            <w:r>
              <w:t>18.93</w:t>
            </w:r>
          </w:p>
        </w:tc>
        <w:tc>
          <w:tcPr>
            <w:tcW w:w="1643" w:type="dxa"/>
            <w:vAlign w:val="center"/>
          </w:tcPr>
          <w:p>
            <w:pPr>
              <w:pStyle w:val="13"/>
            </w:pPr>
          </w:p>
        </w:tc>
        <w:tc>
          <w:tcPr>
            <w:tcW w:w="1643" w:type="dxa"/>
            <w:vAlign w:val="center"/>
          </w:tcPr>
          <w:p>
            <w:pPr>
              <w:pStyle w:val="13"/>
            </w:pPr>
            <w:r>
              <w:t>18.93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2200509</w:t>
            </w:r>
          </w:p>
        </w:tc>
        <w:tc>
          <w:tcPr>
            <w:tcW w:w="1643" w:type="dxa"/>
            <w:vAlign w:val="center"/>
          </w:tcPr>
          <w:p>
            <w:pPr>
              <w:pStyle w:val="14"/>
            </w:pPr>
            <w:r>
              <w:t>气象服务</w:t>
            </w:r>
          </w:p>
        </w:tc>
        <w:tc>
          <w:tcPr>
            <w:tcW w:w="1643" w:type="dxa"/>
            <w:vAlign w:val="center"/>
          </w:tcPr>
          <w:p>
            <w:pPr>
              <w:pStyle w:val="13"/>
            </w:pPr>
            <w:r>
              <w:t>70.40</w:t>
            </w:r>
          </w:p>
        </w:tc>
        <w:tc>
          <w:tcPr>
            <w:tcW w:w="1643" w:type="dxa"/>
            <w:vAlign w:val="center"/>
          </w:tcPr>
          <w:p>
            <w:pPr>
              <w:pStyle w:val="13"/>
            </w:pPr>
          </w:p>
        </w:tc>
        <w:tc>
          <w:tcPr>
            <w:tcW w:w="1643" w:type="dxa"/>
            <w:vAlign w:val="center"/>
          </w:tcPr>
          <w:p>
            <w:pPr>
              <w:pStyle w:val="13"/>
            </w:pPr>
            <w:r>
              <w:t>70.40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河北省隆尧县气象局本级2023年单位预算信息公开情况说明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按照《预算法》、《地方预决算公开操作规程》和《关于进一步推进预算公开工作的实施意见》规定，现将河北省隆尧县气象局本级2023年单位预算公开如下：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 xml:space="preserve">隆尧县气象局始建于1957年1月，为省属事业单位，实行主管部门和地方政府双重领导和中央与地方双重财务体制，其中中央负责业务经费和公共气象经费，地方负责为地方服务的有关人员及装备如人影、防汛抗旱、中尺度自动站、雷电防护、电视天气预报等经费。 </w:t>
      </w:r>
    </w:p>
    <w:p>
      <w:pPr>
        <w:pStyle w:val="27"/>
      </w:pPr>
      <w:r>
        <w:t>原为国家农气一级站、观测一般站。2006年1月根据《国务院关于加快气象事业发展的若干意见》国发[2006]3号文件，中国气象局批准我局升格为国家观测一级站，肩负着为国家、国防提供24小时气象资料和为地方政府决策、防灾减灾、经济社会发展、生态环境和社会公众提供气象预报服务的重任。近年来，隆尧气象事业在上级主管部门和县委县政府的领导和关心下，得到了较快发展，新建了业务楼、县综合减灾中心楼，新上了虚拟主持人的电视天气预报制作设备，建立“12121”天气预报电话自动答询系统、卫星接收站、十一个中尺度灾害性区域自动站、人工增雨作业人队（固定、流动火箭发射架各一架）等现代化业务服务系统，开展了雷电防护、农田生态环境监测等新业务，曾获得邢台市文明单位、中国气象局局务公开先进单位、河北省气象局“五大工程”一级达标单位等荣誉称号。气象事业是科技型、基础性社会公益事业，以公共气象为主导，协调安全气象、资源气象的发展，对当今经济社会发展，人民生活有着重要作用。我们将抢抓机遇，艰苦奋斗，按照“一流装备、一流技术、一流人才、一流台站”的要求，以监测精密、预报精准、服务精细高标准工作态度，与时俱进，开拓创新，在县委县政府的领导下，为实现隆尧经济社会的更快更好发展作出更大贡献。</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河北省隆尧县气象局本级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反映本部门当年地方财政拨款全部收入。2023年预算收入89.334万元，其中：一般公共预算收入89.334万元，财政专户核拨收入0万元，其他来源收入0万元。</w:t>
      </w:r>
    </w:p>
    <w:p>
      <w:pPr>
        <w:pStyle w:val="28"/>
      </w:pPr>
      <w:r>
        <w:t>2、支出说明</w:t>
      </w:r>
    </w:p>
    <w:p>
      <w:pPr>
        <w:pStyle w:val="28"/>
        <w:rPr>
          <w:rFonts w:hint="eastAsia"/>
          <w:lang w:val="en-US" w:eastAsia="zh-CN"/>
        </w:rPr>
      </w:pPr>
      <w:r>
        <w:t>收支预算总表支出栏、基本支出表、项目支出表按经济分类和支出功能分类科目编制，反映河北省隆尧县气象局年度部门预算中支出预算的总体情况。2023年部门支出预算为89.33万元，其中人员经费</w:t>
      </w:r>
      <w:r>
        <w:rPr>
          <w:rFonts w:hint="eastAsia"/>
          <w:lang w:val="en-US" w:eastAsia="zh-CN"/>
        </w:rPr>
        <w:t>0</w:t>
      </w:r>
      <w:r>
        <w:t>万元；项目支出</w:t>
      </w:r>
      <w:r>
        <w:rPr>
          <w:rFonts w:hint="eastAsia"/>
          <w:lang w:val="en-US" w:eastAsia="zh-CN"/>
        </w:rPr>
        <w:t>89.33</w:t>
      </w:r>
      <w:r>
        <w:t>万元，主要为防灾绩效管理支出1.7万元，气象观测站维护经费支出10.2万元，气象服务及防雷支出5.1万元，人工影响天气支出3.4万元，标准化固定点运行经费10万元，</w:t>
      </w:r>
      <w:r>
        <w:rPr>
          <w:rFonts w:hint="eastAsia"/>
          <w:lang w:eastAsia="zh-CN"/>
        </w:rPr>
        <w:t>人员运行经费</w:t>
      </w:r>
      <w:r>
        <w:rPr>
          <w:rFonts w:hint="eastAsia"/>
          <w:lang w:val="en-US" w:eastAsia="zh-CN"/>
        </w:rPr>
        <w:t>18.93万元，</w:t>
      </w:r>
      <w:r>
        <w:t>经济开发区气候可行性论证评估40万元</w:t>
      </w:r>
      <w:r>
        <w:rPr>
          <w:rFonts w:hint="eastAsia"/>
          <w:lang w:val="en-US" w:eastAsia="zh-CN"/>
        </w:rPr>
        <w:t>等。</w:t>
      </w:r>
    </w:p>
    <w:p>
      <w:pPr>
        <w:pStyle w:val="20"/>
        <w:rPr>
          <w:color w:val="auto"/>
        </w:rPr>
      </w:pPr>
    </w:p>
    <w:p>
      <w:pPr>
        <w:pStyle w:val="20"/>
        <w:rPr>
          <w:color w:val="auto"/>
        </w:rPr>
      </w:pPr>
      <w:r>
        <w:rPr>
          <w:color w:val="auto"/>
        </w:rPr>
        <w:t>3、比上年增减情况</w:t>
      </w:r>
    </w:p>
    <w:p>
      <w:pPr>
        <w:pStyle w:val="20"/>
        <w:rPr>
          <w:color w:val="auto"/>
        </w:rPr>
      </w:pPr>
      <w:r>
        <w:rPr>
          <w:rFonts w:hint="eastAsia"/>
          <w:color w:val="auto"/>
          <w:lang w:eastAsia="zh-CN"/>
        </w:rPr>
        <w:t>2023</w:t>
      </w:r>
      <w:r>
        <w:rPr>
          <w:color w:val="auto"/>
        </w:rPr>
        <w:t>年部门预算收支安排</w:t>
      </w:r>
      <w:r>
        <w:rPr>
          <w:rFonts w:hint="eastAsia"/>
          <w:color w:val="auto"/>
          <w:lang w:val="en-US" w:eastAsia="zh-CN"/>
        </w:rPr>
        <w:t>89.334</w:t>
      </w:r>
      <w:r>
        <w:rPr>
          <w:color w:val="auto"/>
        </w:rPr>
        <w:t>万元，较202</w:t>
      </w:r>
      <w:r>
        <w:rPr>
          <w:rFonts w:hint="eastAsia"/>
          <w:color w:val="auto"/>
          <w:lang w:val="en-US" w:eastAsia="zh-CN"/>
        </w:rPr>
        <w:t>2</w:t>
      </w:r>
      <w:r>
        <w:rPr>
          <w:color w:val="auto"/>
        </w:rPr>
        <w:t>年102.765</w:t>
      </w:r>
      <w:r>
        <w:rPr>
          <w:rFonts w:hint="eastAsia"/>
          <w:color w:val="auto"/>
          <w:lang w:val="en-US" w:eastAsia="zh-CN"/>
        </w:rPr>
        <w:t>万元</w:t>
      </w:r>
      <w:r>
        <w:rPr>
          <w:color w:val="auto"/>
        </w:rPr>
        <w:t>增</w:t>
      </w:r>
      <w:r>
        <w:rPr>
          <w:rFonts w:hint="eastAsia"/>
          <w:color w:val="auto"/>
          <w:lang w:eastAsia="zh-CN"/>
        </w:rPr>
        <w:t>减</w:t>
      </w:r>
      <w:r>
        <w:rPr>
          <w:rFonts w:hint="eastAsia"/>
          <w:color w:val="auto"/>
          <w:lang w:val="en-US" w:eastAsia="zh-CN"/>
        </w:rPr>
        <w:t>13.431</w:t>
      </w:r>
      <w:r>
        <w:rPr>
          <w:color w:val="auto"/>
        </w:rPr>
        <w:t>万元，主要是增</w:t>
      </w:r>
      <w:r>
        <w:rPr>
          <w:rFonts w:hint="eastAsia"/>
          <w:color w:val="auto"/>
          <w:lang w:eastAsia="zh-CN"/>
        </w:rPr>
        <w:t>减</w:t>
      </w:r>
      <w:r>
        <w:rPr>
          <w:color w:val="auto"/>
        </w:rPr>
        <w:t>自然灾害综合风险普查经费和经济开发区气候可行性论证评估费用；其他项目支出同202</w:t>
      </w:r>
      <w:r>
        <w:rPr>
          <w:rFonts w:hint="eastAsia"/>
          <w:color w:val="auto"/>
          <w:lang w:val="en-US" w:eastAsia="zh-CN"/>
        </w:rPr>
        <w:t>2</w:t>
      </w:r>
      <w:r>
        <w:rPr>
          <w:color w:val="auto"/>
        </w:rPr>
        <w:t>年一致。</w:t>
      </w:r>
    </w:p>
    <w:p>
      <w:pPr>
        <w:pStyle w:val="20"/>
        <w:ind w:left="0" w:leftChars="0" w:firstLine="640" w:firstLineChars="200"/>
        <w:rPr>
          <w:rFonts w:ascii="黑体" w:hAnsi="黑体" w:eastAsia="黑体" w:cs="黑体"/>
          <w:color w:val="000000"/>
          <w:sz w:val="32"/>
        </w:rPr>
      </w:pPr>
      <w:r>
        <w:rPr>
          <w:rFonts w:ascii="黑体" w:hAnsi="黑体" w:eastAsia="黑体" w:cs="黑体"/>
          <w:color w:val="000000"/>
          <w:sz w:val="32"/>
        </w:rPr>
        <w:t>三、机关运行经费安排情况</w:t>
      </w:r>
    </w:p>
    <w:p>
      <w:pPr>
        <w:pStyle w:val="29"/>
        <w:rPr>
          <w:rFonts w:hint="eastAsia"/>
          <w:lang w:eastAsia="zh-CN"/>
        </w:rPr>
      </w:pPr>
      <w:r>
        <w:t>2023年，我局运行经费共计安排</w:t>
      </w:r>
      <w:r>
        <w:rPr>
          <w:rFonts w:hint="eastAsia"/>
          <w:lang w:val="en-US" w:eastAsia="zh-CN"/>
        </w:rPr>
        <w:t>0</w:t>
      </w:r>
      <w:r>
        <w:t>万元</w:t>
      </w:r>
      <w:r>
        <w:rPr>
          <w:rFonts w:hint="eastAsia"/>
          <w:lang w:eastAsia="zh-CN"/>
        </w:rPr>
        <w:t>。</w:t>
      </w:r>
    </w:p>
    <w:p>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pPr>
        <w:pStyle w:val="30"/>
      </w:pPr>
      <w:r>
        <w:t>2023年，我局财政拨款“三公”经费预算安排0万元，其中因公出国（境）费0万元；公务用车购置及运维费0万元；公务接待费0万元。与2022年相比“三公”经费无增减变化。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1、标准化固定作业点绩效目标表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开展有效人影作业</w:t>
            </w:r>
          </w:p>
        </w:tc>
        <w:tc>
          <w:tcPr>
            <w:tcW w:w="2466" w:type="dxa"/>
            <w:vAlign w:val="center"/>
          </w:tcPr>
          <w:p>
            <w:pPr>
              <w:pStyle w:val="14"/>
            </w:pPr>
            <w:r>
              <w:t>全年增加降水量20%，有效缓解土壤墒情</w:t>
            </w:r>
          </w:p>
        </w:tc>
        <w:tc>
          <w:tcPr>
            <w:tcW w:w="2466" w:type="dxa"/>
            <w:vAlign w:val="center"/>
          </w:tcPr>
          <w:p>
            <w:pPr>
              <w:pStyle w:val="14"/>
            </w:pPr>
            <w:r>
              <w:t>≥20百分数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受益区域</w:t>
            </w:r>
          </w:p>
        </w:tc>
        <w:tc>
          <w:tcPr>
            <w:tcW w:w="2466" w:type="dxa"/>
            <w:vAlign w:val="center"/>
          </w:tcPr>
          <w:p>
            <w:pPr>
              <w:pStyle w:val="14"/>
            </w:pPr>
            <w:r>
              <w:t>开展人工增雨作业受益覆盖率</w:t>
            </w:r>
          </w:p>
        </w:tc>
        <w:tc>
          <w:tcPr>
            <w:tcW w:w="2466" w:type="dxa"/>
            <w:vAlign w:val="center"/>
          </w:tcPr>
          <w:p>
            <w:pPr>
              <w:pStyle w:val="14"/>
            </w:pPr>
            <w:r>
              <w:t>≥80百分数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当年投资完成率</w:t>
            </w:r>
          </w:p>
        </w:tc>
        <w:tc>
          <w:tcPr>
            <w:tcW w:w="2466" w:type="dxa"/>
            <w:vAlign w:val="center"/>
          </w:tcPr>
          <w:p>
            <w:pPr>
              <w:pStyle w:val="14"/>
            </w:pPr>
            <w:r>
              <w:t>全年有效投资达100%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火箭弹购置成本</w:t>
            </w:r>
          </w:p>
        </w:tc>
        <w:tc>
          <w:tcPr>
            <w:tcW w:w="2466" w:type="dxa"/>
            <w:vAlign w:val="center"/>
          </w:tcPr>
          <w:p>
            <w:pPr>
              <w:pStyle w:val="14"/>
            </w:pPr>
            <w:r>
              <w:t>用于人工增雨雪火箭弹的费用</w:t>
            </w:r>
            <w:r>
              <w:rPr>
                <w:rFonts w:hint="eastAsia"/>
              </w:rPr>
              <w:t>100%采购</w:t>
            </w:r>
          </w:p>
        </w:tc>
        <w:tc>
          <w:tcPr>
            <w:tcW w:w="2466" w:type="dxa"/>
            <w:vAlign w:val="center"/>
          </w:tcPr>
          <w:p>
            <w:pPr>
              <w:pStyle w:val="14"/>
            </w:pPr>
            <w:r>
              <w:t>≤6万元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缓解污染天气空气质量</w:t>
            </w:r>
          </w:p>
        </w:tc>
        <w:tc>
          <w:tcPr>
            <w:tcW w:w="2466" w:type="dxa"/>
            <w:vAlign w:val="center"/>
          </w:tcPr>
          <w:p>
            <w:pPr>
              <w:pStyle w:val="14"/>
            </w:pPr>
            <w:r>
              <w:t>能有效缓解空气质量程度</w:t>
            </w:r>
            <w:r>
              <w:rPr>
                <w:rFonts w:hint="eastAsia"/>
              </w:rPr>
              <w:t>净化率提高80%</w:t>
            </w:r>
          </w:p>
        </w:tc>
        <w:tc>
          <w:tcPr>
            <w:tcW w:w="2466" w:type="dxa"/>
            <w:vAlign w:val="center"/>
          </w:tcPr>
          <w:p>
            <w:pPr>
              <w:pStyle w:val="14"/>
            </w:pPr>
            <w:r>
              <w:t>≥80百分数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能有效缓解旱情减少农业灌溉</w:t>
            </w:r>
          </w:p>
        </w:tc>
        <w:tc>
          <w:tcPr>
            <w:tcW w:w="2466" w:type="dxa"/>
            <w:vAlign w:val="center"/>
          </w:tcPr>
          <w:p>
            <w:pPr>
              <w:pStyle w:val="14"/>
            </w:pPr>
            <w:r>
              <w:t>≥100百分数</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2、防灾绩效管理绩效目标表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召开指挥部会议</w:t>
            </w:r>
          </w:p>
        </w:tc>
        <w:tc>
          <w:tcPr>
            <w:tcW w:w="2466" w:type="dxa"/>
            <w:vAlign w:val="center"/>
          </w:tcPr>
          <w:p>
            <w:pPr>
              <w:pStyle w:val="14"/>
            </w:pPr>
            <w:r>
              <w:t>召开指挥部会议次数</w:t>
            </w:r>
            <w:r>
              <w:rPr>
                <w:rFonts w:hint="eastAsia"/>
              </w:rPr>
              <w:t>2次</w:t>
            </w:r>
          </w:p>
        </w:tc>
        <w:tc>
          <w:tcPr>
            <w:tcW w:w="2466" w:type="dxa"/>
            <w:vAlign w:val="center"/>
          </w:tcPr>
          <w:p>
            <w:pPr>
              <w:pStyle w:val="14"/>
            </w:pPr>
            <w:r>
              <w:t>≥2次数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关键农时气象服务产品采用</w:t>
            </w:r>
          </w:p>
        </w:tc>
        <w:tc>
          <w:tcPr>
            <w:tcW w:w="2466" w:type="dxa"/>
            <w:vAlign w:val="center"/>
          </w:tcPr>
          <w:p>
            <w:pPr>
              <w:pStyle w:val="14"/>
            </w:pPr>
            <w:r>
              <w:rPr>
                <w:rFonts w:hint="eastAsia"/>
              </w:rPr>
              <w:t>制作发布关键农时气象服务产品采用率100%</w:t>
            </w:r>
          </w:p>
        </w:tc>
        <w:tc>
          <w:tcPr>
            <w:tcW w:w="2466" w:type="dxa"/>
            <w:vAlign w:val="center"/>
          </w:tcPr>
          <w:p>
            <w:pPr>
              <w:pStyle w:val="14"/>
            </w:pPr>
            <w:r>
              <w:t>≥90百分数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农业天气预报时效</w:t>
            </w:r>
          </w:p>
        </w:tc>
        <w:tc>
          <w:tcPr>
            <w:tcW w:w="2466" w:type="dxa"/>
            <w:vAlign w:val="center"/>
          </w:tcPr>
          <w:p>
            <w:pPr>
              <w:pStyle w:val="14"/>
            </w:pPr>
            <w:r>
              <w:rPr>
                <w:rFonts w:hint="eastAsia"/>
              </w:rPr>
              <w:t>发布农业气象灾害和农用天气预报提前天数为2-3天</w:t>
            </w:r>
          </w:p>
        </w:tc>
        <w:tc>
          <w:tcPr>
            <w:tcW w:w="2466" w:type="dxa"/>
            <w:vAlign w:val="center"/>
          </w:tcPr>
          <w:p>
            <w:pPr>
              <w:pStyle w:val="14"/>
            </w:pPr>
            <w:r>
              <w:t>≥3天</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该项目控制成本</w:t>
            </w:r>
          </w:p>
        </w:tc>
        <w:tc>
          <w:tcPr>
            <w:tcW w:w="2466" w:type="dxa"/>
            <w:vAlign w:val="center"/>
          </w:tcPr>
          <w:p>
            <w:pPr>
              <w:pStyle w:val="14"/>
            </w:pPr>
            <w:r>
              <w:t>该项目在预算控制内完成情况</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对气象防灾减灾的可持续影响</w:t>
            </w:r>
          </w:p>
        </w:tc>
        <w:tc>
          <w:tcPr>
            <w:tcW w:w="2466" w:type="dxa"/>
            <w:vAlign w:val="center"/>
          </w:tcPr>
          <w:p>
            <w:pPr>
              <w:pStyle w:val="14"/>
            </w:pPr>
            <w:r>
              <w:t>降低气象灾害造成的损失率</w:t>
            </w:r>
            <w:r>
              <w:rPr>
                <w:rFonts w:hint="eastAsia"/>
              </w:rPr>
              <w:t>30%</w:t>
            </w:r>
          </w:p>
        </w:tc>
        <w:tc>
          <w:tcPr>
            <w:tcW w:w="2466" w:type="dxa"/>
            <w:vAlign w:val="center"/>
          </w:tcPr>
          <w:p>
            <w:pPr>
              <w:pStyle w:val="14"/>
            </w:pPr>
            <w:r>
              <w:t>≥30百分数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调查问卷满意度</w:t>
            </w:r>
            <w:r>
              <w:rPr>
                <w:rFonts w:hint="eastAsia"/>
              </w:rPr>
              <w:t>100%</w:t>
            </w:r>
          </w:p>
        </w:tc>
        <w:tc>
          <w:tcPr>
            <w:tcW w:w="2466" w:type="dxa"/>
            <w:vAlign w:val="center"/>
          </w:tcPr>
          <w:p>
            <w:pPr>
              <w:pStyle w:val="14"/>
            </w:pPr>
            <w:r>
              <w:t>≥90百分数</w:t>
            </w:r>
          </w:p>
        </w:tc>
        <w:tc>
          <w:tcPr>
            <w:tcW w:w="2466" w:type="dxa"/>
            <w:vAlign w:val="center"/>
          </w:tcPr>
          <w:p>
            <w:pPr>
              <w:pStyle w:val="14"/>
            </w:pPr>
            <w:r>
              <w:t>按照问卷调查评分标准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3、隆尧县经济开发区气候可行性论证评估绩效目标表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项目参与人员数量</w:t>
            </w:r>
          </w:p>
        </w:tc>
        <w:tc>
          <w:tcPr>
            <w:tcW w:w="2466" w:type="dxa"/>
            <w:vAlign w:val="center"/>
          </w:tcPr>
          <w:p>
            <w:pPr>
              <w:pStyle w:val="14"/>
            </w:pPr>
            <w:r>
              <w:t>按照业务分工不同，参与人员3人</w:t>
            </w:r>
            <w:r>
              <w:rPr>
                <w:rFonts w:hint="eastAsia"/>
              </w:rPr>
              <w:t>达100%</w:t>
            </w:r>
          </w:p>
        </w:tc>
        <w:tc>
          <w:tcPr>
            <w:tcW w:w="2466" w:type="dxa"/>
            <w:vAlign w:val="center"/>
          </w:tcPr>
          <w:p>
            <w:pPr>
              <w:pStyle w:val="14"/>
            </w:pPr>
            <w:r>
              <w:t>≥3人数</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完成《实施方案》工作目标要求</w:t>
            </w:r>
          </w:p>
        </w:tc>
        <w:tc>
          <w:tcPr>
            <w:tcW w:w="2466" w:type="dxa"/>
            <w:vAlign w:val="center"/>
          </w:tcPr>
          <w:p>
            <w:pPr>
              <w:pStyle w:val="14"/>
            </w:pPr>
            <w:r>
              <w:t>完成《实施方案》工作目标要求</w:t>
            </w:r>
            <w:r>
              <w:rPr>
                <w:rFonts w:hint="eastAsia"/>
              </w:rPr>
              <w:t>完成率100%</w:t>
            </w:r>
          </w:p>
        </w:tc>
        <w:tc>
          <w:tcPr>
            <w:tcW w:w="2466" w:type="dxa"/>
            <w:vAlign w:val="center"/>
          </w:tcPr>
          <w:p>
            <w:pPr>
              <w:pStyle w:val="14"/>
            </w:pPr>
            <w:r>
              <w:t>按要求完成工作目标</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按时间节点完成招标工作</w:t>
            </w:r>
          </w:p>
        </w:tc>
        <w:tc>
          <w:tcPr>
            <w:tcW w:w="2466" w:type="dxa"/>
            <w:vAlign w:val="center"/>
          </w:tcPr>
          <w:p>
            <w:pPr>
              <w:pStyle w:val="14"/>
            </w:pPr>
            <w:r>
              <w:t>按相关文件时间节点完成招标工作</w:t>
            </w:r>
            <w:r>
              <w:rPr>
                <w:rFonts w:hint="eastAsia"/>
              </w:rPr>
              <w:t>达100%</w:t>
            </w:r>
          </w:p>
        </w:tc>
        <w:tc>
          <w:tcPr>
            <w:tcW w:w="2466" w:type="dxa"/>
            <w:vAlign w:val="center"/>
          </w:tcPr>
          <w:p>
            <w:pPr>
              <w:pStyle w:val="14"/>
            </w:pPr>
            <w:r>
              <w:t>按相关文件时间节点完成</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完成该项目所需成本</w:t>
            </w:r>
          </w:p>
        </w:tc>
        <w:tc>
          <w:tcPr>
            <w:tcW w:w="2466" w:type="dxa"/>
            <w:vAlign w:val="center"/>
          </w:tcPr>
          <w:p>
            <w:pPr>
              <w:pStyle w:val="14"/>
            </w:pPr>
            <w:r>
              <w:t>该项目在预算控制内完成100%</w:t>
            </w:r>
          </w:p>
        </w:tc>
        <w:tc>
          <w:tcPr>
            <w:tcW w:w="2466" w:type="dxa"/>
            <w:vAlign w:val="center"/>
          </w:tcPr>
          <w:p>
            <w:pPr>
              <w:pStyle w:val="14"/>
            </w:pPr>
            <w:r>
              <w:t>≥100百分数</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减轻企业负担，节约社会资源</w:t>
            </w:r>
          </w:p>
        </w:tc>
        <w:tc>
          <w:tcPr>
            <w:tcW w:w="2466" w:type="dxa"/>
            <w:vAlign w:val="center"/>
          </w:tcPr>
          <w:p>
            <w:pPr>
              <w:pStyle w:val="14"/>
            </w:pPr>
            <w:r>
              <w:t>形成整体性、区域化评估结果，进一步提高审批效率</w:t>
            </w:r>
            <w:r>
              <w:rPr>
                <w:rFonts w:hint="eastAsia"/>
              </w:rPr>
              <w:t>达100%</w:t>
            </w:r>
          </w:p>
        </w:tc>
        <w:tc>
          <w:tcPr>
            <w:tcW w:w="2466" w:type="dxa"/>
            <w:vAlign w:val="center"/>
          </w:tcPr>
          <w:p>
            <w:pPr>
              <w:pStyle w:val="14"/>
            </w:pPr>
            <w:r>
              <w:t>≥90百分数</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通过调查问卷满意度90%以上</w:t>
            </w:r>
          </w:p>
        </w:tc>
        <w:tc>
          <w:tcPr>
            <w:tcW w:w="2466" w:type="dxa"/>
            <w:vAlign w:val="center"/>
          </w:tcPr>
          <w:p>
            <w:pPr>
              <w:pStyle w:val="14"/>
            </w:pPr>
            <w:r>
              <w:t>≥90百分数</w:t>
            </w:r>
          </w:p>
        </w:tc>
        <w:tc>
          <w:tcPr>
            <w:tcW w:w="2466" w:type="dxa"/>
            <w:vAlign w:val="center"/>
          </w:tcPr>
          <w:p>
            <w:pPr>
              <w:pStyle w:val="14"/>
            </w:pPr>
            <w:r>
              <w:t>按照问卷调查评分标准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4、气象服务及防雷绩效目标表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综合事务管理完成率</w:t>
            </w:r>
          </w:p>
        </w:tc>
        <w:tc>
          <w:tcPr>
            <w:tcW w:w="2466" w:type="dxa"/>
            <w:vAlign w:val="center"/>
          </w:tcPr>
          <w:p>
            <w:pPr>
              <w:pStyle w:val="14"/>
            </w:pPr>
            <w:r>
              <w:t>综合事务管理完成率</w:t>
            </w:r>
            <w:r>
              <w:rPr>
                <w:rFonts w:hint="eastAsia"/>
              </w:rPr>
              <w:t>80%</w:t>
            </w:r>
          </w:p>
        </w:tc>
        <w:tc>
          <w:tcPr>
            <w:tcW w:w="2466" w:type="dxa"/>
            <w:vAlign w:val="center"/>
          </w:tcPr>
          <w:p>
            <w:pPr>
              <w:pStyle w:val="14"/>
            </w:pPr>
            <w:r>
              <w:t>≥80百分数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开展气象灾害调查</w:t>
            </w:r>
          </w:p>
        </w:tc>
        <w:tc>
          <w:tcPr>
            <w:tcW w:w="2466" w:type="dxa"/>
            <w:vAlign w:val="center"/>
          </w:tcPr>
          <w:p>
            <w:pPr>
              <w:pStyle w:val="14"/>
            </w:pPr>
            <w:r>
              <w:t>据灾害天气情况及时开展田间调查率</w:t>
            </w:r>
            <w:r>
              <w:rPr>
                <w:rFonts w:hint="eastAsia"/>
              </w:rPr>
              <w:t>90%</w:t>
            </w:r>
          </w:p>
        </w:tc>
        <w:tc>
          <w:tcPr>
            <w:tcW w:w="2466" w:type="dxa"/>
            <w:vAlign w:val="center"/>
          </w:tcPr>
          <w:p>
            <w:pPr>
              <w:pStyle w:val="14"/>
            </w:pPr>
            <w:r>
              <w:t>≥90百分数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灾情上报时效</w:t>
            </w:r>
          </w:p>
        </w:tc>
        <w:tc>
          <w:tcPr>
            <w:tcW w:w="2466" w:type="dxa"/>
            <w:vAlign w:val="center"/>
          </w:tcPr>
          <w:p>
            <w:pPr>
              <w:pStyle w:val="14"/>
            </w:pPr>
            <w:r>
              <w:t>因灾害天气发生气象灾情时上报及时率</w:t>
            </w:r>
            <w:r>
              <w:rPr>
                <w:rFonts w:hint="eastAsia"/>
              </w:rPr>
              <w:t>90%</w:t>
            </w:r>
          </w:p>
        </w:tc>
        <w:tc>
          <w:tcPr>
            <w:tcW w:w="2466" w:type="dxa"/>
            <w:vAlign w:val="center"/>
          </w:tcPr>
          <w:p>
            <w:pPr>
              <w:pStyle w:val="14"/>
            </w:pPr>
            <w:r>
              <w:t>≥90百分数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气象防灾知识宣传成本</w:t>
            </w:r>
          </w:p>
        </w:tc>
        <w:tc>
          <w:tcPr>
            <w:tcW w:w="2466" w:type="dxa"/>
            <w:vAlign w:val="center"/>
          </w:tcPr>
          <w:p>
            <w:pPr>
              <w:pStyle w:val="14"/>
            </w:pPr>
            <w:r>
              <w:t>为了普及气象灾害知识，开展活动所需经费</w:t>
            </w:r>
            <w:r>
              <w:rPr>
                <w:rFonts w:hint="eastAsia"/>
              </w:rPr>
              <w:t>5.1万元</w:t>
            </w:r>
          </w:p>
        </w:tc>
        <w:tc>
          <w:tcPr>
            <w:tcW w:w="2466" w:type="dxa"/>
            <w:vAlign w:val="center"/>
          </w:tcPr>
          <w:p>
            <w:pPr>
              <w:pStyle w:val="14"/>
            </w:pPr>
            <w:r>
              <w:t>按照预算计划完成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社会效益指标</w:t>
            </w:r>
          </w:p>
        </w:tc>
        <w:tc>
          <w:tcPr>
            <w:tcW w:w="2466" w:type="dxa"/>
            <w:vAlign w:val="center"/>
          </w:tcPr>
          <w:p>
            <w:pPr>
              <w:pStyle w:val="14"/>
            </w:pPr>
            <w:r>
              <w:t>行政审批及时率</w:t>
            </w:r>
            <w:r>
              <w:rPr>
                <w:rFonts w:hint="eastAsia"/>
              </w:rPr>
              <w:t>95%</w:t>
            </w:r>
          </w:p>
        </w:tc>
        <w:tc>
          <w:tcPr>
            <w:tcW w:w="2466" w:type="dxa"/>
            <w:vAlign w:val="center"/>
          </w:tcPr>
          <w:p>
            <w:pPr>
              <w:pStyle w:val="14"/>
            </w:pPr>
            <w:r>
              <w:t>≥95百分数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群众对气象信息满意度</w:t>
            </w:r>
          </w:p>
        </w:tc>
        <w:tc>
          <w:tcPr>
            <w:tcW w:w="2466" w:type="dxa"/>
            <w:vAlign w:val="center"/>
          </w:tcPr>
          <w:p>
            <w:pPr>
              <w:pStyle w:val="14"/>
            </w:pPr>
            <w:r>
              <w:t>群众对气象整体满意度</w:t>
            </w:r>
            <w:r>
              <w:rPr>
                <w:rFonts w:hint="eastAsia"/>
              </w:rPr>
              <w:t>100%</w:t>
            </w:r>
          </w:p>
        </w:tc>
        <w:tc>
          <w:tcPr>
            <w:tcW w:w="2466" w:type="dxa"/>
            <w:vAlign w:val="center"/>
          </w:tcPr>
          <w:p>
            <w:pPr>
              <w:pStyle w:val="14"/>
            </w:pPr>
            <w:r>
              <w:t>≥100百分数</w:t>
            </w:r>
          </w:p>
        </w:tc>
        <w:tc>
          <w:tcPr>
            <w:tcW w:w="2466" w:type="dxa"/>
            <w:vAlign w:val="center"/>
          </w:tcPr>
          <w:p>
            <w:pPr>
              <w:pStyle w:val="14"/>
            </w:pPr>
            <w:r>
              <w:t>按照问卷调查评分标准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5、气象观测站维护经费绩效目标表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国家级地面观测站观测次数</w:t>
            </w:r>
          </w:p>
        </w:tc>
        <w:tc>
          <w:tcPr>
            <w:tcW w:w="2466" w:type="dxa"/>
            <w:vAlign w:val="center"/>
          </w:tcPr>
          <w:p>
            <w:pPr>
              <w:pStyle w:val="14"/>
            </w:pPr>
            <w:r>
              <w:t>国家级地面观测站观测</w:t>
            </w:r>
            <w:r>
              <w:rPr>
                <w:rFonts w:hint="eastAsia"/>
              </w:rPr>
              <w:t>率100%</w:t>
            </w:r>
          </w:p>
        </w:tc>
        <w:tc>
          <w:tcPr>
            <w:tcW w:w="2466" w:type="dxa"/>
            <w:vAlign w:val="center"/>
          </w:tcPr>
          <w:p>
            <w:pPr>
              <w:pStyle w:val="14"/>
            </w:pPr>
            <w:r>
              <w:t>≥100百分数</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地面观测数据传输率</w:t>
            </w:r>
          </w:p>
        </w:tc>
        <w:tc>
          <w:tcPr>
            <w:tcW w:w="2466" w:type="dxa"/>
            <w:vAlign w:val="center"/>
          </w:tcPr>
          <w:p>
            <w:pPr>
              <w:pStyle w:val="14"/>
            </w:pPr>
            <w:r>
              <w:t>地面观测数据传输</w:t>
            </w:r>
            <w:r>
              <w:rPr>
                <w:rFonts w:hint="eastAsia"/>
              </w:rPr>
              <w:t>率100%</w:t>
            </w:r>
          </w:p>
        </w:tc>
        <w:tc>
          <w:tcPr>
            <w:tcW w:w="2466" w:type="dxa"/>
            <w:vAlign w:val="center"/>
          </w:tcPr>
          <w:p>
            <w:pPr>
              <w:pStyle w:val="14"/>
            </w:pPr>
            <w:r>
              <w:t>≥100百分数</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观测站故障排除时效</w:t>
            </w:r>
          </w:p>
        </w:tc>
        <w:tc>
          <w:tcPr>
            <w:tcW w:w="2466" w:type="dxa"/>
            <w:vAlign w:val="center"/>
          </w:tcPr>
          <w:p>
            <w:pPr>
              <w:pStyle w:val="14"/>
            </w:pPr>
            <w:r>
              <w:t>观测站故障监控通报及时性</w:t>
            </w:r>
            <w:r>
              <w:rPr>
                <w:rFonts w:hint="eastAsia"/>
              </w:rPr>
              <w:t>100%</w:t>
            </w:r>
          </w:p>
        </w:tc>
        <w:tc>
          <w:tcPr>
            <w:tcW w:w="2466" w:type="dxa"/>
            <w:vAlign w:val="center"/>
          </w:tcPr>
          <w:p>
            <w:pPr>
              <w:pStyle w:val="14"/>
            </w:pPr>
            <w:r>
              <w:t>在一小时内排除故障</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观测站设备的维修和更换</w:t>
            </w:r>
          </w:p>
        </w:tc>
        <w:tc>
          <w:tcPr>
            <w:tcW w:w="2466" w:type="dxa"/>
            <w:vAlign w:val="center"/>
          </w:tcPr>
          <w:p>
            <w:pPr>
              <w:pStyle w:val="14"/>
            </w:pPr>
            <w:r>
              <w:t>观测站设备的升级维修的成本</w:t>
            </w:r>
            <w:r>
              <w:rPr>
                <w:rFonts w:hint="eastAsia"/>
              </w:rPr>
              <w:t>100%</w:t>
            </w:r>
          </w:p>
        </w:tc>
        <w:tc>
          <w:tcPr>
            <w:tcW w:w="2466" w:type="dxa"/>
            <w:vAlign w:val="center"/>
          </w:tcPr>
          <w:p>
            <w:pPr>
              <w:pStyle w:val="14"/>
            </w:pPr>
            <w:r>
              <w:t>在预算内完成</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社会稳定度</w:t>
            </w:r>
          </w:p>
        </w:tc>
        <w:tc>
          <w:tcPr>
            <w:tcW w:w="2466" w:type="dxa"/>
            <w:vAlign w:val="center"/>
          </w:tcPr>
          <w:p>
            <w:pPr>
              <w:pStyle w:val="14"/>
            </w:pPr>
            <w:r>
              <w:t>通过监测气象数据，为生态环境治理提供</w:t>
            </w:r>
            <w:r>
              <w:rPr>
                <w:rFonts w:hint="eastAsia"/>
              </w:rPr>
              <w:t>气象信息数据100%</w:t>
            </w:r>
          </w:p>
        </w:tc>
        <w:tc>
          <w:tcPr>
            <w:tcW w:w="2466" w:type="dxa"/>
            <w:vAlign w:val="center"/>
          </w:tcPr>
          <w:p>
            <w:pPr>
              <w:pStyle w:val="14"/>
            </w:pPr>
            <w:r>
              <w:t>为生态环境提供科学依据</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群众对气象整体满意度</w:t>
            </w:r>
            <w:r>
              <w:rPr>
                <w:rFonts w:hint="eastAsia"/>
              </w:rPr>
              <w:t>100%</w:t>
            </w:r>
          </w:p>
        </w:tc>
        <w:tc>
          <w:tcPr>
            <w:tcW w:w="2466" w:type="dxa"/>
            <w:vAlign w:val="center"/>
          </w:tcPr>
          <w:p>
            <w:pPr>
              <w:pStyle w:val="14"/>
            </w:pPr>
            <w:r>
              <w:t>≥100百分数</w:t>
            </w:r>
          </w:p>
        </w:tc>
        <w:tc>
          <w:tcPr>
            <w:tcW w:w="2466" w:type="dxa"/>
            <w:vAlign w:val="center"/>
          </w:tcPr>
          <w:p>
            <w:pPr>
              <w:pStyle w:val="14"/>
            </w:pPr>
            <w:r>
              <w:t>观测站传输率和到报率考核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6、人工影响天气绩效目标表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人工增雨（雪）飞机作业时间</w:t>
            </w:r>
          </w:p>
        </w:tc>
        <w:tc>
          <w:tcPr>
            <w:tcW w:w="2466" w:type="dxa"/>
            <w:vAlign w:val="center"/>
          </w:tcPr>
          <w:p>
            <w:pPr>
              <w:pStyle w:val="14"/>
            </w:pPr>
            <w:r>
              <w:t>人工增雨（雪）飞机作业时间</w:t>
            </w:r>
            <w:r>
              <w:rPr>
                <w:rFonts w:hint="eastAsia"/>
              </w:rPr>
              <w:t>4小时</w:t>
            </w:r>
          </w:p>
        </w:tc>
        <w:tc>
          <w:tcPr>
            <w:tcW w:w="2466" w:type="dxa"/>
            <w:vAlign w:val="center"/>
          </w:tcPr>
          <w:p>
            <w:pPr>
              <w:pStyle w:val="14"/>
            </w:pPr>
            <w:r>
              <w:t>≥4小时</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人影综合业务平台运行稳定</w:t>
            </w:r>
          </w:p>
        </w:tc>
        <w:tc>
          <w:tcPr>
            <w:tcW w:w="2466" w:type="dxa"/>
            <w:vAlign w:val="center"/>
          </w:tcPr>
          <w:p>
            <w:pPr>
              <w:pStyle w:val="14"/>
            </w:pPr>
            <w:r>
              <w:t>人影综合业务平台运行故障率</w:t>
            </w:r>
            <w:r>
              <w:rPr>
                <w:rFonts w:hint="eastAsia"/>
              </w:rPr>
              <w:t>10%</w:t>
            </w:r>
          </w:p>
        </w:tc>
        <w:tc>
          <w:tcPr>
            <w:tcW w:w="2466" w:type="dxa"/>
            <w:vAlign w:val="center"/>
          </w:tcPr>
          <w:p>
            <w:pPr>
              <w:pStyle w:val="14"/>
            </w:pPr>
            <w:r>
              <w:t>≤10百分数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人影作业方案制定</w:t>
            </w:r>
          </w:p>
        </w:tc>
        <w:tc>
          <w:tcPr>
            <w:tcW w:w="2466" w:type="dxa"/>
            <w:vAlign w:val="center"/>
          </w:tcPr>
          <w:p>
            <w:pPr>
              <w:pStyle w:val="14"/>
            </w:pPr>
            <w:r>
              <w:t>年初人影作业方案制定完成</w:t>
            </w:r>
            <w:r>
              <w:rPr>
                <w:rFonts w:hint="eastAsia"/>
              </w:rPr>
              <w:t>100%</w:t>
            </w:r>
          </w:p>
        </w:tc>
        <w:tc>
          <w:tcPr>
            <w:tcW w:w="2466" w:type="dxa"/>
            <w:vAlign w:val="center"/>
          </w:tcPr>
          <w:p>
            <w:pPr>
              <w:pStyle w:val="14"/>
            </w:pPr>
            <w:r>
              <w:t>年初制定完成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该项目全年成本</w:t>
            </w:r>
          </w:p>
        </w:tc>
        <w:tc>
          <w:tcPr>
            <w:tcW w:w="2466" w:type="dxa"/>
            <w:vAlign w:val="center"/>
          </w:tcPr>
          <w:p>
            <w:pPr>
              <w:pStyle w:val="14"/>
            </w:pPr>
            <w:r>
              <w:t>人工影响天气在预算成本控制内完成</w:t>
            </w:r>
            <w:r>
              <w:rPr>
                <w:rFonts w:hint="eastAsia"/>
              </w:rPr>
              <w:t>100%</w:t>
            </w:r>
          </w:p>
        </w:tc>
        <w:tc>
          <w:tcPr>
            <w:tcW w:w="2466" w:type="dxa"/>
            <w:vAlign w:val="center"/>
          </w:tcPr>
          <w:p>
            <w:pPr>
              <w:pStyle w:val="14"/>
            </w:pPr>
            <w:r>
              <w:t>按预算完成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环境修复生态效益</w:t>
            </w:r>
          </w:p>
        </w:tc>
        <w:tc>
          <w:tcPr>
            <w:tcW w:w="2466" w:type="dxa"/>
            <w:vAlign w:val="center"/>
          </w:tcPr>
          <w:p>
            <w:pPr>
              <w:pStyle w:val="14"/>
            </w:pPr>
            <w:r>
              <w:t>对当地生态环境修复产生积极影响</w:t>
            </w:r>
            <w:r>
              <w:rPr>
                <w:rFonts w:hint="eastAsia"/>
              </w:rPr>
              <w:t>80%</w:t>
            </w:r>
          </w:p>
        </w:tc>
        <w:tc>
          <w:tcPr>
            <w:tcW w:w="2466" w:type="dxa"/>
            <w:vAlign w:val="center"/>
          </w:tcPr>
          <w:p>
            <w:pPr>
              <w:pStyle w:val="14"/>
            </w:pPr>
            <w:r>
              <w:t>对当地生态环境修复产生积极影响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人工影响天气影响地区人民群众问卷调查满意度</w:t>
            </w:r>
            <w:r>
              <w:rPr>
                <w:rFonts w:hint="eastAsia"/>
              </w:rPr>
              <w:t>90%</w:t>
            </w:r>
          </w:p>
        </w:tc>
        <w:tc>
          <w:tcPr>
            <w:tcW w:w="2466" w:type="dxa"/>
            <w:vAlign w:val="center"/>
          </w:tcPr>
          <w:p>
            <w:pPr>
              <w:pStyle w:val="14"/>
            </w:pPr>
            <w:r>
              <w:t>≥90百分数</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7、人员运行经费绩效目标表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气象人员培养数量</w:t>
            </w:r>
          </w:p>
        </w:tc>
        <w:tc>
          <w:tcPr>
            <w:tcW w:w="2466" w:type="dxa"/>
            <w:vAlign w:val="center"/>
          </w:tcPr>
          <w:p>
            <w:pPr>
              <w:pStyle w:val="14"/>
            </w:pPr>
            <w:r>
              <w:t>气象人员培养数量每年人数</w:t>
            </w:r>
            <w:r>
              <w:rPr>
                <w:rFonts w:hint="eastAsia"/>
              </w:rPr>
              <w:t>为8人</w:t>
            </w:r>
          </w:p>
        </w:tc>
        <w:tc>
          <w:tcPr>
            <w:tcW w:w="2466" w:type="dxa"/>
            <w:vAlign w:val="center"/>
          </w:tcPr>
          <w:p>
            <w:pPr>
              <w:pStyle w:val="14"/>
            </w:pPr>
            <w:r>
              <w:t>≥3人数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气象人员素质</w:t>
            </w:r>
          </w:p>
        </w:tc>
        <w:tc>
          <w:tcPr>
            <w:tcW w:w="2466" w:type="dxa"/>
            <w:vAlign w:val="center"/>
          </w:tcPr>
          <w:p>
            <w:pPr>
              <w:pStyle w:val="14"/>
            </w:pPr>
            <w:r>
              <w:t>气象人员素质教育覆盖率</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气象人员工作建设时效</w:t>
            </w:r>
          </w:p>
        </w:tc>
        <w:tc>
          <w:tcPr>
            <w:tcW w:w="2466" w:type="dxa"/>
            <w:vAlign w:val="center"/>
          </w:tcPr>
          <w:p>
            <w:pPr>
              <w:pStyle w:val="14"/>
            </w:pPr>
            <w:r>
              <w:t>气象人员工作建设完成率</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气象人员运行成本</w:t>
            </w:r>
          </w:p>
        </w:tc>
        <w:tc>
          <w:tcPr>
            <w:tcW w:w="2466" w:type="dxa"/>
            <w:vAlign w:val="center"/>
          </w:tcPr>
          <w:p>
            <w:pPr>
              <w:pStyle w:val="14"/>
            </w:pPr>
            <w:r>
              <w:t>气象人员运行预算完成情况</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对气象事业发展的影响</w:t>
            </w:r>
          </w:p>
        </w:tc>
        <w:tc>
          <w:tcPr>
            <w:tcW w:w="2466" w:type="dxa"/>
            <w:vAlign w:val="center"/>
          </w:tcPr>
          <w:p>
            <w:pPr>
              <w:pStyle w:val="14"/>
            </w:pPr>
            <w:r>
              <w:t>能保障气象事业可持续发展</w:t>
            </w:r>
            <w:r>
              <w:rPr>
                <w:rFonts w:hint="eastAsia"/>
              </w:rPr>
              <w:t>保障率100%</w:t>
            </w:r>
          </w:p>
        </w:tc>
        <w:tc>
          <w:tcPr>
            <w:tcW w:w="2466" w:type="dxa"/>
            <w:vAlign w:val="center"/>
          </w:tcPr>
          <w:p>
            <w:pPr>
              <w:pStyle w:val="14"/>
            </w:pPr>
            <w:r>
              <w:t>能保障气象事业可持续发展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气象人员构成</w:t>
            </w:r>
          </w:p>
        </w:tc>
        <w:tc>
          <w:tcPr>
            <w:tcW w:w="2466" w:type="dxa"/>
            <w:vAlign w:val="center"/>
          </w:tcPr>
          <w:p>
            <w:pPr>
              <w:pStyle w:val="14"/>
            </w:pPr>
            <w:r>
              <w:t>气象人员满意度</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2023年，河北省隆尧县气象局本级安排政府采购预算0.00万元。具体内容见下表。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906001河北省隆尧县气象局本级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河北省隆尧县气象局本级上年末固定资产金额为</w:t>
      </w:r>
      <w:r>
        <w:rPr>
          <w:rFonts w:hint="eastAsia" w:eastAsia="方正仿宋_GBK" w:cs="Times New Roman"/>
          <w:b w:val="0"/>
          <w:color w:val="000000"/>
          <w:sz w:val="28"/>
          <w:lang w:val="en-US" w:eastAsia="zh-CN"/>
        </w:rPr>
        <w:t>740.64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906001河北省隆尧县气象局本级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740.64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t>1468.20</w:t>
            </w:r>
          </w:p>
        </w:tc>
        <w:tc>
          <w:tcPr>
            <w:tcW w:w="493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506</w:t>
            </w:r>
            <w:r>
              <w:rPr>
                <w:rFonts w:hint="eastAsia"/>
                <w:lang w:val="en-US" w:eastAsia="zh-CN"/>
              </w:rPr>
              <w:t>.</w:t>
            </w:r>
            <w:r>
              <w:t>4</w:t>
            </w:r>
            <w:r>
              <w:rPr>
                <w:rFonts w:hint="eastAsia"/>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r>
              <w:t>1165.80</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193</w:t>
            </w:r>
            <w:r>
              <w:rPr>
                <w:rFonts w:hint="eastAsia"/>
                <w:lang w:val="en-US" w:eastAsia="zh-CN"/>
              </w:rPr>
              <w:t>.</w:t>
            </w:r>
            <w:r>
              <w:t>5</w:t>
            </w:r>
            <w:r>
              <w:rPr>
                <w:rFonts w:hint="eastAsia"/>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r>
              <w:t>2</w:t>
            </w:r>
          </w:p>
        </w:tc>
        <w:tc>
          <w:tcPr>
            <w:tcW w:w="493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30</w:t>
            </w:r>
            <w:r>
              <w:rPr>
                <w:rFonts w:hint="eastAsia"/>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203.85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zY2Y4YjYzMDE4MGM2ZTMxZmIzNjNmMzRmNjQzNjYifQ=="/>
  </w:docVars>
  <w:rsids>
    <w:rsidRoot w:val="00000000"/>
    <w:rsid w:val="06F055EB"/>
    <w:rsid w:val="0EBF6CE0"/>
    <w:rsid w:val="1ABD4244"/>
    <w:rsid w:val="318071F9"/>
    <w:rsid w:val="333717FB"/>
    <w:rsid w:val="35655DE2"/>
    <w:rsid w:val="39E25948"/>
    <w:rsid w:val="3B325920"/>
    <w:rsid w:val="3B7310AB"/>
    <w:rsid w:val="3F0A4E33"/>
    <w:rsid w:val="4A59019E"/>
    <w:rsid w:val="531864C5"/>
    <w:rsid w:val="53EE5608"/>
    <w:rsid w:val="70B43AC9"/>
    <w:rsid w:val="7298431B"/>
    <w:rsid w:val="747760C1"/>
    <w:rsid w:val="79FB408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fontTable.xml" Type="http://schemas.openxmlformats.org/officeDocument/2006/relationships/fontTable"/><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2023-01-29T15:29:49Z</dcterms:created>
  <dcterms:modified xsi:type="dcterms:W3CDTF">2023-01-29T07:29:49Z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2023-01-29T15:29:49Z</dcterms:created>
  <dcterms:modified xsi:type="dcterms:W3CDTF">2023-01-29T07:29:49Z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2023-01-29T15:29:50Z</dcterms:created>
  <dcterms:modified xsi:type="dcterms:W3CDTF">2023-01-29T07:29:50Z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2023-01-29T15:29:54Z</dcterms:created>
  <dcterms:modified xsi:type="dcterms:W3CDTF">2023-01-29T07:29:53Z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2023-01-29T15:29:48Z</dcterms:created>
  <dcterms:modified xsi:type="dcterms:W3CDTF">2023-01-29T07:29:48Z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2023-01-29T15:29:54Z</dcterms:created>
  <dcterms:modified xsi:type="dcterms:W3CDTF">2023-01-29T07:29:54Z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2023-01-29T15:29:55Z</dcterms:created>
  <dcterms:modified xsi:type="dcterms:W3CDTF">2023-01-29T07:29:55Z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2023-01-29T15:29:55Z</dcterms:created>
  <dcterms:modified xsi:type="dcterms:W3CDTF">2023-01-29T07:29:55Z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2023-01-29T15:29:55Z</dcterms:created>
  <dcterms:modified xsi:type="dcterms:W3CDTF">2023-01-29T07:29:55Z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2023-01-29T15:29:48Z</dcterms:created>
  <dcterms:modified xsi:type="dcterms:W3CDTF">2023-01-29T07:29:48Z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2023-01-29T15:29:55Z</dcterms:created>
  <dcterms:modified xsi:type="dcterms:W3CDTF">2023-01-29T07:29:55Z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2023-01-29T15:29:55Z</dcterms:created>
  <dcterms:modified xsi:type="dcterms:W3CDTF">2023-01-29T07:29:55Z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2023-01-29T15:29:55Z</dcterms:created>
  <dcterms:modified xsi:type="dcterms:W3CDTF">2023-01-29T07:29:55Z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2023-01-29T15:29:56Z</dcterms:created>
  <dcterms:modified xsi:type="dcterms:W3CDTF">2023-01-29T07:29:56Z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2023-01-29T15:29:48Z</dcterms:created>
  <dcterms:modified xsi:type="dcterms:W3CDTF">2023-01-29T07:29:48Z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2023-01-29T15:29:49Z</dcterms:created>
  <dcterms:modified xsi:type="dcterms:W3CDTF">2023-01-29T07:29:49Z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2023-01-29T15:29:47Z</dcterms:created>
  <dcterms:modified xsi:type="dcterms:W3CDTF">2023-01-29T07:29:47Z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2023-01-29T15:29:49Z</dcterms:created>
  <dcterms:modified xsi:type="dcterms:W3CDTF">2023-01-29T07:29:49Z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2023-01-29T15:29:49Z</dcterms:created>
  <dcterms:modified xsi:type="dcterms:W3CDTF">2023-01-29T07:29:49Z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47d659e-2965-4952-a599-bc12a972048a}">
  <ds:schemaRefs/>
</ds:datastoreItem>
</file>

<file path=customXml/itemProps11.xml><?xml version="1.0" encoding="utf-8"?>
<ds:datastoreItem xmlns:ds="http://schemas.openxmlformats.org/officeDocument/2006/customXml" ds:itemID="{1950a507-5f68-4119-a006-b0a1fb90d0fc}">
  <ds:schemaRefs/>
</ds:datastoreItem>
</file>

<file path=customXml/itemProps12.xml><?xml version="1.0" encoding="utf-8"?>
<ds:datastoreItem xmlns:ds="http://schemas.openxmlformats.org/officeDocument/2006/customXml" ds:itemID="{f4ec9806-6a36-4065-9da8-8ba81de17dd0}">
  <ds:schemaRefs/>
</ds:datastoreItem>
</file>

<file path=customXml/itemProps13.xml><?xml version="1.0" encoding="utf-8"?>
<ds:datastoreItem xmlns:ds="http://schemas.openxmlformats.org/officeDocument/2006/customXml" ds:itemID="{e2476b62-11d9-44a3-a358-a8270cba4451}">
  <ds:schemaRefs/>
</ds:datastoreItem>
</file>

<file path=customXml/itemProps14.xml><?xml version="1.0" encoding="utf-8"?>
<ds:datastoreItem xmlns:ds="http://schemas.openxmlformats.org/officeDocument/2006/customXml" ds:itemID="{db5d15eb-c787-49b0-90b0-284ab8732ac8}">
  <ds:schemaRefs/>
</ds:datastoreItem>
</file>

<file path=customXml/itemProps15.xml><?xml version="1.0" encoding="utf-8"?>
<ds:datastoreItem xmlns:ds="http://schemas.openxmlformats.org/officeDocument/2006/customXml" ds:itemID="{8fd0e3f8-cd6a-4293-a720-cc9358d602d3}">
  <ds:schemaRefs/>
</ds:datastoreItem>
</file>

<file path=customXml/itemProps16.xml><?xml version="1.0" encoding="utf-8"?>
<ds:datastoreItem xmlns:ds="http://schemas.openxmlformats.org/officeDocument/2006/customXml" ds:itemID="{91aa67ba-c331-435b-a373-9e40aa636aed}">
  <ds:schemaRefs/>
</ds:datastoreItem>
</file>

<file path=customXml/itemProps17.xml><?xml version="1.0" encoding="utf-8"?>
<ds:datastoreItem xmlns:ds="http://schemas.openxmlformats.org/officeDocument/2006/customXml" ds:itemID="{e9dcbab0-a576-4490-bc70-020101758397}">
  <ds:schemaRefs/>
</ds:datastoreItem>
</file>

<file path=customXml/itemProps18.xml><?xml version="1.0" encoding="utf-8"?>
<ds:datastoreItem xmlns:ds="http://schemas.openxmlformats.org/officeDocument/2006/customXml" ds:itemID="{331c1402-ce65-4f9a-b95e-b9f96fa529c8}">
  <ds:schemaRefs/>
</ds:datastoreItem>
</file>

<file path=customXml/itemProps19.xml><?xml version="1.0" encoding="utf-8"?>
<ds:datastoreItem xmlns:ds="http://schemas.openxmlformats.org/officeDocument/2006/customXml" ds:itemID="{2a6c4caf-e681-4b8c-8f5d-f9c3302d5e80}">
  <ds:schemaRefs/>
</ds:datastoreItem>
</file>

<file path=customXml/itemProps2.xml><?xml version="1.0" encoding="utf-8"?>
<ds:datastoreItem xmlns:ds="http://schemas.openxmlformats.org/officeDocument/2006/customXml" ds:itemID="{bd6614d3-8b57-4dc9-be21-53c8f73329f6}">
  <ds:schemaRefs/>
</ds:datastoreItem>
</file>

<file path=customXml/itemProps20.xml><?xml version="1.0" encoding="utf-8"?>
<ds:datastoreItem xmlns:ds="http://schemas.openxmlformats.org/officeDocument/2006/customXml" ds:itemID="{62e659b6-c402-4e32-9b2d-3fc2e4a8f188}">
  <ds:schemaRefs/>
</ds:datastoreItem>
</file>

<file path=customXml/itemProps21.xml><?xml version="1.0" encoding="utf-8"?>
<ds:datastoreItem xmlns:ds="http://schemas.openxmlformats.org/officeDocument/2006/customXml" ds:itemID="{5c49b5b5-5002-4a52-be0b-10cb47d16c30}">
  <ds:schemaRefs/>
</ds:datastoreItem>
</file>

<file path=customXml/itemProps22.xml><?xml version="1.0" encoding="utf-8"?>
<ds:datastoreItem xmlns:ds="http://schemas.openxmlformats.org/officeDocument/2006/customXml" ds:itemID="{ca720c3a-dd4b-43b2-b5ad-1f93370deca2}">
  <ds:schemaRefs/>
</ds:datastoreItem>
</file>

<file path=customXml/itemProps23.xml><?xml version="1.0" encoding="utf-8"?>
<ds:datastoreItem xmlns:ds="http://schemas.openxmlformats.org/officeDocument/2006/customXml" ds:itemID="{350876cc-79f7-41a6-87ed-321aa488a73b}">
  <ds:schemaRefs/>
</ds:datastoreItem>
</file>

<file path=customXml/itemProps24.xml><?xml version="1.0" encoding="utf-8"?>
<ds:datastoreItem xmlns:ds="http://schemas.openxmlformats.org/officeDocument/2006/customXml" ds:itemID="{9bb2d382-2cb0-453f-aaad-2811faa8320b}">
  <ds:schemaRefs/>
</ds:datastoreItem>
</file>

<file path=customXml/itemProps25.xml><?xml version="1.0" encoding="utf-8"?>
<ds:datastoreItem xmlns:ds="http://schemas.openxmlformats.org/officeDocument/2006/customXml" ds:itemID="{79e7b1b9-6a39-482c-aaf2-2feef0d72fe6}">
  <ds:schemaRefs/>
</ds:datastoreItem>
</file>

<file path=customXml/itemProps26.xml><?xml version="1.0" encoding="utf-8"?>
<ds:datastoreItem xmlns:ds="http://schemas.openxmlformats.org/officeDocument/2006/customXml" ds:itemID="{98311eda-96fe-47a7-930c-9a09a479bdb8}">
  <ds:schemaRefs/>
</ds:datastoreItem>
</file>

<file path=customXml/itemProps27.xml><?xml version="1.0" encoding="utf-8"?>
<ds:datastoreItem xmlns:ds="http://schemas.openxmlformats.org/officeDocument/2006/customXml" ds:itemID="{6a44a174-02af-4b4d-b13e-563e3bc4e529}">
  <ds:schemaRefs/>
</ds:datastoreItem>
</file>

<file path=customXml/itemProps28.xml><?xml version="1.0" encoding="utf-8"?>
<ds:datastoreItem xmlns:ds="http://schemas.openxmlformats.org/officeDocument/2006/customXml" ds:itemID="{72395181-9724-4eb4-bb94-192a3d8b9a9c}">
  <ds:schemaRefs/>
</ds:datastoreItem>
</file>

<file path=customXml/itemProps29.xml><?xml version="1.0" encoding="utf-8"?>
<ds:datastoreItem xmlns:ds="http://schemas.openxmlformats.org/officeDocument/2006/customXml" ds:itemID="{c1375c89-2f77-4304-93d3-847db164b935}">
  <ds:schemaRefs/>
</ds:datastoreItem>
</file>

<file path=customXml/itemProps3.xml><?xml version="1.0" encoding="utf-8"?>
<ds:datastoreItem xmlns:ds="http://schemas.openxmlformats.org/officeDocument/2006/customXml" ds:itemID="{239539f3-4a22-4ec5-9573-a364e603dc36}">
  <ds:schemaRefs/>
</ds:datastoreItem>
</file>

<file path=customXml/itemProps30.xml><?xml version="1.0" encoding="utf-8"?>
<ds:datastoreItem xmlns:ds="http://schemas.openxmlformats.org/officeDocument/2006/customXml" ds:itemID="{565d5c79-e9a4-4c1c-ba03-3747467f5ba5}">
  <ds:schemaRefs/>
</ds:datastoreItem>
</file>

<file path=customXml/itemProps31.xml><?xml version="1.0" encoding="utf-8"?>
<ds:datastoreItem xmlns:ds="http://schemas.openxmlformats.org/officeDocument/2006/customXml" ds:itemID="{ed1928e0-a6a3-4647-9094-96c2929537ac}">
  <ds:schemaRefs/>
</ds:datastoreItem>
</file>

<file path=customXml/itemProps32.xml><?xml version="1.0" encoding="utf-8"?>
<ds:datastoreItem xmlns:ds="http://schemas.openxmlformats.org/officeDocument/2006/customXml" ds:itemID="{542ee9fd-2a08-4f7d-9bb1-412cd57c85fd}">
  <ds:schemaRefs/>
</ds:datastoreItem>
</file>

<file path=customXml/itemProps33.xml><?xml version="1.0" encoding="utf-8"?>
<ds:datastoreItem xmlns:ds="http://schemas.openxmlformats.org/officeDocument/2006/customXml" ds:itemID="{3d1f0f20-fe4f-4788-872d-5a76873bf0fc}">
  <ds:schemaRefs/>
</ds:datastoreItem>
</file>

<file path=customXml/itemProps34.xml><?xml version="1.0" encoding="utf-8"?>
<ds:datastoreItem xmlns:ds="http://schemas.openxmlformats.org/officeDocument/2006/customXml" ds:itemID="{b75ba7c3-8d63-46f3-aa59-5d4d6b34109b}">
  <ds:schemaRefs/>
</ds:datastoreItem>
</file>

<file path=customXml/itemProps35.xml><?xml version="1.0" encoding="utf-8"?>
<ds:datastoreItem xmlns:ds="http://schemas.openxmlformats.org/officeDocument/2006/customXml" ds:itemID="{b9d94f68-32d6-4ace-b198-2fcf37045c39}">
  <ds:schemaRefs/>
</ds:datastoreItem>
</file>

<file path=customXml/itemProps36.xml><?xml version="1.0" encoding="utf-8"?>
<ds:datastoreItem xmlns:ds="http://schemas.openxmlformats.org/officeDocument/2006/customXml" ds:itemID="{0be6e353-3889-419a-8bf4-3c936c721da3}">
  <ds:schemaRefs/>
</ds:datastoreItem>
</file>

<file path=customXml/itemProps37.xml><?xml version="1.0" encoding="utf-8"?>
<ds:datastoreItem xmlns:ds="http://schemas.openxmlformats.org/officeDocument/2006/customXml" ds:itemID="{9db4831c-ab32-40a5-aa99-2ccb9f7770ae}">
  <ds:schemaRefs/>
</ds:datastoreItem>
</file>

<file path=customXml/itemProps38.xml><?xml version="1.0" encoding="utf-8"?>
<ds:datastoreItem xmlns:ds="http://schemas.openxmlformats.org/officeDocument/2006/customXml" ds:itemID="{6368c45d-789c-4afd-92c5-d76dca337710}">
  <ds:schemaRefs/>
</ds:datastoreItem>
</file>

<file path=customXml/itemProps39.xml><?xml version="1.0" encoding="utf-8"?>
<ds:datastoreItem xmlns:ds="http://schemas.openxmlformats.org/officeDocument/2006/customXml" ds:itemID="{5d88417f-76e8-4d5b-8168-61d577a24002}">
  <ds:schemaRefs/>
</ds:datastoreItem>
</file>

<file path=customXml/itemProps4.xml><?xml version="1.0" encoding="utf-8"?>
<ds:datastoreItem xmlns:ds="http://schemas.openxmlformats.org/officeDocument/2006/customXml" ds:itemID="{0515f4fa-4bdf-4250-a003-6b7fb35162c6}">
  <ds:schemaRefs/>
</ds:datastoreItem>
</file>

<file path=customXml/itemProps5.xml><?xml version="1.0" encoding="utf-8"?>
<ds:datastoreItem xmlns:ds="http://schemas.openxmlformats.org/officeDocument/2006/customXml" ds:itemID="{d1a107de-4457-4dc1-8496-779bd8f5d608}">
  <ds:schemaRefs/>
</ds:datastoreItem>
</file>

<file path=customXml/itemProps6.xml><?xml version="1.0" encoding="utf-8"?>
<ds:datastoreItem xmlns:ds="http://schemas.openxmlformats.org/officeDocument/2006/customXml" ds:itemID="{84e76231-955b-458a-bce4-49103ddb346a}">
  <ds:schemaRefs/>
</ds:datastoreItem>
</file>

<file path=customXml/itemProps7.xml><?xml version="1.0" encoding="utf-8"?>
<ds:datastoreItem xmlns:ds="http://schemas.openxmlformats.org/officeDocument/2006/customXml" ds:itemID="{d7cc756b-a0ee-4731-a047-d88e473f9735}">
  <ds:schemaRefs/>
</ds:datastoreItem>
</file>

<file path=customXml/itemProps8.xml><?xml version="1.0" encoding="utf-8"?>
<ds:datastoreItem xmlns:ds="http://schemas.openxmlformats.org/officeDocument/2006/customXml" ds:itemID="{813e5a42-a08b-4ec7-ae42-8bd0a9ce762d}">
  <ds:schemaRefs/>
</ds:datastoreItem>
</file>

<file path=customXml/itemProps9.xml><?xml version="1.0" encoding="utf-8"?>
<ds:datastoreItem xmlns:ds="http://schemas.openxmlformats.org/officeDocument/2006/customXml" ds:itemID="{3e2612c4-eda8-4ed2-afd4-941981591af0}">
  <ds:schemaRefs/>
</ds:datastoreItem>
</file>

<file path=docProps/app.xml><?xml version="1.0" encoding="utf-8"?>
<Properties xmlns="http://schemas.openxmlformats.org/officeDocument/2006/extended-properties" xmlns:vt="http://schemas.openxmlformats.org/officeDocument/2006/docPropsVTypes">
  <Pages>70</Pages>
  <Words>14942</Words>
  <Characters>16206</Characters>
  <TotalTime>2</TotalTime>
  <ScaleCrop>false</ScaleCrop>
  <LinksUpToDate>false</LinksUpToDate>
  <CharactersWithSpaces>16495</CharactersWithSpaces>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2023-01-29T15:29:00Z</dcterms:created>
  <dc:creator>Administrator</dc:creator>
  <cp:lastModifiedBy>zhr</cp:lastModifiedBy>
  <dcterms:modified xsi:type="dcterms:W3CDTF">2023-02-02T10:05:27Z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7646A04F502B4CA0BCA6CE420897950B</vt:lpwstr>
  </property>
</Properties>
</file>