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Style w:val="5"/>
          <w:rFonts w:hint="eastAsia" w:ascii="方正小标宋简体" w:hAnsi="方正小标宋简体" w:eastAsia="方正小标宋简体" w:cs="方正小标宋简体"/>
          <w:color w:val="auto"/>
          <w:sz w:val="44"/>
          <w:szCs w:val="44"/>
        </w:rPr>
      </w:pPr>
    </w:p>
    <w:p>
      <w:pPr>
        <w:keepNext w:val="0"/>
        <w:keepLines w:val="0"/>
        <w:pageBreakBefore w:val="0"/>
        <w:widowControl w:val="0"/>
        <w:kinsoku/>
        <w:wordWrap w:val="0"/>
        <w:overflowPunct/>
        <w:topLinePunct w:val="0"/>
        <w:bidi w:val="0"/>
        <w:adjustRightInd/>
        <w:spacing w:beforeAutospacing="0" w:afterAutospacing="0" w:line="560" w:lineRule="exact"/>
        <w:jc w:val="right"/>
        <w:textAlignment w:val="auto"/>
        <w:rPr>
          <w:rStyle w:val="6"/>
          <w:rFonts w:hint="default" w:eastAsia="仿宋_GB2312"/>
          <w:color w:val="auto"/>
          <w:lang w:val="en-US" w:eastAsia="zh-CN"/>
        </w:rPr>
      </w:pPr>
      <w:r>
        <w:rPr>
          <w:rStyle w:val="6"/>
          <w:rFonts w:hint="eastAsia" w:eastAsia="仿宋_GB2312"/>
          <w:color w:val="auto"/>
          <w:lang w:val="en-US" w:eastAsia="zh-CN"/>
        </w:rPr>
        <w:t xml:space="preserve">    </w:t>
      </w:r>
    </w:p>
    <w:p>
      <w:pPr>
        <w:keepNext w:val="0"/>
        <w:keepLines w:val="0"/>
        <w:pageBreakBefore w:val="0"/>
        <w:widowControl w:val="0"/>
        <w:kinsoku/>
        <w:overflowPunct/>
        <w:topLinePunct w:val="0"/>
        <w:bidi w:val="0"/>
        <w:adjustRightInd/>
        <w:spacing w:beforeAutospacing="0" w:afterAutospacing="0" w:line="560" w:lineRule="exact"/>
        <w:ind w:firstLine="640" w:firstLineChars="200"/>
        <w:textAlignment w:val="auto"/>
        <w:rPr>
          <w:rStyle w:val="6"/>
          <w:rFonts w:hint="eastAsia" w:eastAsia="仿宋_GB2312"/>
          <w:color w:val="auto"/>
          <w:lang w:eastAsia="zh-CN"/>
        </w:rPr>
      </w:pPr>
    </w:p>
    <w:p>
      <w:pPr>
        <w:rPr>
          <w:rStyle w:val="5"/>
          <w:rFonts w:hint="eastAsia" w:ascii="方正小标宋简体" w:hAnsi="方正小标宋简体" w:eastAsia="方正小标宋简体" w:cs="方正小标宋简体"/>
          <w:color w:val="auto"/>
          <w:sz w:val="44"/>
          <w:szCs w:val="44"/>
          <w:lang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Style w:val="5"/>
          <w:rFonts w:hint="eastAsia" w:ascii="方正小标宋简体" w:hAnsi="方正小标宋简体" w:eastAsia="方正小标宋简体" w:cs="方正小标宋简体"/>
          <w:color w:val="auto"/>
          <w:sz w:val="44"/>
          <w:szCs w:val="44"/>
        </w:rPr>
      </w:pPr>
      <w:r>
        <w:rPr>
          <w:rStyle w:val="5"/>
          <w:rFonts w:hint="eastAsia" w:ascii="方正小标宋简体" w:hAnsi="方正小标宋简体" w:eastAsia="方正小标宋简体" w:cs="方正小标宋简体"/>
          <w:color w:val="auto"/>
          <w:sz w:val="44"/>
          <w:szCs w:val="44"/>
          <w:lang w:eastAsia="zh-CN"/>
        </w:rPr>
        <w:t>隆尧县</w:t>
      </w:r>
      <w:r>
        <w:rPr>
          <w:rStyle w:val="5"/>
          <w:rFonts w:hint="eastAsia" w:ascii="方正小标宋简体" w:hAnsi="方正小标宋简体" w:eastAsia="方正小标宋简体" w:cs="方正小标宋简体"/>
          <w:color w:val="auto"/>
          <w:sz w:val="44"/>
          <w:szCs w:val="44"/>
        </w:rPr>
        <w:t>医疗保障局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Style w:val="5"/>
          <w:rFonts w:hint="eastAsia" w:ascii="方正小标宋简体" w:hAnsi="方正小标宋简体" w:eastAsia="方正小标宋简体" w:cs="方正小标宋简体"/>
          <w:color w:val="auto"/>
          <w:sz w:val="44"/>
          <w:szCs w:val="44"/>
        </w:rPr>
      </w:pPr>
      <w:r>
        <w:rPr>
          <w:rStyle w:val="5"/>
          <w:rFonts w:hint="eastAsia" w:ascii="方正小标宋简体" w:hAnsi="方正小标宋简体" w:eastAsia="方正小标宋简体" w:cs="方正小标宋简体"/>
          <w:color w:val="auto"/>
          <w:sz w:val="44"/>
          <w:szCs w:val="44"/>
        </w:rPr>
        <w:t>2023年“双随机、一公开”监管工作实施方案</w:t>
      </w:r>
    </w:p>
    <w:p>
      <w:pPr>
        <w:jc w:val="center"/>
        <w:rPr>
          <w:rStyle w:val="5"/>
          <w:rFonts w:hint="eastAsia" w:ascii="方正小标宋简体" w:hAnsi="方正小标宋简体" w:eastAsia="方正小标宋简体" w:cs="方正小标宋简体"/>
          <w:color w:val="auto"/>
          <w:sz w:val="44"/>
          <w:szCs w:val="44"/>
          <w:lang w:eastAsia="zh-CN"/>
        </w:rPr>
      </w:pP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Style w:val="6"/>
          <w:rFonts w:hint="eastAsia" w:eastAsia="仿宋_GB2312"/>
          <w:color w:val="auto"/>
          <w:lang w:eastAsia="zh-CN"/>
        </w:rPr>
      </w:pPr>
      <w:r>
        <w:rPr>
          <w:rStyle w:val="6"/>
          <w:color w:val="auto"/>
        </w:rPr>
        <w:t>为认真贯彻落实国务院</w:t>
      </w:r>
      <w:r>
        <w:rPr>
          <w:rStyle w:val="6"/>
          <w:rFonts w:hint="eastAsia" w:eastAsia="仿宋_GB2312"/>
          <w:color w:val="auto"/>
          <w:lang w:eastAsia="zh-CN"/>
        </w:rPr>
        <w:t>、</w:t>
      </w:r>
      <w:r>
        <w:rPr>
          <w:rStyle w:val="6"/>
          <w:color w:val="auto"/>
        </w:rPr>
        <w:t>省委省政府</w:t>
      </w:r>
      <w:r>
        <w:rPr>
          <w:rStyle w:val="6"/>
          <w:rFonts w:hint="eastAsia" w:eastAsia="仿宋_GB2312"/>
          <w:color w:val="auto"/>
          <w:lang w:eastAsia="zh-CN"/>
        </w:rPr>
        <w:t>、市委市政府、县委县政府</w:t>
      </w:r>
      <w:r>
        <w:rPr>
          <w:rStyle w:val="6"/>
          <w:color w:val="auto"/>
        </w:rPr>
        <w:t>关于“双随机、一公开”监管工作的部署要求，持续深化“放管服”改革、优化营商环境，进一步推进部门内部联合抽查和信用风险差异化抽查，提升监管效能，制定本方案。</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jc w:val="both"/>
        <w:textAlignment w:val="auto"/>
        <w:rPr>
          <w:rStyle w:val="8"/>
          <w:rFonts w:hint="eastAsia" w:eastAsia="黑体"/>
          <w:color w:val="auto"/>
          <w:lang w:eastAsia="zh-CN"/>
        </w:rPr>
      </w:pPr>
      <w:r>
        <w:rPr>
          <w:rStyle w:val="8"/>
          <w:color w:val="auto"/>
        </w:rPr>
        <w:t>一、工作目标</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Style w:val="6"/>
          <w:rFonts w:hint="eastAsia" w:eastAsia="仿宋_GB2312"/>
          <w:color w:val="auto"/>
          <w:lang w:eastAsia="zh-CN"/>
        </w:rPr>
      </w:pPr>
      <w:r>
        <w:rPr>
          <w:rStyle w:val="6"/>
          <w:color w:val="auto"/>
        </w:rPr>
        <w:t>完善全</w:t>
      </w:r>
      <w:r>
        <w:rPr>
          <w:rStyle w:val="6"/>
          <w:rFonts w:hint="eastAsia" w:eastAsia="仿宋_GB2312"/>
          <w:color w:val="auto"/>
          <w:lang w:eastAsia="zh-CN"/>
        </w:rPr>
        <w:t>县</w:t>
      </w:r>
      <w:r>
        <w:rPr>
          <w:rStyle w:val="6"/>
          <w:color w:val="auto"/>
        </w:rPr>
        <w:t>医保监管系统“双随机、一公开”监管工作机制，深化监管系统内部联合随机抽查，深入推进信用风险差异化抽查，开展随机抽查提高抽查检查结果发现问题率；全系统年度抽查机构占比不低于3%，抽查结果按时公示率100%，抽查检查发现问题后续处置率100%，</w:t>
      </w:r>
      <w:r>
        <w:rPr>
          <w:rStyle w:val="6"/>
          <w:rFonts w:hint="eastAsia" w:eastAsia="仿宋_GB2312"/>
          <w:color w:val="auto"/>
          <w:lang w:eastAsia="zh-CN"/>
        </w:rPr>
        <w:t>进一步</w:t>
      </w:r>
      <w:r>
        <w:rPr>
          <w:rStyle w:val="6"/>
          <w:color w:val="auto"/>
        </w:rPr>
        <w:t>提升随机抽查效能。</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Style w:val="8"/>
          <w:rFonts w:hint="eastAsia" w:eastAsia="黑体"/>
          <w:color w:val="auto"/>
          <w:lang w:eastAsia="zh-CN"/>
        </w:rPr>
      </w:pPr>
      <w:r>
        <w:rPr>
          <w:rStyle w:val="8"/>
          <w:color w:val="auto"/>
        </w:rPr>
        <w:t>二、主要任务</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Style w:val="6"/>
          <w:rFonts w:hint="eastAsia" w:eastAsia="仿宋_GB2312"/>
          <w:color w:val="auto"/>
          <w:lang w:eastAsia="zh-CN"/>
        </w:rPr>
      </w:pPr>
      <w:r>
        <w:rPr>
          <w:rStyle w:val="9"/>
          <w:color w:val="auto"/>
        </w:rPr>
        <w:t>（一）完善“一单两库”。</w:t>
      </w:r>
      <w:r>
        <w:rPr>
          <w:rStyle w:val="6"/>
          <w:color w:val="auto"/>
        </w:rPr>
        <w:t>一是调整抽查事项清单。动态调整本级抽查事项清单，并在</w:t>
      </w:r>
      <w:r>
        <w:rPr>
          <w:rStyle w:val="6"/>
          <w:rFonts w:hint="eastAsia"/>
          <w:color w:val="auto"/>
        </w:rPr>
        <w:t>河北省双随机执法监管平台（以下简称监管平台）</w:t>
      </w:r>
      <w:r>
        <w:rPr>
          <w:rStyle w:val="6"/>
          <w:color w:val="auto"/>
        </w:rPr>
        <w:t>中组织对涉及本级监管事权的事项</w:t>
      </w:r>
      <w:r>
        <w:rPr>
          <w:rStyle w:val="6"/>
          <w:rFonts w:hint="eastAsia" w:eastAsia="仿宋_GB2312"/>
          <w:color w:val="auto"/>
          <w:lang w:eastAsia="zh-CN"/>
        </w:rPr>
        <w:t>全部</w:t>
      </w:r>
      <w:r>
        <w:rPr>
          <w:rStyle w:val="6"/>
          <w:color w:val="auto"/>
        </w:rPr>
        <w:t>进行认领。二是完善检查对象名录库。结合监管实际，及时在监管平台中认领监管对象，监管对象为自然人和附属客体的，并根据工作需要进行动态调整，实现精准抽取检查对象。三是完善执法人员名录库。内部执法人员名录库的管理、调整和维护</w:t>
      </w:r>
      <w:r>
        <w:rPr>
          <w:rStyle w:val="6"/>
          <w:rFonts w:hint="eastAsia" w:eastAsia="仿宋_GB2312"/>
          <w:color w:val="auto"/>
          <w:lang w:eastAsia="zh-CN"/>
        </w:rPr>
        <w:t>。</w:t>
      </w:r>
      <w:r>
        <w:rPr>
          <w:rStyle w:val="6"/>
          <w:rFonts w:hint="eastAsia"/>
          <w:color w:val="auto"/>
        </w:rPr>
        <w:t>综合考虑执法队伍实际、内部职能划分、执法人员专长等因素，对执法人员名录进行分类标注</w:t>
      </w:r>
      <w:r>
        <w:rPr>
          <w:rStyle w:val="6"/>
          <w:color w:val="auto"/>
        </w:rPr>
        <w:t>。</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Style w:val="6"/>
          <w:rFonts w:hint="eastAsia" w:eastAsia="仿宋_GB2312"/>
          <w:color w:val="auto"/>
          <w:lang w:eastAsia="zh-CN"/>
        </w:rPr>
      </w:pPr>
      <w:r>
        <w:rPr>
          <w:rStyle w:val="9"/>
          <w:color w:val="auto"/>
        </w:rPr>
        <w:t>（二）规范工作程序。</w:t>
      </w:r>
      <w:r>
        <w:rPr>
          <w:rStyle w:val="6"/>
          <w:color w:val="auto"/>
        </w:rPr>
        <w:t>根据上级要求、结合监管实际，严格履行调整年度抽查计划的线下、线上工作程序，调整后的年度抽查计划和每次抽查制定的实施方案要及时向社会公开。按照年度随机抽查计划安排，科学合理组织实施，抽取过程要公开、公正</w:t>
      </w:r>
      <w:r>
        <w:rPr>
          <w:rStyle w:val="6"/>
          <w:rFonts w:hint="eastAsia" w:eastAsia="仿宋_GB2312"/>
          <w:color w:val="auto"/>
          <w:lang w:eastAsia="zh-CN"/>
        </w:rPr>
        <w:t>。</w:t>
      </w:r>
      <w:r>
        <w:rPr>
          <w:rStyle w:val="6"/>
          <w:color w:val="auto"/>
        </w:rPr>
        <w:t>实地检查</w:t>
      </w:r>
      <w:r>
        <w:rPr>
          <w:rStyle w:val="6"/>
          <w:rFonts w:hint="eastAsia"/>
          <w:color w:val="auto"/>
        </w:rPr>
        <w:t>严格按照《随机抽查工作规范——河北省地方标准》开展</w:t>
      </w:r>
      <w:r>
        <w:rPr>
          <w:rStyle w:val="6"/>
          <w:rFonts w:hint="eastAsia" w:eastAsia="仿宋_GB2312"/>
          <w:color w:val="auto"/>
          <w:lang w:eastAsia="zh-CN"/>
        </w:rPr>
        <w:t>，确保检查工作</w:t>
      </w:r>
      <w:r>
        <w:rPr>
          <w:rStyle w:val="6"/>
          <w:color w:val="auto"/>
        </w:rPr>
        <w:t>规范、严谨。抽查结束后，及时将相关抽查资料归档，确保档案资料齐全，签字完整，提高“双随机、一公开”监管规范化水平。</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Style w:val="6"/>
          <w:color w:val="auto"/>
        </w:rPr>
      </w:pPr>
      <w:r>
        <w:rPr>
          <w:rStyle w:val="9"/>
          <w:color w:val="auto"/>
        </w:rPr>
        <w:t>（三）加强内部联合。</w:t>
      </w:r>
      <w:r>
        <w:rPr>
          <w:rStyle w:val="6"/>
          <w:color w:val="auto"/>
        </w:rPr>
        <w:t>以年度随机抽查计划为抓手，坚持“能联尽联、应联必联”的原则，结合当地监管的行业领域特点和被检查对象所涉及抽查事项的交集度，组织开展系统内部联合抽查，实现“进一次门，查多项事”。</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Style w:val="6"/>
          <w:rFonts w:hint="eastAsia" w:eastAsia="仿宋_GB2312"/>
          <w:color w:val="auto"/>
          <w:lang w:eastAsia="zh-CN"/>
        </w:rPr>
      </w:pPr>
      <w:r>
        <w:rPr>
          <w:rStyle w:val="9"/>
          <w:rFonts w:hint="eastAsia"/>
          <w:b w:val="0"/>
          <w:i w:val="0"/>
          <w:color w:val="auto"/>
          <w:lang w:eastAsia="zh-CN"/>
        </w:rPr>
        <w:t>（四）提升监管效能。</w:t>
      </w:r>
      <w:r>
        <w:rPr>
          <w:rStyle w:val="6"/>
          <w:rFonts w:hint="eastAsia" w:eastAsia="仿宋_GB2312"/>
          <w:color w:val="auto"/>
          <w:lang w:eastAsia="zh-CN"/>
        </w:rPr>
        <w:t>实现“双随机、一公开”监管与企业信用风险分级分类结合常态化、全覆盖，确保全年运用企业信用风险分类开展随机抽查次数占总抽查次数的比例不低于</w:t>
      </w:r>
      <w:r>
        <w:rPr>
          <w:rStyle w:val="6"/>
          <w:rFonts w:hint="eastAsia" w:eastAsia="仿宋_GB2312"/>
          <w:color w:val="auto"/>
          <w:lang w:val="en-US" w:eastAsia="zh-CN"/>
        </w:rPr>
        <w:t>90</w:t>
      </w:r>
      <w:r>
        <w:rPr>
          <w:rStyle w:val="6"/>
          <w:rFonts w:hint="eastAsia" w:eastAsia="仿宋_GB2312"/>
          <w:color w:val="auto"/>
          <w:lang w:eastAsia="zh-CN"/>
        </w:rPr>
        <w:t>%。灵活开展实地检查，采取不定时间、不打招呼、不发通知、直奔现场或直接检查等方式，提高问题发现率。</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Style w:val="6"/>
          <w:rFonts w:hint="eastAsia" w:eastAsia="仿宋_GB2312"/>
          <w:color w:val="auto"/>
          <w:lang w:eastAsia="zh-CN"/>
        </w:rPr>
      </w:pPr>
      <w:r>
        <w:rPr>
          <w:rStyle w:val="9"/>
          <w:color w:val="auto"/>
        </w:rPr>
        <w:t>（</w:t>
      </w:r>
      <w:r>
        <w:rPr>
          <w:rStyle w:val="9"/>
          <w:rFonts w:hint="eastAsia" w:eastAsia="楷体_GB2312"/>
          <w:color w:val="auto"/>
          <w:lang w:eastAsia="zh-CN"/>
        </w:rPr>
        <w:t>五</w:t>
      </w:r>
      <w:r>
        <w:rPr>
          <w:rStyle w:val="9"/>
          <w:color w:val="auto"/>
        </w:rPr>
        <w:t>）强化后续处置。</w:t>
      </w:r>
      <w:r>
        <w:rPr>
          <w:rStyle w:val="6"/>
          <w:color w:val="auto"/>
        </w:rPr>
        <w:t>认真做好随机抽查后续处置工作，及时录入后续处理结果，涉及其他部门监管职责的及时抄告、移送，防止后续监管脱节。</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Style w:val="6"/>
          <w:rFonts w:hint="eastAsia" w:eastAsia="仿宋_GB2312"/>
          <w:color w:val="auto"/>
          <w:lang w:eastAsia="zh-CN"/>
        </w:rPr>
      </w:pPr>
      <w:r>
        <w:rPr>
          <w:rStyle w:val="9"/>
          <w:color w:val="auto"/>
        </w:rPr>
        <w:t>（</w:t>
      </w:r>
      <w:r>
        <w:rPr>
          <w:rStyle w:val="9"/>
          <w:rFonts w:hint="eastAsia" w:eastAsia="楷体_GB2312"/>
          <w:color w:val="auto"/>
          <w:lang w:eastAsia="zh-CN"/>
        </w:rPr>
        <w:t>六</w:t>
      </w:r>
      <w:r>
        <w:rPr>
          <w:rStyle w:val="9"/>
          <w:color w:val="auto"/>
        </w:rPr>
        <w:t>）强化宣传培训。</w:t>
      </w:r>
      <w:r>
        <w:rPr>
          <w:rStyle w:val="6"/>
          <w:color w:val="auto"/>
        </w:rPr>
        <w:t>加大对“双随机、一公开”监管政策宣传力度，通过多种途径、采取多种形式宣传“双随机、一公开”监管工作的政策措施和监管成效，将双随机抽查的操作流程、检查标准、失信行为惩戒等向社会开展普法宣传。加大对基层执法人员业务培训力度，重点抓好《随机抽查工作规范——河北省地方标准》、抽查检查工作指引等的培训，提升基层执法人员抽查检查水平和发现问题能力，培养一批业务能力强、综合素质高、“一专多能”的执法人员。</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Style w:val="8"/>
          <w:rFonts w:hint="eastAsia" w:eastAsia="黑体"/>
          <w:color w:val="auto"/>
          <w:lang w:eastAsia="zh-CN"/>
        </w:rPr>
      </w:pPr>
      <w:r>
        <w:rPr>
          <w:rStyle w:val="8"/>
          <w:color w:val="auto"/>
        </w:rPr>
        <w:t>三、工作要求</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Style w:val="6"/>
          <w:rFonts w:hint="eastAsia" w:eastAsia="仿宋_GB2312"/>
          <w:color w:val="auto"/>
          <w:lang w:eastAsia="zh-CN"/>
        </w:rPr>
      </w:pPr>
      <w:r>
        <w:rPr>
          <w:rStyle w:val="9"/>
          <w:color w:val="auto"/>
        </w:rPr>
        <w:t>（一）加强组织领导。</w:t>
      </w:r>
      <w:r>
        <w:rPr>
          <w:rStyle w:val="6"/>
          <w:color w:val="auto"/>
        </w:rPr>
        <w:t>强化组织领导和统筹协调，细化目标任务和推进措施，形成工作合力</w:t>
      </w:r>
      <w:r>
        <w:rPr>
          <w:rStyle w:val="6"/>
          <w:rFonts w:hint="eastAsia" w:eastAsia="仿宋_GB2312"/>
          <w:color w:val="auto"/>
          <w:lang w:eastAsia="zh-CN"/>
        </w:rPr>
        <w:t>，</w:t>
      </w:r>
      <w:r>
        <w:rPr>
          <w:rStyle w:val="10"/>
          <w:color w:val="auto"/>
        </w:rPr>
        <w:t>提升本业务条线的抽查工作成效。</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Style w:val="6"/>
          <w:rFonts w:hint="eastAsia" w:eastAsia="仿宋_GB2312"/>
          <w:color w:val="auto"/>
          <w:lang w:eastAsia="zh-CN"/>
        </w:rPr>
      </w:pPr>
      <w:r>
        <w:rPr>
          <w:rStyle w:val="9"/>
          <w:color w:val="auto"/>
        </w:rPr>
        <w:t>（二）强化责任担当。</w:t>
      </w:r>
      <w:r>
        <w:rPr>
          <w:rStyle w:val="6"/>
          <w:color w:val="auto"/>
        </w:rPr>
        <w:t>科学合理制定每期随机抽查工作实施方案，抽查前要组织参与检查的执法检查人员进行相关业务培训；执法检查人员要本着对检查对象、检查结果负责的原则，严格按照确定的时间、抽查事项、检查流程和相关要求开展抽查检查，认真录入抽查检查结果；复核人员、主管领导要把好审核关，减少因操作失误造成方案作废、检查结果录入错误等现象。</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Style w:val="6"/>
          <w:rFonts w:hint="eastAsia"/>
          <w:color w:val="auto"/>
        </w:rPr>
      </w:pPr>
      <w:r>
        <w:rPr>
          <w:rStyle w:val="6"/>
          <w:color w:val="auto"/>
        </w:rPr>
        <w:t>附件：</w:t>
      </w:r>
      <w:r>
        <w:rPr>
          <w:rStyle w:val="6"/>
          <w:rFonts w:hint="eastAsia"/>
          <w:color w:val="auto"/>
        </w:rPr>
        <w:t>202</w:t>
      </w:r>
      <w:r>
        <w:rPr>
          <w:rStyle w:val="6"/>
          <w:rFonts w:hint="eastAsia" w:eastAsia="仿宋_GB2312"/>
          <w:color w:val="auto"/>
          <w:lang w:val="en-US" w:eastAsia="zh-CN"/>
        </w:rPr>
        <w:t>3</w:t>
      </w:r>
      <w:r>
        <w:rPr>
          <w:rStyle w:val="6"/>
          <w:rFonts w:hint="eastAsia"/>
          <w:color w:val="auto"/>
        </w:rPr>
        <w:t>年</w:t>
      </w:r>
      <w:r>
        <w:rPr>
          <w:rStyle w:val="6"/>
          <w:rFonts w:hint="eastAsia" w:eastAsia="仿宋_GB2312"/>
          <w:color w:val="auto"/>
          <w:lang w:eastAsia="zh-CN"/>
        </w:rPr>
        <w:t>隆尧县医疗保障</w:t>
      </w:r>
      <w:bookmarkStart w:id="0" w:name="_GoBack"/>
      <w:bookmarkEnd w:id="0"/>
      <w:r>
        <w:rPr>
          <w:rStyle w:val="6"/>
          <w:rFonts w:hint="eastAsia"/>
          <w:color w:val="auto"/>
        </w:rPr>
        <w:t>局随机抽查工作计划</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Style w:val="6"/>
          <w:rFonts w:hint="default" w:eastAsia="仿宋_GB2312"/>
          <w:color w:val="auto"/>
          <w:lang w:val="en-US" w:eastAsia="zh-CN"/>
        </w:rPr>
      </w:pP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textAlignment w:val="auto"/>
        <w:rPr>
          <w:rStyle w:val="6"/>
          <w:rFonts w:hint="default" w:eastAsia="仿宋_GB2312"/>
          <w:color w:val="auto"/>
          <w:lang w:val="en-US" w:eastAsia="zh-CN"/>
        </w:rPr>
      </w:pPr>
      <w:r>
        <w:rPr>
          <w:rStyle w:val="6"/>
          <w:color w:val="auto"/>
        </w:rPr>
        <w:t>（信息公开类型：主动公开）</w:t>
      </w:r>
    </w:p>
    <w:p>
      <w:pPr>
        <w:keepNext w:val="0"/>
        <w:keepLines w:val="0"/>
        <w:pageBreakBefore w:val="0"/>
        <w:widowControl w:val="0"/>
        <w:kinsoku/>
        <w:overflowPunct/>
        <w:topLinePunct w:val="0"/>
        <w:bidi w:val="0"/>
        <w:adjustRightInd/>
        <w:spacing w:beforeAutospacing="0" w:afterAutospacing="0" w:line="560" w:lineRule="exact"/>
        <w:ind w:left="1598" w:leftChars="304" w:hanging="960" w:hangingChars="300"/>
        <w:textAlignment w:val="auto"/>
        <w:rPr>
          <w:rStyle w:val="6"/>
          <w:rFonts w:hint="eastAsia"/>
          <w:color w:val="auto"/>
        </w:rPr>
      </w:pPr>
    </w:p>
    <w:p>
      <w:pPr>
        <w:keepNext w:val="0"/>
        <w:keepLines w:val="0"/>
        <w:pageBreakBefore w:val="0"/>
        <w:widowControl w:val="0"/>
        <w:kinsoku/>
        <w:overflowPunct/>
        <w:topLinePunct w:val="0"/>
        <w:bidi w:val="0"/>
        <w:adjustRightInd/>
        <w:spacing w:beforeAutospacing="0" w:afterAutospacing="0" w:line="560" w:lineRule="exact"/>
        <w:ind w:left="1598" w:leftChars="304" w:hanging="960" w:hangingChars="300"/>
        <w:textAlignment w:val="auto"/>
        <w:rPr>
          <w:rStyle w:val="6"/>
          <w:rFonts w:hint="eastAsia"/>
          <w:color w:val="auto"/>
        </w:rPr>
      </w:pPr>
    </w:p>
    <w:p>
      <w:pPr>
        <w:keepNext w:val="0"/>
        <w:keepLines w:val="0"/>
        <w:pageBreakBefore w:val="0"/>
        <w:widowControl w:val="0"/>
        <w:kinsoku/>
        <w:overflowPunct/>
        <w:topLinePunct w:val="0"/>
        <w:bidi w:val="0"/>
        <w:adjustRightInd/>
        <w:spacing w:beforeAutospacing="0" w:afterAutospacing="0" w:line="560" w:lineRule="exact"/>
        <w:ind w:left="1598" w:leftChars="304" w:hanging="960" w:hangingChars="300"/>
        <w:textAlignment w:val="auto"/>
        <w:rPr>
          <w:rStyle w:val="6"/>
          <w:rFonts w:hint="eastAsia"/>
          <w:color w:val="auto"/>
        </w:rPr>
      </w:pPr>
    </w:p>
    <w:p>
      <w:pPr>
        <w:keepNext w:val="0"/>
        <w:keepLines w:val="0"/>
        <w:pageBreakBefore w:val="0"/>
        <w:widowControl w:val="0"/>
        <w:kinsoku/>
        <w:overflowPunct/>
        <w:topLinePunct w:val="0"/>
        <w:bidi w:val="0"/>
        <w:adjustRightInd/>
        <w:spacing w:beforeAutospacing="0" w:afterAutospacing="0" w:line="560" w:lineRule="exact"/>
        <w:ind w:left="1598" w:leftChars="304" w:hanging="960" w:hangingChars="300"/>
        <w:jc w:val="right"/>
        <w:textAlignment w:val="auto"/>
        <w:rPr>
          <w:rStyle w:val="6"/>
          <w:rFonts w:hint="default" w:eastAsia="仿宋_GB2312"/>
          <w:color w:val="auto"/>
          <w:lang w:val="en-US" w:eastAsia="zh-CN"/>
        </w:rPr>
      </w:pPr>
      <w:r>
        <w:rPr>
          <w:rStyle w:val="6"/>
          <w:rFonts w:hint="eastAsia" w:eastAsia="仿宋_GB2312"/>
          <w:color w:val="auto"/>
          <w:lang w:val="en-US" w:eastAsia="zh-CN"/>
        </w:rPr>
        <w:t>2023年1月18日</w:t>
      </w:r>
    </w:p>
    <w:p>
      <w:pPr>
        <w:keepNext w:val="0"/>
        <w:keepLines w:val="0"/>
        <w:pageBreakBefore w:val="0"/>
        <w:widowControl w:val="0"/>
        <w:kinsoku/>
        <w:overflowPunct/>
        <w:topLinePunct w:val="0"/>
        <w:bidi w:val="0"/>
        <w:adjustRightInd/>
        <w:spacing w:beforeAutospacing="0" w:afterAutospacing="0" w:line="560" w:lineRule="exact"/>
        <w:ind w:left="1598" w:leftChars="304" w:hanging="960" w:hangingChars="300"/>
        <w:jc w:val="right"/>
        <w:textAlignment w:val="auto"/>
        <w:rPr>
          <w:rStyle w:val="6"/>
          <w:rFonts w:hint="eastAsia"/>
          <w:color w:val="auto"/>
        </w:rPr>
      </w:pPr>
    </w:p>
    <w:p>
      <w:pPr>
        <w:keepNext w:val="0"/>
        <w:keepLines w:val="0"/>
        <w:pageBreakBefore w:val="0"/>
        <w:widowControl w:val="0"/>
        <w:kinsoku/>
        <w:overflowPunct/>
        <w:topLinePunct w:val="0"/>
        <w:bidi w:val="0"/>
        <w:adjustRightInd/>
        <w:spacing w:beforeAutospacing="0" w:afterAutospacing="0" w:line="560" w:lineRule="exact"/>
        <w:ind w:left="1598" w:leftChars="304" w:hanging="960" w:hangingChars="300"/>
        <w:textAlignment w:val="auto"/>
        <w:rPr>
          <w:rStyle w:val="6"/>
          <w:rFonts w:hint="eastAsia"/>
          <w:color w:val="auto"/>
        </w:rPr>
      </w:pPr>
    </w:p>
    <w:p>
      <w:pPr>
        <w:keepNext w:val="0"/>
        <w:keepLines w:val="0"/>
        <w:pageBreakBefore w:val="0"/>
        <w:widowControl w:val="0"/>
        <w:kinsoku/>
        <w:overflowPunct/>
        <w:topLinePunct w:val="0"/>
        <w:bidi w:val="0"/>
        <w:adjustRightInd/>
        <w:spacing w:beforeAutospacing="0" w:afterAutospacing="0" w:line="560" w:lineRule="exact"/>
        <w:ind w:left="1598" w:leftChars="304" w:hanging="960" w:hangingChars="300"/>
        <w:textAlignment w:val="auto"/>
        <w:rPr>
          <w:rStyle w:val="6"/>
          <w:rFonts w:hint="eastAsia"/>
          <w:color w:val="auto"/>
        </w:rPr>
      </w:pPr>
    </w:p>
    <w:p>
      <w:pPr>
        <w:keepNext w:val="0"/>
        <w:keepLines w:val="0"/>
        <w:pageBreakBefore w:val="0"/>
        <w:widowControl w:val="0"/>
        <w:kinsoku/>
        <w:overflowPunct/>
        <w:topLinePunct w:val="0"/>
        <w:bidi w:val="0"/>
        <w:adjustRightInd/>
        <w:spacing w:beforeAutospacing="0" w:afterAutospacing="0" w:line="560" w:lineRule="exact"/>
        <w:ind w:left="1598" w:leftChars="304" w:hanging="960" w:hangingChars="300"/>
        <w:textAlignment w:val="auto"/>
        <w:rPr>
          <w:rStyle w:val="6"/>
          <w:rFonts w:hint="eastAsia"/>
          <w:color w:val="auto"/>
        </w:rPr>
        <w:sectPr>
          <w:pgSz w:w="11906" w:h="16838"/>
          <w:pgMar w:top="2154" w:right="1531" w:bottom="1984" w:left="1531" w:header="851" w:footer="992" w:gutter="0"/>
          <w:cols w:space="425" w:num="1"/>
          <w:docGrid w:type="lines" w:linePitch="312" w:charSpace="0"/>
        </w:sectPr>
      </w:pPr>
    </w:p>
    <w:tbl>
      <w:tblPr>
        <w:tblStyle w:val="2"/>
        <w:tblpPr w:leftFromText="180" w:rightFromText="180" w:vertAnchor="text" w:horzAnchor="page" w:tblpX="958" w:tblpY="272"/>
        <w:tblOverlap w:val="never"/>
        <w:tblW w:w="15487" w:type="dxa"/>
        <w:tblInd w:w="0" w:type="dxa"/>
        <w:tblLayout w:type="fixed"/>
        <w:tblCellMar>
          <w:top w:w="0" w:type="dxa"/>
          <w:left w:w="0" w:type="dxa"/>
          <w:bottom w:w="0" w:type="dxa"/>
          <w:right w:w="0" w:type="dxa"/>
        </w:tblCellMar>
      </w:tblPr>
      <w:tblGrid>
        <w:gridCol w:w="1732"/>
        <w:gridCol w:w="2452"/>
        <w:gridCol w:w="1032"/>
        <w:gridCol w:w="2088"/>
        <w:gridCol w:w="900"/>
        <w:gridCol w:w="975"/>
        <w:gridCol w:w="1047"/>
        <w:gridCol w:w="1518"/>
        <w:gridCol w:w="1050"/>
        <w:gridCol w:w="1245"/>
        <w:gridCol w:w="1185"/>
        <w:gridCol w:w="263"/>
      </w:tblGrid>
      <w:tr>
        <w:tblPrEx>
          <w:tblCellMar>
            <w:top w:w="0" w:type="dxa"/>
            <w:left w:w="0" w:type="dxa"/>
            <w:bottom w:w="0" w:type="dxa"/>
            <w:right w:w="0" w:type="dxa"/>
          </w:tblCellMar>
        </w:tblPrEx>
        <w:trPr>
          <w:trHeight w:val="900" w:hRule="atLeast"/>
        </w:trPr>
        <w:tc>
          <w:tcPr>
            <w:tcW w:w="15487" w:type="dxa"/>
            <w:gridSpan w:val="12"/>
            <w:tcBorders>
              <w:top w:val="nil"/>
              <w:left w:val="nil"/>
              <w:bottom w:val="nil"/>
              <w:right w:val="nil"/>
            </w:tcBorders>
            <w:noWrap/>
            <w:tcMar>
              <w:top w:w="15" w:type="dxa"/>
              <w:left w:w="15" w:type="dxa"/>
              <w:right w:w="15" w:type="dxa"/>
            </w:tcMar>
            <w:vAlign w:val="center"/>
          </w:tcPr>
          <w:p>
            <w:pPr>
              <w:keepNext w:val="0"/>
              <w:keepLines w:val="0"/>
              <w:suppressLineNumbers w:val="0"/>
              <w:ind w:firstLine="2000" w:firstLineChars="500"/>
              <w:jc w:val="both"/>
              <w:textAlignment w:val="center"/>
              <w:rPr>
                <w:rFonts w:ascii="方正小标宋简体" w:hAnsi="方正小标宋简体" w:eastAsia="方正小标宋简体" w:cs="方正小标宋简体"/>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隆尧</w:t>
            </w:r>
            <w:r>
              <w:rPr>
                <w:rFonts w:hint="default" w:ascii="方正小标宋简体" w:hAnsi="方正小标宋简体" w:eastAsia="方正小标宋简体" w:cs="方正小标宋简体"/>
                <w:i w:val="0"/>
                <w:color w:val="000000"/>
                <w:kern w:val="0"/>
                <w:sz w:val="40"/>
                <w:szCs w:val="40"/>
                <w:u w:val="none"/>
                <w:lang w:val="en-US" w:eastAsia="zh-CN" w:bidi="ar"/>
              </w:rPr>
              <w:t>县</w:t>
            </w:r>
            <w:r>
              <w:rPr>
                <w:rFonts w:hint="eastAsia" w:ascii="方正小标宋简体" w:hAnsi="方正小标宋简体" w:eastAsia="方正小标宋简体" w:cs="方正小标宋简体"/>
                <w:i w:val="0"/>
                <w:color w:val="000000"/>
                <w:kern w:val="0"/>
                <w:sz w:val="40"/>
                <w:szCs w:val="40"/>
                <w:u w:val="none"/>
                <w:lang w:val="en-US" w:eastAsia="zh-CN" w:bidi="ar"/>
              </w:rPr>
              <w:t>医疗保障局</w:t>
            </w:r>
            <w:r>
              <w:rPr>
                <w:rFonts w:hint="default" w:ascii="方正小标宋简体" w:hAnsi="方正小标宋简体" w:eastAsia="方正小标宋简体" w:cs="方正小标宋简体"/>
                <w:i w:val="0"/>
                <w:color w:val="000000"/>
                <w:kern w:val="0"/>
                <w:sz w:val="40"/>
                <w:szCs w:val="40"/>
                <w:u w:val="none"/>
                <w:lang w:val="en-US" w:eastAsia="zh-CN" w:bidi="ar"/>
              </w:rPr>
              <w:t>202</w:t>
            </w:r>
            <w:r>
              <w:rPr>
                <w:rFonts w:hint="eastAsia" w:ascii="方正小标宋简体" w:hAnsi="方正小标宋简体" w:eastAsia="方正小标宋简体" w:cs="方正小标宋简体"/>
                <w:i w:val="0"/>
                <w:color w:val="000000"/>
                <w:kern w:val="0"/>
                <w:sz w:val="40"/>
                <w:szCs w:val="40"/>
                <w:u w:val="none"/>
                <w:lang w:val="en-US" w:eastAsia="zh-CN" w:bidi="ar"/>
              </w:rPr>
              <w:t>3</w:t>
            </w:r>
            <w:r>
              <w:rPr>
                <w:rFonts w:hint="default" w:ascii="方正小标宋简体" w:hAnsi="方正小标宋简体" w:eastAsia="方正小标宋简体" w:cs="方正小标宋简体"/>
                <w:i w:val="0"/>
                <w:color w:val="000000"/>
                <w:kern w:val="0"/>
                <w:sz w:val="40"/>
                <w:szCs w:val="40"/>
                <w:u w:val="none"/>
                <w:lang w:val="en-US" w:eastAsia="zh-CN" w:bidi="ar"/>
              </w:rPr>
              <w:t>年内部联合“双随机、一公开”抽查工作计划</w:t>
            </w:r>
          </w:p>
        </w:tc>
      </w:tr>
      <w:tr>
        <w:tblPrEx>
          <w:tblCellMar>
            <w:top w:w="0" w:type="dxa"/>
            <w:left w:w="0" w:type="dxa"/>
            <w:bottom w:w="0" w:type="dxa"/>
            <w:right w:w="0" w:type="dxa"/>
          </w:tblCellMar>
        </w:tblPrEx>
        <w:trPr>
          <w:trHeight w:val="938" w:hRule="atLeast"/>
        </w:trPr>
        <w:tc>
          <w:tcPr>
            <w:tcW w:w="11744" w:type="dxa"/>
            <w:gridSpan w:val="8"/>
            <w:tcBorders>
              <w:top w:val="nil"/>
              <w:left w:val="nil"/>
              <w:bottom w:val="single" w:color="000000" w:sz="4" w:space="0"/>
              <w:right w:val="nil"/>
            </w:tcBorders>
            <w:noWrap w:val="0"/>
            <w:tcMar>
              <w:top w:w="15" w:type="dxa"/>
              <w:left w:w="15" w:type="dxa"/>
              <w:right w:w="15" w:type="dxa"/>
            </w:tcMar>
            <w:vAlign w:val="center"/>
          </w:tcPr>
          <w:p>
            <w:pPr>
              <w:keepNext w:val="0"/>
              <w:keepLines w:val="0"/>
              <w:suppressLineNumbers w:val="0"/>
              <w:jc w:val="left"/>
              <w:textAlignment w:val="center"/>
              <w:rPr>
                <w:rFonts w:hint="eastAsia" w:ascii="宋体" w:hAnsi="宋体" w:eastAsia="宋体" w:cs="宋体"/>
                <w:i w:val="0"/>
                <w:color w:val="000000"/>
                <w:sz w:val="32"/>
                <w:szCs w:val="32"/>
                <w:u w:val="none"/>
              </w:rPr>
            </w:pPr>
            <w:r>
              <w:rPr>
                <w:rFonts w:hint="eastAsia" w:ascii="宋体" w:hAnsi="宋体" w:eastAsia="宋体" w:cs="宋体"/>
                <w:i w:val="0"/>
                <w:color w:val="000000"/>
                <w:kern w:val="0"/>
                <w:sz w:val="32"/>
                <w:szCs w:val="32"/>
                <w:u w:val="none"/>
                <w:lang w:val="en-US" w:eastAsia="zh-CN" w:bidi="ar"/>
              </w:rPr>
              <w:t>单位（盖章）：</w:t>
            </w:r>
          </w:p>
        </w:tc>
        <w:tc>
          <w:tcPr>
            <w:tcW w:w="3743" w:type="dxa"/>
            <w:gridSpan w:val="4"/>
            <w:tcBorders>
              <w:top w:val="nil"/>
              <w:left w:val="nil"/>
              <w:bottom w:val="single" w:color="000000" w:sz="4" w:space="0"/>
              <w:right w:val="nil"/>
            </w:tcBorders>
            <w:noWrap w:val="0"/>
            <w:tcMar>
              <w:top w:w="15" w:type="dxa"/>
              <w:left w:w="15" w:type="dxa"/>
              <w:right w:w="15" w:type="dxa"/>
            </w:tcMar>
            <w:vAlign w:val="center"/>
          </w:tcPr>
          <w:p>
            <w:pPr>
              <w:keepNext w:val="0"/>
              <w:keepLines w:val="0"/>
              <w:suppressLineNumbers w:val="0"/>
              <w:jc w:val="left"/>
              <w:textAlignment w:val="center"/>
              <w:rPr>
                <w:rFonts w:hint="eastAsia" w:ascii="宋体" w:hAnsi="宋体" w:eastAsia="宋体" w:cs="宋体"/>
                <w:i w:val="0"/>
                <w:color w:val="000000"/>
                <w:sz w:val="32"/>
                <w:szCs w:val="32"/>
                <w:u w:val="none"/>
              </w:rPr>
            </w:pPr>
            <w:r>
              <w:rPr>
                <w:rFonts w:hint="eastAsia" w:ascii="宋体" w:hAnsi="宋体" w:eastAsia="宋体" w:cs="宋体"/>
                <w:i w:val="0"/>
                <w:color w:val="000000"/>
                <w:kern w:val="0"/>
                <w:sz w:val="28"/>
                <w:szCs w:val="28"/>
                <w:u w:val="none"/>
                <w:lang w:val="en-US" w:eastAsia="zh-CN" w:bidi="ar"/>
              </w:rPr>
              <w:t>制表时间：</w:t>
            </w:r>
            <w:r>
              <w:rPr>
                <w:rFonts w:hint="eastAsia" w:ascii="宋体" w:hAnsi="宋体" w:cs="宋体"/>
                <w:i w:val="0"/>
                <w:color w:val="000000"/>
                <w:kern w:val="0"/>
                <w:sz w:val="28"/>
                <w:szCs w:val="28"/>
                <w:u w:val="none"/>
                <w:lang w:val="en-US" w:eastAsia="zh-CN" w:bidi="ar"/>
              </w:rPr>
              <w:t>2023</w:t>
            </w:r>
            <w:r>
              <w:rPr>
                <w:rFonts w:hint="eastAsia" w:ascii="宋体" w:hAnsi="宋体" w:eastAsia="宋体" w:cs="宋体"/>
                <w:i w:val="0"/>
                <w:color w:val="000000"/>
                <w:kern w:val="0"/>
                <w:sz w:val="28"/>
                <w:szCs w:val="28"/>
                <w:u w:val="none"/>
                <w:lang w:val="en-US" w:eastAsia="zh-CN" w:bidi="ar"/>
              </w:rPr>
              <w:t>年</w:t>
            </w:r>
            <w:r>
              <w:rPr>
                <w:rFonts w:hint="eastAsia" w:ascii="宋体" w:hAnsi="宋体" w:cs="宋体"/>
                <w:i w:val="0"/>
                <w:color w:val="000000"/>
                <w:kern w:val="0"/>
                <w:sz w:val="28"/>
                <w:szCs w:val="28"/>
                <w:u w:val="none"/>
                <w:lang w:val="en-US" w:eastAsia="zh-CN" w:bidi="ar"/>
              </w:rPr>
              <w:t>1</w:t>
            </w:r>
            <w:r>
              <w:rPr>
                <w:rFonts w:hint="eastAsia" w:ascii="宋体" w:hAnsi="宋体" w:eastAsia="宋体" w:cs="宋体"/>
                <w:i w:val="0"/>
                <w:color w:val="000000"/>
                <w:kern w:val="0"/>
                <w:sz w:val="28"/>
                <w:szCs w:val="28"/>
                <w:u w:val="none"/>
                <w:lang w:val="en-US" w:eastAsia="zh-CN" w:bidi="ar"/>
              </w:rPr>
              <w:t>月</w:t>
            </w:r>
            <w:r>
              <w:rPr>
                <w:rFonts w:hint="eastAsia" w:ascii="宋体" w:hAnsi="宋体" w:cs="宋体"/>
                <w:i w:val="0"/>
                <w:color w:val="000000"/>
                <w:kern w:val="0"/>
                <w:sz w:val="28"/>
                <w:szCs w:val="28"/>
                <w:u w:val="none"/>
                <w:lang w:val="en-US" w:eastAsia="zh-CN" w:bidi="ar"/>
              </w:rPr>
              <w:t>18</w:t>
            </w:r>
            <w:r>
              <w:rPr>
                <w:rFonts w:hint="eastAsia" w:ascii="宋体" w:hAnsi="宋体" w:eastAsia="宋体" w:cs="宋体"/>
                <w:i w:val="0"/>
                <w:color w:val="000000"/>
                <w:kern w:val="0"/>
                <w:sz w:val="28"/>
                <w:szCs w:val="28"/>
                <w:u w:val="none"/>
                <w:lang w:val="en-US" w:eastAsia="zh-CN" w:bidi="ar"/>
              </w:rPr>
              <w:t>日</w:t>
            </w:r>
          </w:p>
        </w:tc>
      </w:tr>
      <w:tr>
        <w:tblPrEx>
          <w:tblCellMar>
            <w:top w:w="0" w:type="dxa"/>
            <w:left w:w="0" w:type="dxa"/>
            <w:bottom w:w="0" w:type="dxa"/>
            <w:right w:w="0" w:type="dxa"/>
          </w:tblCellMar>
        </w:tblPrEx>
        <w:trPr>
          <w:trHeight w:val="775" w:hRule="atLeast"/>
        </w:trPr>
        <w:tc>
          <w:tcPr>
            <w:tcW w:w="173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suppressLineNumbers w:val="0"/>
              <w:kinsoku/>
              <w:overflowPunct/>
              <w:topLinePunct w:val="0"/>
              <w:bidi w:val="0"/>
              <w:adjustRightInd/>
              <w:spacing w:beforeAutospacing="0" w:afterAutospacing="0" w:line="240" w:lineRule="atLeast"/>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抽查计划</w:t>
            </w:r>
          </w:p>
          <w:p>
            <w:pPr>
              <w:keepNext w:val="0"/>
              <w:keepLines w:val="0"/>
              <w:pageBreakBefore w:val="0"/>
              <w:suppressLineNumbers w:val="0"/>
              <w:kinsoku/>
              <w:overflowPunct/>
              <w:topLinePunct w:val="0"/>
              <w:bidi w:val="0"/>
              <w:adjustRightInd/>
              <w:spacing w:beforeAutospacing="0" w:afterAutospacing="0" w:line="240" w:lineRule="atLeas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编号</w:t>
            </w:r>
          </w:p>
        </w:tc>
        <w:tc>
          <w:tcPr>
            <w:tcW w:w="245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suppressLineNumbers w:val="0"/>
              <w:kinsoku/>
              <w:overflowPunct/>
              <w:topLinePunct w:val="0"/>
              <w:bidi w:val="0"/>
              <w:adjustRightInd/>
              <w:spacing w:beforeAutospacing="0" w:afterAutospacing="0" w:line="240" w:lineRule="atLeas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抽查计划名称</w:t>
            </w:r>
          </w:p>
        </w:tc>
        <w:tc>
          <w:tcPr>
            <w:tcW w:w="103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suppressLineNumbers w:val="0"/>
              <w:kinsoku/>
              <w:overflowPunct/>
              <w:topLinePunct w:val="0"/>
              <w:bidi w:val="0"/>
              <w:adjustRightInd/>
              <w:spacing w:beforeAutospacing="0" w:afterAutospacing="0" w:line="240" w:lineRule="atLeast"/>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抽查任务</w:t>
            </w:r>
          </w:p>
          <w:p>
            <w:pPr>
              <w:keepNext w:val="0"/>
              <w:keepLines w:val="0"/>
              <w:pageBreakBefore w:val="0"/>
              <w:suppressLineNumbers w:val="0"/>
              <w:kinsoku/>
              <w:overflowPunct/>
              <w:topLinePunct w:val="0"/>
              <w:bidi w:val="0"/>
              <w:adjustRightInd/>
              <w:spacing w:beforeAutospacing="0" w:afterAutospacing="0" w:line="240" w:lineRule="atLeas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编号</w:t>
            </w:r>
          </w:p>
        </w:tc>
        <w:tc>
          <w:tcPr>
            <w:tcW w:w="208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suppressLineNumbers w:val="0"/>
              <w:kinsoku/>
              <w:overflowPunct/>
              <w:topLinePunct w:val="0"/>
              <w:bidi w:val="0"/>
              <w:adjustRightInd/>
              <w:spacing w:beforeAutospacing="0" w:afterAutospacing="0" w:line="240" w:lineRule="atLeas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抽查任务名称</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suppressLineNumbers w:val="0"/>
              <w:kinsoku/>
              <w:overflowPunct/>
              <w:topLinePunct w:val="0"/>
              <w:bidi w:val="0"/>
              <w:adjustRightInd/>
              <w:spacing w:beforeAutospacing="0" w:afterAutospacing="0" w:line="240" w:lineRule="atLeas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抽查类型</w:t>
            </w:r>
          </w:p>
        </w:tc>
        <w:tc>
          <w:tcPr>
            <w:tcW w:w="9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suppressLineNumbers w:val="0"/>
              <w:kinsoku/>
              <w:overflowPunct/>
              <w:topLinePunct w:val="0"/>
              <w:bidi w:val="0"/>
              <w:adjustRightInd/>
              <w:spacing w:beforeAutospacing="0" w:afterAutospacing="0" w:line="240" w:lineRule="atLeast"/>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抽查</w:t>
            </w:r>
          </w:p>
          <w:p>
            <w:pPr>
              <w:keepNext w:val="0"/>
              <w:keepLines w:val="0"/>
              <w:pageBreakBefore w:val="0"/>
              <w:suppressLineNumbers w:val="0"/>
              <w:kinsoku/>
              <w:overflowPunct/>
              <w:topLinePunct w:val="0"/>
              <w:bidi w:val="0"/>
              <w:adjustRightInd/>
              <w:spacing w:beforeAutospacing="0" w:afterAutospacing="0" w:line="240" w:lineRule="atLeas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比例</w:t>
            </w:r>
          </w:p>
        </w:tc>
        <w:tc>
          <w:tcPr>
            <w:tcW w:w="104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suppressLineNumbers w:val="0"/>
              <w:kinsoku/>
              <w:overflowPunct/>
              <w:topLinePunct w:val="0"/>
              <w:bidi w:val="0"/>
              <w:adjustRightInd/>
              <w:spacing w:beforeAutospacing="0" w:afterAutospacing="0" w:line="240" w:lineRule="atLeas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抽查事项</w:t>
            </w:r>
          </w:p>
        </w:tc>
        <w:tc>
          <w:tcPr>
            <w:tcW w:w="15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suppressLineNumbers w:val="0"/>
              <w:kinsoku/>
              <w:overflowPunct/>
              <w:topLinePunct w:val="0"/>
              <w:bidi w:val="0"/>
              <w:adjustRightInd/>
              <w:spacing w:beforeAutospacing="0" w:afterAutospacing="0" w:line="240" w:lineRule="atLeas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抽查对象范围</w:t>
            </w:r>
          </w:p>
        </w:tc>
        <w:tc>
          <w:tcPr>
            <w:tcW w:w="10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suppressLineNumbers w:val="0"/>
              <w:kinsoku/>
              <w:overflowPunct/>
              <w:topLinePunct w:val="0"/>
              <w:bidi w:val="0"/>
              <w:adjustRightInd/>
              <w:spacing w:beforeAutospacing="0" w:afterAutospacing="0" w:line="240" w:lineRule="atLeas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发起科室</w:t>
            </w:r>
          </w:p>
        </w:tc>
        <w:tc>
          <w:tcPr>
            <w:tcW w:w="12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suppressLineNumbers w:val="0"/>
              <w:kinsoku/>
              <w:overflowPunct/>
              <w:topLinePunct w:val="0"/>
              <w:bidi w:val="0"/>
              <w:adjustRightInd/>
              <w:spacing w:beforeAutospacing="0" w:afterAutospacing="0" w:line="240" w:lineRule="atLeas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联合科室</w:t>
            </w:r>
          </w:p>
        </w:tc>
        <w:tc>
          <w:tcPr>
            <w:tcW w:w="118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suppressLineNumbers w:val="0"/>
              <w:kinsoku/>
              <w:overflowPunct/>
              <w:topLinePunct w:val="0"/>
              <w:bidi w:val="0"/>
              <w:adjustRightInd/>
              <w:spacing w:beforeAutospacing="0" w:afterAutospacing="0" w:line="240" w:lineRule="atLeas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抽查时间</w:t>
            </w:r>
          </w:p>
        </w:tc>
        <w:tc>
          <w:tcPr>
            <w:tcW w:w="26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suppressLineNumbers w:val="0"/>
              <w:kinsoku/>
              <w:overflowPunct/>
              <w:topLinePunct w:val="0"/>
              <w:bidi w:val="0"/>
              <w:adjustRightInd/>
              <w:spacing w:beforeAutospacing="0" w:afterAutospacing="0" w:line="240" w:lineRule="atLeas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备注</w:t>
            </w:r>
          </w:p>
        </w:tc>
      </w:tr>
      <w:tr>
        <w:tblPrEx>
          <w:tblCellMar>
            <w:top w:w="0" w:type="dxa"/>
            <w:left w:w="0" w:type="dxa"/>
            <w:bottom w:w="0" w:type="dxa"/>
            <w:right w:w="0" w:type="dxa"/>
          </w:tblCellMar>
        </w:tblPrEx>
        <w:trPr>
          <w:trHeight w:val="1637" w:hRule="atLeast"/>
        </w:trPr>
        <w:tc>
          <w:tcPr>
            <w:tcW w:w="173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2023001</w:t>
            </w:r>
          </w:p>
        </w:tc>
        <w:tc>
          <w:tcPr>
            <w:tcW w:w="245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2022年隆尧县</w:t>
            </w:r>
            <w:r>
              <w:rPr>
                <w:rFonts w:hint="eastAsia" w:ascii="宋体" w:hAnsi="宋体" w:cs="宋体"/>
                <w:i w:val="0"/>
                <w:color w:val="000000"/>
                <w:kern w:val="0"/>
                <w:sz w:val="20"/>
                <w:szCs w:val="20"/>
                <w:u w:val="none"/>
                <w:lang w:val="en-US" w:eastAsia="zh-CN" w:bidi="ar"/>
              </w:rPr>
              <w:t>医疗保障</w:t>
            </w:r>
            <w:r>
              <w:rPr>
                <w:rFonts w:hint="eastAsia" w:ascii="宋体" w:hAnsi="宋体" w:eastAsia="宋体" w:cs="宋体"/>
                <w:i w:val="0"/>
                <w:color w:val="000000"/>
                <w:kern w:val="0"/>
                <w:sz w:val="20"/>
                <w:szCs w:val="20"/>
                <w:u w:val="none"/>
                <w:lang w:val="en-US" w:eastAsia="zh-CN" w:bidi="ar"/>
              </w:rPr>
              <w:t>局</w:t>
            </w:r>
            <w:r>
              <w:rPr>
                <w:rFonts w:hint="eastAsia" w:ascii="宋体" w:hAnsi="宋体" w:cs="宋体"/>
                <w:i w:val="0"/>
                <w:color w:val="000000"/>
                <w:kern w:val="0"/>
                <w:sz w:val="20"/>
                <w:szCs w:val="20"/>
                <w:u w:val="none"/>
                <w:lang w:val="en-US" w:eastAsia="zh-CN" w:bidi="ar"/>
              </w:rPr>
              <w:t>定点医药机构抽查</w:t>
            </w:r>
          </w:p>
        </w:tc>
        <w:tc>
          <w:tcPr>
            <w:tcW w:w="103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001号</w:t>
            </w:r>
          </w:p>
        </w:tc>
        <w:tc>
          <w:tcPr>
            <w:tcW w:w="208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2023年隆尧县</w:t>
            </w:r>
            <w:r>
              <w:rPr>
                <w:rFonts w:hint="eastAsia" w:ascii="宋体" w:hAnsi="宋体" w:cs="宋体"/>
                <w:i w:val="0"/>
                <w:color w:val="000000"/>
                <w:kern w:val="0"/>
                <w:sz w:val="20"/>
                <w:szCs w:val="20"/>
                <w:u w:val="none"/>
                <w:lang w:val="en-US" w:eastAsia="zh-CN" w:bidi="ar"/>
              </w:rPr>
              <w:t>医疗保障</w:t>
            </w:r>
            <w:r>
              <w:rPr>
                <w:rFonts w:hint="eastAsia" w:ascii="宋体" w:hAnsi="宋体" w:eastAsia="宋体" w:cs="宋体"/>
                <w:i w:val="0"/>
                <w:color w:val="000000"/>
                <w:kern w:val="0"/>
                <w:sz w:val="20"/>
                <w:szCs w:val="20"/>
                <w:u w:val="none"/>
                <w:lang w:val="en-US" w:eastAsia="zh-CN" w:bidi="ar"/>
              </w:rPr>
              <w:t>局</w:t>
            </w:r>
            <w:r>
              <w:rPr>
                <w:rFonts w:hint="eastAsia" w:ascii="宋体" w:hAnsi="宋体" w:cs="宋体"/>
                <w:i w:val="0"/>
                <w:color w:val="000000"/>
                <w:kern w:val="0"/>
                <w:sz w:val="20"/>
                <w:szCs w:val="20"/>
                <w:u w:val="none"/>
                <w:lang w:val="en-US" w:eastAsia="zh-CN" w:bidi="ar"/>
              </w:rPr>
              <w:t>定点医药机构抽查</w:t>
            </w:r>
          </w:p>
        </w:tc>
        <w:tc>
          <w:tcPr>
            <w:tcW w:w="9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定向抽查</w:t>
            </w:r>
          </w:p>
        </w:tc>
        <w:tc>
          <w:tcPr>
            <w:tcW w:w="9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20"/>
                <w:szCs w:val="20"/>
                <w:u w:val="none"/>
                <w:lang w:val="en-US" w:eastAsia="zh-CN" w:bidi="ar"/>
              </w:rPr>
            </w:pPr>
          </w:p>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20</w:t>
            </w:r>
            <w:r>
              <w:rPr>
                <w:rFonts w:hint="eastAsia" w:ascii="宋体" w:hAnsi="宋体" w:eastAsia="宋体" w:cs="宋体"/>
                <w:i w:val="0"/>
                <w:color w:val="000000"/>
                <w:kern w:val="0"/>
                <w:sz w:val="20"/>
                <w:szCs w:val="20"/>
                <w:u w:val="none"/>
                <w:lang w:val="en-US" w:eastAsia="zh-CN" w:bidi="ar"/>
              </w:rPr>
              <w:t>%</w:t>
            </w:r>
            <w:r>
              <w:rPr>
                <w:rFonts w:hint="eastAsia" w:ascii="宋体" w:hAnsi="宋体" w:cs="宋体"/>
                <w:i w:val="0"/>
                <w:color w:val="000000"/>
                <w:kern w:val="0"/>
                <w:sz w:val="20"/>
                <w:szCs w:val="20"/>
                <w:u w:val="none"/>
                <w:lang w:val="en-US" w:eastAsia="zh-CN" w:bidi="ar"/>
              </w:rPr>
              <w:t>以上</w:t>
            </w:r>
          </w:p>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04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cs="宋体"/>
                <w:i w:val="0"/>
                <w:color w:val="000000"/>
                <w:kern w:val="0"/>
                <w:sz w:val="20"/>
                <w:szCs w:val="20"/>
                <w:u w:val="none"/>
                <w:lang w:val="en-US" w:eastAsia="zh-CN" w:bidi="ar"/>
              </w:rPr>
              <w:t>基金使用</w:t>
            </w:r>
          </w:p>
        </w:tc>
        <w:tc>
          <w:tcPr>
            <w:tcW w:w="15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cs="宋体"/>
                <w:i w:val="0"/>
                <w:color w:val="000000"/>
                <w:kern w:val="0"/>
                <w:sz w:val="20"/>
                <w:szCs w:val="20"/>
                <w:u w:val="none"/>
                <w:lang w:val="en-US" w:eastAsia="zh-CN" w:bidi="ar"/>
              </w:rPr>
              <w:t>纳入医保定点医药机构</w:t>
            </w:r>
          </w:p>
        </w:tc>
        <w:tc>
          <w:tcPr>
            <w:tcW w:w="10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cs="宋体"/>
                <w:i w:val="0"/>
                <w:color w:val="000000"/>
                <w:kern w:val="0"/>
                <w:sz w:val="20"/>
                <w:szCs w:val="20"/>
                <w:u w:val="none"/>
                <w:lang w:val="en-US" w:eastAsia="zh-CN" w:bidi="ar"/>
              </w:rPr>
              <w:t>基金和医药服务监管</w:t>
            </w:r>
            <w:r>
              <w:rPr>
                <w:rFonts w:hint="eastAsia" w:ascii="宋体" w:hAnsi="宋体" w:eastAsia="宋体" w:cs="宋体"/>
                <w:i w:val="0"/>
                <w:color w:val="000000"/>
                <w:kern w:val="0"/>
                <w:sz w:val="20"/>
                <w:szCs w:val="20"/>
                <w:u w:val="none"/>
                <w:lang w:val="en-US" w:eastAsia="zh-CN" w:bidi="ar"/>
              </w:rPr>
              <w:t>股</w:t>
            </w:r>
          </w:p>
        </w:tc>
        <w:tc>
          <w:tcPr>
            <w:tcW w:w="12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cs="宋体"/>
                <w:i w:val="0"/>
                <w:color w:val="000000"/>
                <w:kern w:val="0"/>
                <w:sz w:val="20"/>
                <w:szCs w:val="20"/>
                <w:u w:val="none"/>
                <w:lang w:val="en-US" w:eastAsia="zh-CN" w:bidi="ar"/>
              </w:rPr>
              <w:t>城乡居民、职工医保中心</w:t>
            </w:r>
          </w:p>
        </w:tc>
        <w:tc>
          <w:tcPr>
            <w:tcW w:w="118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w:t>
            </w:r>
            <w:r>
              <w:rPr>
                <w:rFonts w:hint="eastAsia" w:ascii="宋体" w:hAnsi="宋体" w:cs="宋体"/>
                <w:i w:val="0"/>
                <w:color w:val="000000"/>
                <w:kern w:val="0"/>
                <w:sz w:val="20"/>
                <w:szCs w:val="20"/>
                <w:u w:val="none"/>
                <w:lang w:val="en-US" w:eastAsia="zh-CN" w:bidi="ar"/>
              </w:rPr>
              <w:t>7</w:t>
            </w:r>
            <w:r>
              <w:rPr>
                <w:rFonts w:hint="eastAsia" w:ascii="宋体" w:hAnsi="宋体" w:eastAsia="宋体" w:cs="宋体"/>
                <w:i w:val="0"/>
                <w:color w:val="000000"/>
                <w:kern w:val="0"/>
                <w:sz w:val="20"/>
                <w:szCs w:val="20"/>
                <w:u w:val="none"/>
                <w:lang w:val="en-US" w:eastAsia="zh-CN" w:bidi="ar"/>
              </w:rPr>
              <w:t>月至</w:t>
            </w:r>
            <w:r>
              <w:rPr>
                <w:rFonts w:hint="eastAsia" w:ascii="宋体" w:hAnsi="宋体" w:cs="宋体"/>
                <w:i w:val="0"/>
                <w:color w:val="000000"/>
                <w:kern w:val="0"/>
                <w:sz w:val="20"/>
                <w:szCs w:val="20"/>
                <w:u w:val="none"/>
                <w:lang w:val="en-US" w:eastAsia="zh-CN" w:bidi="ar"/>
              </w:rPr>
              <w:t>10</w:t>
            </w:r>
            <w:r>
              <w:rPr>
                <w:rFonts w:hint="eastAsia" w:ascii="宋体" w:hAnsi="宋体" w:eastAsia="宋体" w:cs="宋体"/>
                <w:i w:val="0"/>
                <w:color w:val="000000"/>
                <w:kern w:val="0"/>
                <w:sz w:val="20"/>
                <w:szCs w:val="20"/>
                <w:u w:val="none"/>
                <w:lang w:val="en-US" w:eastAsia="zh-CN" w:bidi="ar"/>
              </w:rPr>
              <w:t>月</w:t>
            </w:r>
          </w:p>
        </w:tc>
        <w:tc>
          <w:tcPr>
            <w:tcW w:w="26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kinsoku/>
              <w:overflowPunct/>
              <w:topLinePunct w:val="0"/>
              <w:bidi w:val="0"/>
              <w:adjustRightInd/>
              <w:spacing w:beforeAutospacing="0" w:afterAutospacing="0" w:line="240" w:lineRule="atLeast"/>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672" w:hRule="atLeast"/>
        </w:trPr>
        <w:tc>
          <w:tcPr>
            <w:tcW w:w="15487" w:type="dxa"/>
            <w:gridSpan w:val="1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suppressLineNumbers w:val="0"/>
              <w:kinsoku/>
              <w:overflowPunct/>
              <w:topLinePunct w:val="0"/>
              <w:bidi w:val="0"/>
              <w:adjustRightInd/>
              <w:spacing w:beforeAutospacing="0" w:afterAutospacing="0" w:line="240" w:lineRule="atLeast"/>
              <w:jc w:val="center"/>
              <w:textAlignment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640" w:hRule="atLeast"/>
        </w:trPr>
        <w:tc>
          <w:tcPr>
            <w:tcW w:w="15487" w:type="dxa"/>
            <w:gridSpan w:val="1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suppressLineNumbers w:val="0"/>
              <w:kinsoku/>
              <w:overflowPunct/>
              <w:topLinePunct w:val="0"/>
              <w:bidi w:val="0"/>
              <w:adjustRightInd/>
              <w:spacing w:beforeAutospacing="0" w:afterAutospacing="0" w:line="240" w:lineRule="atLeast"/>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备注：1.抽查计划名称为：年度+行政区划+部门+随机抽查+序号，抽查任务名称以实施方案名称为准。</w:t>
            </w:r>
          </w:p>
          <w:p>
            <w:pPr>
              <w:keepNext w:val="0"/>
              <w:keepLines w:val="0"/>
              <w:pageBreakBefore w:val="0"/>
              <w:suppressLineNumbers w:val="0"/>
              <w:kinsoku/>
              <w:overflowPunct/>
              <w:topLinePunct w:val="0"/>
              <w:bidi w:val="0"/>
              <w:adjustRightInd/>
              <w:spacing w:beforeAutospacing="0" w:afterAutospacing="0" w:line="240" w:lineRule="atLeast"/>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2.抽查时间必须填到月份。</w:t>
            </w:r>
          </w:p>
        </w:tc>
      </w:tr>
    </w:tbl>
    <w:p>
      <w:pPr>
        <w:keepNext w:val="0"/>
        <w:keepLines w:val="0"/>
        <w:pageBreakBefore w:val="0"/>
        <w:widowControl w:val="0"/>
        <w:kinsoku/>
        <w:overflowPunct/>
        <w:topLinePunct w:val="0"/>
        <w:bidi w:val="0"/>
        <w:adjustRightInd/>
        <w:spacing w:beforeAutospacing="0" w:afterAutospacing="0" w:line="560" w:lineRule="exact"/>
        <w:ind w:left="1598" w:leftChars="304" w:hanging="960" w:hangingChars="300"/>
        <w:textAlignment w:val="auto"/>
        <w:rPr>
          <w:rStyle w:val="6"/>
          <w:rFonts w:hint="eastAsia"/>
          <w:color w:val="auto"/>
          <w:lang w:eastAsia="zh-CN"/>
        </w:rPr>
      </w:pPr>
    </w:p>
    <w:sectPr>
      <w:pgSz w:w="16838" w:h="11906" w:orient="landscape"/>
      <w:pgMar w:top="850" w:right="2154" w:bottom="567" w:left="198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FZXBSK--GBK1-0">
    <w:altName w:val="Segoe Print"/>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小标宋简体">
    <w:altName w:val="黑体"/>
    <w:panose1 w:val="02010601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1"/>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MzMTc2NmMwNjFiYTczMTM0NTg1YTczYTY2ZWIzYTQifQ=="/>
  </w:docVars>
  <w:rsids>
    <w:rsidRoot w:val="00000000"/>
    <w:rsid w:val="02520AB3"/>
    <w:rsid w:val="03A92014"/>
    <w:rsid w:val="05A724D0"/>
    <w:rsid w:val="07A56563"/>
    <w:rsid w:val="08235A66"/>
    <w:rsid w:val="08C40004"/>
    <w:rsid w:val="096D4A43"/>
    <w:rsid w:val="09D30E67"/>
    <w:rsid w:val="09D666BB"/>
    <w:rsid w:val="0C5F31BD"/>
    <w:rsid w:val="0D236DCE"/>
    <w:rsid w:val="14483D4E"/>
    <w:rsid w:val="16100BE6"/>
    <w:rsid w:val="16922CCC"/>
    <w:rsid w:val="175A17E5"/>
    <w:rsid w:val="17D27281"/>
    <w:rsid w:val="28F8087A"/>
    <w:rsid w:val="2C8C75B8"/>
    <w:rsid w:val="2F766021"/>
    <w:rsid w:val="341905EB"/>
    <w:rsid w:val="350F02D6"/>
    <w:rsid w:val="38065411"/>
    <w:rsid w:val="387B53CA"/>
    <w:rsid w:val="3A737DA3"/>
    <w:rsid w:val="3D3803C1"/>
    <w:rsid w:val="3E5B069C"/>
    <w:rsid w:val="445C4479"/>
    <w:rsid w:val="4A7175B0"/>
    <w:rsid w:val="4D30792A"/>
    <w:rsid w:val="4E225FBB"/>
    <w:rsid w:val="55281D17"/>
    <w:rsid w:val="56826285"/>
    <w:rsid w:val="5740630E"/>
    <w:rsid w:val="5B1D0055"/>
    <w:rsid w:val="5B927782"/>
    <w:rsid w:val="5BD22AA6"/>
    <w:rsid w:val="5CCA0688"/>
    <w:rsid w:val="5D253463"/>
    <w:rsid w:val="5D581B1B"/>
    <w:rsid w:val="610246FD"/>
    <w:rsid w:val="62D71D9A"/>
    <w:rsid w:val="630716A7"/>
    <w:rsid w:val="66DD43D2"/>
    <w:rsid w:val="6AD75E87"/>
    <w:rsid w:val="6B584408"/>
    <w:rsid w:val="6DFD72DB"/>
    <w:rsid w:val="6EB53CE4"/>
    <w:rsid w:val="6FCA2D7E"/>
    <w:rsid w:val="741633A8"/>
    <w:rsid w:val="744F1DC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 w:type="character" w:customStyle="1" w:styleId="5">
    <w:name w:val="fontstyle01"/>
    <w:basedOn w:val="3"/>
    <w:qFormat/>
    <w:uiPriority w:val="0"/>
    <w:rPr>
      <w:rFonts w:ascii="FZXBSK--GBK1-0" w:hAnsi="FZXBSK--GBK1-0" w:eastAsia="FZXBSK--GBK1-0" w:cs="FZXBSK--GBK1-0"/>
      <w:color w:val="FF0000"/>
      <w:sz w:val="100"/>
      <w:szCs w:val="100"/>
    </w:rPr>
  </w:style>
  <w:style w:type="character" w:customStyle="1" w:styleId="6">
    <w:name w:val="fontstyle11"/>
    <w:basedOn w:val="3"/>
    <w:qFormat/>
    <w:uiPriority w:val="0"/>
    <w:rPr>
      <w:rFonts w:ascii="仿宋_GB2312" w:hAnsi="仿宋_GB2312" w:eastAsia="仿宋_GB2312" w:cs="仿宋_GB2312"/>
      <w:color w:val="000000"/>
      <w:sz w:val="32"/>
      <w:szCs w:val="32"/>
    </w:rPr>
  </w:style>
  <w:style w:type="character" w:customStyle="1" w:styleId="7">
    <w:name w:val="fontstyle31"/>
    <w:basedOn w:val="3"/>
    <w:qFormat/>
    <w:uiPriority w:val="0"/>
    <w:rPr>
      <w:rFonts w:ascii="宋体" w:hAnsi="宋体" w:eastAsia="宋体" w:cs="宋体"/>
      <w:color w:val="000000"/>
      <w:sz w:val="28"/>
      <w:szCs w:val="28"/>
    </w:rPr>
  </w:style>
  <w:style w:type="character" w:customStyle="1" w:styleId="8">
    <w:name w:val="fontstyle41"/>
    <w:basedOn w:val="3"/>
    <w:qFormat/>
    <w:uiPriority w:val="0"/>
    <w:rPr>
      <w:rFonts w:ascii="黑体" w:hAnsi="宋体" w:eastAsia="黑体" w:cs="黑体"/>
      <w:color w:val="000000"/>
      <w:sz w:val="32"/>
      <w:szCs w:val="32"/>
    </w:rPr>
  </w:style>
  <w:style w:type="character" w:customStyle="1" w:styleId="9">
    <w:name w:val="fontstyle51"/>
    <w:basedOn w:val="3"/>
    <w:qFormat/>
    <w:uiPriority w:val="0"/>
    <w:rPr>
      <w:rFonts w:ascii="楷体_GB2312" w:hAnsi="楷体_GB2312" w:eastAsia="楷体_GB2312" w:cs="楷体_GB2312"/>
      <w:color w:val="000000"/>
      <w:sz w:val="32"/>
      <w:szCs w:val="32"/>
    </w:rPr>
  </w:style>
  <w:style w:type="character" w:customStyle="1" w:styleId="10">
    <w:name w:val="fontstyle21"/>
    <w:basedOn w:val="3"/>
    <w:qFormat/>
    <w:uiPriority w:val="0"/>
    <w:rPr>
      <w:rFonts w:ascii="仿宋_GB2312" w:hAnsi="仿宋_GB2312" w:eastAsia="仿宋_GB2312" w:cs="仿宋_GB2312"/>
      <w:color w:val="000000"/>
      <w:sz w:val="32"/>
      <w:szCs w:val="32"/>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lumMod val="102000"/>
                <a:satMod val="103000"/>
                <a:tint val="94000"/>
              </a:schemeClr>
            </a:gs>
            <a:gs pos="50000">
              <a:schemeClr val="phClr">
                <a:lumMod val="100000"/>
                <a:satMod val="11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satMod val="170000"/>
            <a:tint val="95000"/>
          </a:schemeClr>
        </a:solidFill>
        <a:gradFill rotWithShape="1">
          <a:gsLst>
            <a:gs pos="0">
              <a:schemeClr val="phClr">
                <a:lumMod val="102000"/>
                <a:satMod val="150000"/>
                <a:shade val="98000"/>
                <a:tint val="93000"/>
              </a:schemeClr>
            </a:gs>
            <a:gs pos="50000">
              <a:schemeClr val="phClr">
                <a:lumMod val="103000"/>
                <a:satMod val="130000"/>
                <a:shade val="90000"/>
                <a:tint val="98000"/>
              </a:schemeClr>
            </a:gs>
            <a:gs pos="100000">
              <a:schemeClr val="phClr">
                <a:satMod val="120000"/>
                <a:shade val="63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1720</Words>
  <Characters>1768</Characters>
  <Lines>0</Lines>
  <Paragraphs>0</Paragraphs>
  <TotalTime>5</TotalTime>
  <ScaleCrop>false</ScaleCrop>
  <LinksUpToDate>false</LinksUpToDate>
  <CharactersWithSpaces>1778</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2014-10-29T12:08:00Z</dcterms:created>
  <dc:creator>Administrator</dc:creator>
  <cp:lastModifiedBy>Administrator</cp:lastModifiedBy>
  <cp:lastPrinted>2023-01-30T03:35:00Z</cp:lastPrinted>
  <dcterms:modified xsi:type="dcterms:W3CDTF">2023-02-01T02:31:34Z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83CE80AADC8F448481DDEF477416D19C</vt:lpwstr>
  </property>
</Properties>
</file>