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>
      <w:pPr>
        <w:widowControl w:val="0"/>
        <w:wordWrap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bookmarkEnd w:id="0"/>
    </w:p>
    <w:p>
      <w:pPr>
        <w:widowControl w:val="0"/>
        <w:wordWrap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隆尧县司法局</w:t>
      </w:r>
    </w:p>
    <w:p>
      <w:pPr>
        <w:widowControl w:val="0"/>
        <w:wordWrap/>
        <w:adjustRightInd/>
        <w:snapToGrid/>
        <w:spacing w:line="560" w:lineRule="exact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2023年“双随机、一公开”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工作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实施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方案</w:t>
      </w:r>
    </w:p>
    <w:p>
      <w:pPr>
        <w:widowControl w:val="0"/>
        <w:wordWrap/>
        <w:adjustRightInd/>
        <w:snapToGrid/>
        <w:spacing w:line="44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wordWrap/>
        <w:adjustRightInd/>
        <w:snapToGrid/>
        <w:spacing w:line="560" w:lineRule="exact"/>
        <w:ind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sz w:val="32"/>
          <w:szCs w:val="32"/>
        </w:rPr>
        <w:t>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认真贯彻落实国务院和省委省政府、市场监管总局关于“双随机、一公开”监管工作的部署要求，持续优化营商环境，进一步深化“放管服”改革，推进“双随机、一公开”监管与企业信用风险分级分类深度融合，实现市场监管部门内部“双随机、一公开”监管抽查事项全覆盖、监管方式常态化、抽查规范化精准化，根据《河北省市场监督管理局关于印发河北省市场监管系统2022年“双随机、一公开”监管工作实施方案的通知》要求，结合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实际，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制定本方案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一、抽查时间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 xml:space="preserve"> 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 xml:space="preserve">日至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 xml:space="preserve"> 月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日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二、抽查对象及比例</w:t>
      </w:r>
    </w:p>
    <w:p>
      <w:pPr>
        <w:widowControl/>
        <w:wordWrap/>
        <w:adjustRightInd/>
        <w:snapToGrid/>
        <w:spacing w:line="560" w:lineRule="exact"/>
        <w:ind w:left="0" w:leftChars="0" w:right="0" w:firstLine="640"/>
        <w:jc w:val="center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抽查对象为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律所，公证处，司法鉴定股，基层法律法律服务所，其中，抽查律师执业监督检查事项，公证执业情况事项比例</w:t>
      </w:r>
    </w:p>
    <w:p>
      <w:pPr>
        <w:widowControl/>
        <w:wordWrap/>
        <w:adjustRightInd/>
        <w:snapToGrid/>
        <w:spacing w:line="560" w:lineRule="exact"/>
        <w:ind w:left="0" w:leftChars="0" w:right="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不低于2%。司法鉴定执业检查事项，基层法律服务所及基层法律服务工作者的监督检查事项比例不低于1%。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三、抽查实施部门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隆尧县司法局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四、抽查内容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（一）律师执业监督检查</w:t>
      </w:r>
      <w:r>
        <w:rPr>
          <w:rFonts w:hint="eastAsia" w:ascii="仿宋" w:hAnsi="仿宋" w:eastAsia="仿宋" w:cs="仿宋"/>
          <w:sz w:val="32"/>
          <w:szCs w:val="32"/>
        </w:rPr>
        <w:t>。①律师队伍建设情况；②业务活动开展情况；③律师执业表现情况；④内部管理情况；⑤受行政奖惩、行业奖惩的情况；</w:t>
      </w:r>
      <w:r>
        <w:rPr>
          <w:rFonts w:hint="eastAsia" w:ascii="Yu Gothic Light" w:hAnsi="Yu Gothic Light" w:eastAsia="Yu Gothic Light" w:cs="Yu Gothic Light"/>
          <w:sz w:val="32"/>
          <w:szCs w:val="32"/>
        </w:rPr>
        <w:t>⑥</w:t>
      </w:r>
      <w:r>
        <w:rPr>
          <w:rFonts w:hint="eastAsia" w:ascii="仿宋" w:hAnsi="仿宋" w:eastAsia="仿宋" w:cs="仿宋"/>
          <w:sz w:val="32"/>
          <w:szCs w:val="32"/>
        </w:rPr>
        <w:t>履行律师协会会员义务的情况。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（二）公证执业情况检查</w:t>
      </w:r>
      <w:r>
        <w:rPr>
          <w:rFonts w:hint="eastAsia" w:ascii="仿宋" w:hAnsi="仿宋" w:eastAsia="仿宋" w:cs="仿宋"/>
          <w:sz w:val="32"/>
          <w:szCs w:val="32"/>
        </w:rPr>
        <w:t>。①公证机构保持法定设立条件的情况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②公证机构执行应当报批或者备案事项的情况；③公证机构和公证员的执业情况；④公证质量的监控情况；⑤法律、法规和司法部规定的其他监督检查事项。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司法鉴定检查</w:t>
      </w:r>
      <w:r>
        <w:rPr>
          <w:rFonts w:hint="eastAsia" w:ascii="仿宋" w:hAnsi="仿宋" w:eastAsia="仿宋" w:cs="仿宋"/>
          <w:sz w:val="32"/>
          <w:szCs w:val="32"/>
        </w:rPr>
        <w:t>。①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司法鉴定</w:t>
      </w:r>
      <w:r>
        <w:rPr>
          <w:rFonts w:hint="eastAsia" w:ascii="仿宋" w:hAnsi="仿宋" w:eastAsia="仿宋" w:cs="仿宋"/>
          <w:sz w:val="32"/>
          <w:szCs w:val="32"/>
        </w:rPr>
        <w:t>保持法定设立条件的情况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；</w:t>
      </w:r>
      <w:r>
        <w:rPr>
          <w:rFonts w:hint="eastAsia" w:ascii="仿宋" w:hAnsi="仿宋" w:eastAsia="仿宋" w:cs="仿宋"/>
          <w:sz w:val="32"/>
          <w:szCs w:val="32"/>
        </w:rPr>
        <w:t>②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司法鉴定</w:t>
      </w:r>
      <w:r>
        <w:rPr>
          <w:rFonts w:hint="eastAsia" w:ascii="仿宋" w:hAnsi="仿宋" w:eastAsia="仿宋" w:cs="仿宋"/>
          <w:sz w:val="32"/>
          <w:szCs w:val="32"/>
        </w:rPr>
        <w:t>执行应当报批或者备案事项的情况；③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司法鉴定人员</w:t>
      </w:r>
      <w:r>
        <w:rPr>
          <w:rFonts w:hint="eastAsia" w:ascii="仿宋" w:hAnsi="仿宋" w:eastAsia="仿宋" w:cs="仿宋"/>
          <w:sz w:val="32"/>
          <w:szCs w:val="32"/>
        </w:rPr>
        <w:t>的执业情况；④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司法鉴定</w:t>
      </w:r>
      <w:r>
        <w:rPr>
          <w:rFonts w:hint="eastAsia" w:ascii="仿宋" w:hAnsi="仿宋" w:eastAsia="仿宋" w:cs="仿宋"/>
          <w:sz w:val="32"/>
          <w:szCs w:val="32"/>
        </w:rPr>
        <w:t>质量的监控情况；⑤法律、法规和司法部规定的其他监督检查事项。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五、组织实施</w:t>
      </w:r>
    </w:p>
    <w:p>
      <w:pPr>
        <w:wordWrap/>
        <w:adjustRightInd/>
        <w:snapToGrid/>
        <w:spacing w:line="560" w:lineRule="exact"/>
        <w:ind w:left="0" w:leftChars="0" w:right="0" w:firstLine="320" w:firstLineChars="1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（一）任务分工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双随机办组织抽查协调会，制定并印发工作方案，负责随机抽取被查市场主体名单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随机选派执法检查人员。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 w:cs="仿宋"/>
          <w:sz w:val="32"/>
          <w:szCs w:val="32"/>
        </w:rPr>
        <w:t>检查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小</w:t>
      </w:r>
      <w:r>
        <w:rPr>
          <w:rFonts w:hint="eastAsia" w:ascii="仿宋" w:hAnsi="仿宋" w:eastAsia="仿宋" w:cs="仿宋"/>
          <w:sz w:val="32"/>
          <w:szCs w:val="32"/>
        </w:rPr>
        <w:t>组在约定时间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到市场主体</w:t>
      </w:r>
      <w:r>
        <w:rPr>
          <w:rFonts w:hint="eastAsia" w:ascii="仿宋" w:hAnsi="仿宋" w:eastAsia="仿宋" w:cs="仿宋"/>
          <w:sz w:val="32"/>
          <w:szCs w:val="32"/>
        </w:rPr>
        <w:t>进行检查，填写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</w:t>
      </w:r>
      <w:r>
        <w:rPr>
          <w:rFonts w:hint="eastAsia" w:ascii="仿宋" w:hAnsi="仿宋" w:eastAsia="仿宋" w:cs="仿宋"/>
          <w:sz w:val="32"/>
          <w:szCs w:val="32"/>
        </w:rPr>
        <w:t>随机抽查检查记录表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》</w:t>
      </w:r>
      <w:r>
        <w:rPr>
          <w:rFonts w:hint="eastAsia" w:ascii="仿宋" w:hAnsi="仿宋" w:eastAsia="仿宋" w:cs="仿宋"/>
          <w:sz w:val="32"/>
          <w:szCs w:val="32"/>
        </w:rPr>
        <w:t>，参加执法检查全部人员签字，加盖被检查企业公章。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、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检查小组</w:t>
      </w:r>
      <w:r>
        <w:rPr>
          <w:rFonts w:hint="eastAsia" w:ascii="仿宋" w:hAnsi="仿宋" w:eastAsia="仿宋" w:cs="仿宋"/>
          <w:sz w:val="32"/>
          <w:szCs w:val="32"/>
        </w:rPr>
        <w:t>在要求时限内完成对涉及随机抽查事项的检查、录入、公示，并将抽查工作情况汇总上报到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“双随机、一公开”监管工作领导小组办公室。</w:t>
      </w:r>
    </w:p>
    <w:p>
      <w:pPr>
        <w:wordWrap/>
        <w:adjustRightInd/>
        <w:snapToGrid/>
        <w:spacing w:line="560" w:lineRule="exact"/>
        <w:ind w:left="0" w:leftChars="0" w:right="0" w:firstLine="320" w:firstLineChars="1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（二）检查方式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1、可以采取书面检查、实地核查、网络检查等方式，也可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以依法利用其他政府部门作出的检查、核查结果或者其他专业机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构作出的专业结论。被检查对象实施现场检查一般采取信息比对、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实地核查等方式进行。</w:t>
      </w:r>
    </w:p>
    <w:p>
      <w:pPr>
        <w:numPr>
          <w:ilvl w:val="0"/>
          <w:numId w:val="1"/>
        </w:num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市场主体</w:t>
      </w:r>
      <w:r>
        <w:rPr>
          <w:rFonts w:hint="eastAsia" w:ascii="仿宋" w:hAnsi="仿宋" w:eastAsia="仿宋" w:cs="仿宋"/>
          <w:sz w:val="32"/>
          <w:szCs w:val="32"/>
        </w:rPr>
        <w:t>进行实地核查时，检查人员应当不少于 2人，并出示执法证件，检查人员应当填写检查表，并由被检查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对象</w:t>
      </w:r>
      <w:r>
        <w:rPr>
          <w:rFonts w:hint="eastAsia" w:ascii="仿宋" w:hAnsi="仿宋" w:eastAsia="仿宋" w:cs="仿宋"/>
          <w:sz w:val="32"/>
          <w:szCs w:val="32"/>
        </w:rPr>
        <w:t>法定代表人签字盖章确认；被检查对象拒绝签字的应当在检查表上如实记录。</w:t>
      </w:r>
    </w:p>
    <w:p>
      <w:pPr>
        <w:numPr>
          <w:numId w:val="0"/>
        </w:numPr>
        <w:wordWrap/>
        <w:adjustRightInd/>
        <w:snapToGrid/>
        <w:spacing w:line="560" w:lineRule="exact"/>
        <w:ind w:leftChars="20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（三）抽查结果公示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1、抽查结果公示路径。抽查检查工作结束后，应按照“谁检查、谁录入”的原则，履行审批程序后，将抽查检查结果录入河北省双随机监管工作平台向社会公示。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2、抽查结果公示时限。应在抽查检查完成之日起 5 个工作日内，将抽查检查结果录入系统并公示。已实施检查但未依法进行公示的，视为未完成抽查任务。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六、工作要求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（一）周密安排部署，认真抓好落实。参加抽查的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人员</w:t>
      </w:r>
      <w:r>
        <w:rPr>
          <w:rFonts w:hint="eastAsia" w:ascii="仿宋" w:hAnsi="仿宋" w:eastAsia="仿宋" w:cs="仿宋"/>
          <w:sz w:val="32"/>
          <w:szCs w:val="32"/>
        </w:rPr>
        <w:t>要高度重视“双随机、一公开”抽查工作，按照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县</w:t>
      </w:r>
      <w:r>
        <w:rPr>
          <w:rFonts w:hint="eastAsia" w:ascii="仿宋" w:hAnsi="仿宋" w:eastAsia="仿宋" w:cs="仿宋"/>
          <w:sz w:val="32"/>
          <w:szCs w:val="32"/>
        </w:rPr>
        <w:t>“双随机、一公开”工作领导小组办公室统一部署，积极筹划，精心组织，加强宣传，严格按要求完成检查工作。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二</w:t>
      </w:r>
      <w:r>
        <w:rPr>
          <w:rFonts w:hint="eastAsia" w:ascii="仿宋" w:hAnsi="仿宋" w:eastAsia="仿宋" w:cs="仿宋"/>
          <w:sz w:val="32"/>
          <w:szCs w:val="32"/>
        </w:rPr>
        <w:t>）抓好教育培训，保障抽查效果。要对参加执法检查的人员进行抽查前的精准培训，从能力建设方面保障抽查工作顺利进行。此类培训情况应当计入月报表上报。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三</w:t>
      </w:r>
      <w:r>
        <w:rPr>
          <w:rFonts w:hint="eastAsia" w:ascii="仿宋" w:hAnsi="仿宋" w:eastAsia="仿宋" w:cs="仿宋"/>
          <w:sz w:val="32"/>
          <w:szCs w:val="32"/>
        </w:rPr>
        <w:t>）统一监管服务，减轻企业负担。检查人员在监督检查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工作中要廉政执法，依法行政，切实增强检查活动的集约性、简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便性与有效性，避免增加企业负担。同时要增强服务意识，把上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门检查与上门服务有机结合起来，主动接受企业咨询，为企业解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疑答惑。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四</w:t>
      </w:r>
      <w:r>
        <w:rPr>
          <w:rFonts w:hint="eastAsia" w:ascii="仿宋" w:hAnsi="仿宋" w:eastAsia="仿宋" w:cs="仿宋"/>
          <w:sz w:val="32"/>
          <w:szCs w:val="32"/>
        </w:rPr>
        <w:t>）加强宣传报道，提升社会影响力。双随机抽查涉及广大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市场主体</w:t>
      </w:r>
      <w:r>
        <w:rPr>
          <w:rFonts w:hint="eastAsia" w:ascii="仿宋" w:hAnsi="仿宋" w:eastAsia="仿宋" w:cs="仿宋"/>
          <w:sz w:val="32"/>
          <w:szCs w:val="32"/>
        </w:rPr>
        <w:t>，要加强宣传报道，公开抽查依据、抽查主体、抽查内容、抽查方式、抽查结果，扩大抽查工作的社会影响力，使广大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市场主体</w:t>
      </w:r>
      <w:r>
        <w:rPr>
          <w:rFonts w:hint="eastAsia" w:ascii="仿宋" w:hAnsi="仿宋" w:eastAsia="仿宋" w:cs="仿宋"/>
          <w:sz w:val="32"/>
          <w:szCs w:val="32"/>
        </w:rPr>
        <w:t>知晓配合抽查的义务和相关权利，使社会公众了解并主动参与抽查活动，积极举报企业违法经营行为。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五</w:t>
      </w:r>
      <w:r>
        <w:rPr>
          <w:rFonts w:hint="eastAsia" w:ascii="仿宋" w:hAnsi="仿宋" w:eastAsia="仿宋" w:cs="仿宋"/>
          <w:sz w:val="32"/>
          <w:szCs w:val="32"/>
        </w:rPr>
        <w:t>）认真总结经验，及时反馈情况。参加抽查的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小组</w:t>
      </w:r>
      <w:r>
        <w:rPr>
          <w:rFonts w:hint="eastAsia" w:ascii="仿宋" w:hAnsi="仿宋" w:eastAsia="仿宋" w:cs="仿宋"/>
          <w:sz w:val="32"/>
          <w:szCs w:val="32"/>
        </w:rPr>
        <w:t>要认真发现联合抽查工作中的亮点，总结经验做法及存在的问题。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联系人：贾营 焦若婕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联系电话：6665148</w:t>
      </w: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ordWrap/>
        <w:adjustRightInd/>
        <w:snapToGrid/>
        <w:spacing w:line="560" w:lineRule="exact"/>
        <w:ind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</w:t>
      </w:r>
    </w:p>
    <w:sectPr>
      <w:pgSz w:w="11906" w:h="16838"/>
      <w:pgMar w:top="2041" w:right="1474" w:bottom="1474" w:left="1474" w:header="851" w:footer="992" w:gutter="0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Yu Gothic Light">
    <w:panose1 w:val="020B0300000000000000"/>
    <w:charset w:val="80"/>
    <w:family w:val="auto"/>
    <w:pitch w:val="default"/>
    <w:sig w:usb0="E00002FF" w:usb1="2AC7FDFF" w:usb2="00000016" w:usb3="00000000" w:csb0="2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75145188">
    <w:nsid w:val="63D8AFE4"/>
    <w:multiLevelType w:val="singleLevel"/>
    <w:tmpl w:val="63D8AFE4"/>
    <w:lvl w:ilvl="0" w:tentative="1">
      <w:start w:val="2"/>
      <w:numFmt w:val="decimal"/>
      <w:suff w:val="nothing"/>
      <w:lvlText w:val="%1、"/>
      <w:lvlJc w:val="left"/>
    </w:lvl>
  </w:abstractNum>
  <w:num w:numId="1">
    <w:abstractNumId w:val="167514518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</w:compat>
  <w:rsids>
    <w:rsidRoot w:val="070A2648"/>
    <w:rsid w:val="00695DAC"/>
    <w:rsid w:val="018A6CC5"/>
    <w:rsid w:val="020D1897"/>
    <w:rsid w:val="0526084B"/>
    <w:rsid w:val="06FD0395"/>
    <w:rsid w:val="070A2648"/>
    <w:rsid w:val="094C0C25"/>
    <w:rsid w:val="0A7D20EC"/>
    <w:rsid w:val="0AAD2E6E"/>
    <w:rsid w:val="0C3257EE"/>
    <w:rsid w:val="0E7D5A84"/>
    <w:rsid w:val="0E806A6F"/>
    <w:rsid w:val="0EC43C04"/>
    <w:rsid w:val="10AF0D88"/>
    <w:rsid w:val="10C041EF"/>
    <w:rsid w:val="115B7EC2"/>
    <w:rsid w:val="14774E15"/>
    <w:rsid w:val="14C02C0C"/>
    <w:rsid w:val="162E2DF6"/>
    <w:rsid w:val="1778635C"/>
    <w:rsid w:val="19141FDC"/>
    <w:rsid w:val="1A92007D"/>
    <w:rsid w:val="1A9E5B85"/>
    <w:rsid w:val="1B844D05"/>
    <w:rsid w:val="1BE92B25"/>
    <w:rsid w:val="1DA617C9"/>
    <w:rsid w:val="1E485583"/>
    <w:rsid w:val="20166EA7"/>
    <w:rsid w:val="211C08B8"/>
    <w:rsid w:val="21771470"/>
    <w:rsid w:val="226138D2"/>
    <w:rsid w:val="284027D6"/>
    <w:rsid w:val="29584DA9"/>
    <w:rsid w:val="2A110E94"/>
    <w:rsid w:val="2BFC3ACE"/>
    <w:rsid w:val="2C0C6430"/>
    <w:rsid w:val="2C90712B"/>
    <w:rsid w:val="2D701AD8"/>
    <w:rsid w:val="2E2038FD"/>
    <w:rsid w:val="30141931"/>
    <w:rsid w:val="30665146"/>
    <w:rsid w:val="318544C7"/>
    <w:rsid w:val="32531573"/>
    <w:rsid w:val="34785FA8"/>
    <w:rsid w:val="35F63E8A"/>
    <w:rsid w:val="37262496"/>
    <w:rsid w:val="374658A4"/>
    <w:rsid w:val="37BF479B"/>
    <w:rsid w:val="388D2228"/>
    <w:rsid w:val="38A10CD6"/>
    <w:rsid w:val="3B55043C"/>
    <w:rsid w:val="3BE53481"/>
    <w:rsid w:val="3C040362"/>
    <w:rsid w:val="3F1A1B7F"/>
    <w:rsid w:val="42BB4DC8"/>
    <w:rsid w:val="43852232"/>
    <w:rsid w:val="44360C07"/>
    <w:rsid w:val="44C2251C"/>
    <w:rsid w:val="45B566B5"/>
    <w:rsid w:val="46030169"/>
    <w:rsid w:val="460A2669"/>
    <w:rsid w:val="46415848"/>
    <w:rsid w:val="4657752D"/>
    <w:rsid w:val="465D3D14"/>
    <w:rsid w:val="48A30C2C"/>
    <w:rsid w:val="48BD3AE1"/>
    <w:rsid w:val="4E915998"/>
    <w:rsid w:val="4ED139E1"/>
    <w:rsid w:val="4EE94FA6"/>
    <w:rsid w:val="4FD32BD2"/>
    <w:rsid w:val="505A12BE"/>
    <w:rsid w:val="51E96E45"/>
    <w:rsid w:val="52F04258"/>
    <w:rsid w:val="5323174F"/>
    <w:rsid w:val="53E26BA7"/>
    <w:rsid w:val="56AF6DD1"/>
    <w:rsid w:val="579350E7"/>
    <w:rsid w:val="57B97E99"/>
    <w:rsid w:val="597108E2"/>
    <w:rsid w:val="59800830"/>
    <w:rsid w:val="5C576F84"/>
    <w:rsid w:val="5DDF1842"/>
    <w:rsid w:val="5EC55F7E"/>
    <w:rsid w:val="60C61462"/>
    <w:rsid w:val="61BA0663"/>
    <w:rsid w:val="62C50706"/>
    <w:rsid w:val="63536E43"/>
    <w:rsid w:val="63CF032A"/>
    <w:rsid w:val="667127B1"/>
    <w:rsid w:val="676F146B"/>
    <w:rsid w:val="697902CD"/>
    <w:rsid w:val="699A3BB9"/>
    <w:rsid w:val="6B1C06BF"/>
    <w:rsid w:val="6B351C2D"/>
    <w:rsid w:val="6C8B6A4A"/>
    <w:rsid w:val="6DA12139"/>
    <w:rsid w:val="6EC3496E"/>
    <w:rsid w:val="6EFD4E4D"/>
    <w:rsid w:val="6F31444D"/>
    <w:rsid w:val="70283025"/>
    <w:rsid w:val="715B45F5"/>
    <w:rsid w:val="71D76F17"/>
    <w:rsid w:val="72DA405A"/>
    <w:rsid w:val="746B013A"/>
    <w:rsid w:val="748C4F5A"/>
    <w:rsid w:val="74DF00B0"/>
    <w:rsid w:val="750B4E70"/>
    <w:rsid w:val="75F763E9"/>
    <w:rsid w:val="771A05FA"/>
    <w:rsid w:val="775F5DBF"/>
    <w:rsid w:val="777E66BB"/>
    <w:rsid w:val="779D4414"/>
    <w:rsid w:val="79276E64"/>
    <w:rsid w:val="793E21B6"/>
    <w:rsid w:val="79573712"/>
    <w:rsid w:val="7B5C32A5"/>
    <w:rsid w:val="7B8F7F7C"/>
    <w:rsid w:val="7DAB60FA"/>
    <w:rsid w:val="7FD73445"/>
  </w:rsids>
  <w:uiCompat97To2003/>
  <w:shapeDefaults>
    <o:shapedefaults fillcolor="#9CBEE0" fill="t" stroke="t">
      <v:fill type="gradient" on="t" color2="#BBD5F0" focus="0%" focussize="0f,0f" focusposition="0f,0f">
        <o:fill type="gradientUnscaled" v:ext="backwardCompatible"/>
      </v:fill>
      <v:stroke weight="1.25pt" color="#739CC3" color2="#FFFFFF" miterlimit="2"/>
    </o:shapedefaults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  <w:lang w:val="en-US" w:eastAsia="zh-CN" w:bidi="ar-SA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Style w:val="3"/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fontTable.xml" Type="http://schemas.openxmlformats.org/officeDocument/2006/relationships/fontTable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theme/theme1.xml" Type="http://schemas.openxmlformats.org/officeDocument/2006/relationships/theme"/><Relationship Id="rId5" Target="../customXml/item1.xml" Type="http://schemas.openxmlformats.org/officeDocument/2006/relationships/customXml"/><Relationship Id="rId6" Target="numbering.xml" Type="http://schemas.openxmlformats.org/officeDocument/2006/relationships/numberi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Office_9.1.0.5087_{F1E327BC-269C-435d-A152-05C5408002CA}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2020-06-24T02:49:00Z</dcterms:created>
  <dc:creator>Dell</dc:creator>
  <cp:lastModifiedBy>Dell</cp:lastModifiedBy>
  <cp:lastPrinted>2023-01-31T06:01:00Z</cp:lastPrinted>
  <dcterms:modified xsi:type="dcterms:W3CDTF">2023-01-31T06:07:26Z</dcterms:modified>
  <dc:title>隆尧县司法局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2052-9.1.0.5087</vt:lpwstr>
  </property>
  <property fmtid="{D5CDD505-2E9C-101B-9397-08002B2CF9AE}" pid="3" name="ICV">
    <vt:lpwstr>F3723054BEC84F0A96FB06369ACA5254</vt:lpwstr>
  </property>
</Properties>
</file>