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_GBK" w:hAnsi="Times New Roman" w:cs="Times New Roman"/>
          <w:bCs/>
          <w:sz w:val="44"/>
          <w:szCs w:val="44"/>
        </w:rPr>
      </w:pPr>
      <w:r>
        <w:rPr>
          <w:rFonts w:ascii="?????_GBK" w:hAnsi="Times New Roman" w:eastAsia="Times New Roman" w:cs="Times New Roman"/>
          <w:bCs/>
          <w:sz w:val="44"/>
          <w:szCs w:val="44"/>
        </w:rPr>
        <w:t>隆尧县医疗保障局</w:t>
      </w:r>
    </w:p>
    <w:p>
      <w:pPr>
        <w:adjustRightInd w:val="0"/>
        <w:snapToGrid w:val="0"/>
        <w:jc w:val="center"/>
        <w:rPr>
          <w:rFonts w:ascii="?????_GBK" w:hAnsi="Times New Roman" w:eastAsia="Times New Roman" w:cs="Times New Roman"/>
          <w:bCs/>
          <w:sz w:val="44"/>
          <w:szCs w:val="44"/>
        </w:rPr>
      </w:pPr>
      <w:r>
        <w:rPr>
          <w:rFonts w:hint="eastAsia" w:ascii="宋体" w:hAnsi="宋体" w:cs="Times New Roman"/>
          <w:bCs/>
          <w:sz w:val="44"/>
          <w:szCs w:val="44"/>
          <w:lang w:val="en-US" w:eastAsia="zh-CN"/>
        </w:rPr>
        <w:t>2021</w:t>
      </w:r>
      <w:r>
        <w:rPr>
          <w:rFonts w:ascii="?????_GBK" w:hAnsi="Times New Roman" w:eastAsia="Times New Roman"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按照《预算法》、《地方预决算公开操作规程》和隆财预</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号文件规定，现将隆尧县医疗保障局</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sz w:val="32"/>
        </w:rPr>
      </w:pPr>
      <w:r>
        <w:rPr>
          <w:rFonts w:hint="eastAsia" w:ascii="仿宋" w:hAnsi="仿宋" w:eastAsia="仿宋" w:cs="Times New Roman"/>
          <w:b/>
          <w:sz w:val="32"/>
          <w:szCs w:val="32"/>
        </w:rPr>
        <w:t>部门职责：</w:t>
      </w:r>
      <w:r>
        <w:rPr>
          <w:rFonts w:hint="eastAsia" w:ascii="仿宋" w:hAnsi="仿宋" w:eastAsia="仿宋"/>
          <w:sz w:val="32"/>
        </w:rPr>
        <w:t>认真贯彻并组织实施全县的城镇医疗保险、城乡居民医疗保险、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pPr>
        <w:ind w:firstLine="640"/>
        <w:rPr>
          <w:rFonts w:ascii="仿宋" w:hAnsi="仿宋" w:eastAsia="仿宋"/>
          <w:sz w:val="32"/>
        </w:rPr>
      </w:pPr>
      <w:r>
        <w:rPr>
          <w:rFonts w:hint="eastAsia" w:ascii="仿宋" w:hAnsi="仿宋" w:eastAsia="仿宋"/>
          <w:sz w:val="32"/>
        </w:rPr>
        <w:t>（一）贯彻执行省、市城镇职工和城乡居民医疗保险、生育保险、医疗救助等医疗保障法规、规章、政策、制度、规划和标准。负责拟订全县医疗保障政策、制度、规划和标准，并组织实施。</w:t>
      </w:r>
    </w:p>
    <w:p>
      <w:pPr>
        <w:rPr>
          <w:rFonts w:ascii="仿宋" w:hAnsi="仿宋" w:eastAsia="仿宋"/>
          <w:sz w:val="32"/>
        </w:rPr>
      </w:pPr>
      <w:r>
        <w:rPr>
          <w:rFonts w:ascii="仿宋" w:hAnsi="仿宋" w:eastAsia="仿宋"/>
          <w:sz w:val="32"/>
        </w:rPr>
        <w:t xml:space="preserve">   </w:t>
      </w:r>
      <w:r>
        <w:rPr>
          <w:rFonts w:hint="eastAsia" w:ascii="仿宋" w:hAnsi="仿宋" w:eastAsia="仿宋"/>
          <w:sz w:val="32"/>
        </w:rPr>
        <w:t>（二）拟订完善全县医疗保障基金监督管理办法，建立健全医疗保障基金安全防控机制，组织建设智能监控平台，推进医疗保障基金支付方式改革，并组织实施。</w:t>
      </w:r>
    </w:p>
    <w:p>
      <w:pPr>
        <w:ind w:firstLine="640"/>
        <w:rPr>
          <w:rFonts w:ascii="仿宋" w:hAnsi="仿宋" w:eastAsia="仿宋"/>
          <w:sz w:val="32"/>
        </w:rPr>
      </w:pPr>
      <w:r>
        <w:rPr>
          <w:rFonts w:hint="eastAsia" w:ascii="仿宋" w:hAnsi="仿宋" w:eastAsia="仿宋"/>
          <w:sz w:val="32"/>
        </w:rPr>
        <w:t>（三）组织制定全县城镇职工、城乡居民参保筹资和保障待遇政策，统筹城乡医疗保障政策标准，建立健全与筹资水平相适应的待遇调整机制，拟订长期护理保险制度方案及政策标准并组织实施。</w:t>
      </w:r>
    </w:p>
    <w:p>
      <w:pPr>
        <w:tabs>
          <w:tab w:val="left" w:pos="630"/>
        </w:tabs>
        <w:rPr>
          <w:rFonts w:ascii="仿宋" w:hAnsi="仿宋" w:eastAsia="仿宋"/>
          <w:sz w:val="32"/>
        </w:rPr>
      </w:pPr>
      <w:r>
        <w:rPr>
          <w:rFonts w:ascii="仿宋" w:hAnsi="仿宋" w:eastAsia="仿宋"/>
          <w:sz w:val="32"/>
        </w:rPr>
        <w:tab/>
      </w:r>
      <w:r>
        <w:rPr>
          <w:rFonts w:hint="eastAsia" w:ascii="仿宋" w:hAnsi="仿宋" w:eastAsia="仿宋"/>
          <w:sz w:val="32"/>
        </w:rPr>
        <w:t>（四）贯彻落实省、市城乡统一的药品、医用耗材、医疗服务项目、医疗服务设施等医保目录和支付标准，以及相关动态调整机制，贯彻执行医保目录准入谈判规则。</w:t>
      </w:r>
    </w:p>
    <w:p>
      <w:pPr>
        <w:tabs>
          <w:tab w:val="left" w:pos="630"/>
        </w:tabs>
        <w:rPr>
          <w:rFonts w:ascii="仿宋" w:hAnsi="仿宋" w:eastAsia="仿宋"/>
          <w:sz w:val="32"/>
        </w:rPr>
      </w:pPr>
      <w:r>
        <w:rPr>
          <w:rFonts w:ascii="仿宋" w:hAnsi="仿宋" w:eastAsia="仿宋"/>
          <w:sz w:val="32"/>
        </w:rPr>
        <w:tab/>
      </w:r>
      <w:r>
        <w:rPr>
          <w:rFonts w:hint="eastAsia" w:ascii="仿宋" w:hAnsi="仿宋" w:eastAsia="仿宋"/>
          <w:sz w:val="32"/>
        </w:rP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pPr>
        <w:ind w:firstLine="640"/>
        <w:rPr>
          <w:rFonts w:ascii="仿宋" w:hAnsi="仿宋" w:eastAsia="仿宋"/>
          <w:sz w:val="32"/>
        </w:rPr>
      </w:pPr>
      <w:r>
        <w:rPr>
          <w:rFonts w:hint="eastAsia" w:ascii="仿宋" w:hAnsi="仿宋" w:eastAsia="仿宋"/>
          <w:sz w:val="32"/>
        </w:rPr>
        <w:t>（六）贯彻落实省、市药品、医用耗材的招标采购政策，做好药品、医用耗材招标采购平台有关工作。</w:t>
      </w:r>
    </w:p>
    <w:p>
      <w:pPr>
        <w:tabs>
          <w:tab w:val="left" w:pos="615"/>
        </w:tabs>
        <w:rPr>
          <w:rFonts w:ascii="仿宋" w:hAnsi="仿宋" w:eastAsia="仿宋"/>
          <w:sz w:val="32"/>
        </w:rPr>
      </w:pPr>
      <w:r>
        <w:rPr>
          <w:rFonts w:ascii="仿宋" w:hAnsi="仿宋" w:eastAsia="仿宋"/>
          <w:sz w:val="32"/>
        </w:rPr>
        <w:tab/>
      </w:r>
      <w:r>
        <w:rPr>
          <w:rFonts w:hint="eastAsia" w:ascii="仿宋" w:hAnsi="仿宋" w:eastAsia="仿宋"/>
          <w:sz w:val="32"/>
        </w:rP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pPr>
        <w:tabs>
          <w:tab w:val="left" w:pos="615"/>
        </w:tabs>
        <w:rPr>
          <w:rFonts w:ascii="仿宋" w:hAnsi="仿宋" w:eastAsia="仿宋"/>
          <w:sz w:val="32"/>
        </w:rPr>
      </w:pPr>
      <w:r>
        <w:rPr>
          <w:rFonts w:ascii="仿宋" w:hAnsi="仿宋" w:eastAsia="仿宋"/>
          <w:sz w:val="32"/>
        </w:rPr>
        <w:tab/>
      </w:r>
      <w:r>
        <w:rPr>
          <w:rFonts w:ascii="仿宋" w:hAnsi="仿宋" w:eastAsia="仿宋"/>
          <w:sz w:val="32"/>
        </w:rPr>
        <w:t>(</w:t>
      </w:r>
      <w:r>
        <w:rPr>
          <w:rFonts w:hint="eastAsia" w:ascii="仿宋" w:hAnsi="仿宋" w:eastAsia="仿宋"/>
          <w:sz w:val="32"/>
        </w:rPr>
        <w:t>八</w:t>
      </w:r>
      <w:r>
        <w:rPr>
          <w:rFonts w:ascii="仿宋" w:hAnsi="仿宋" w:eastAsia="仿宋"/>
          <w:sz w:val="32"/>
        </w:rPr>
        <w:t>)</w:t>
      </w:r>
      <w:r>
        <w:rPr>
          <w:rFonts w:hint="eastAsia" w:ascii="仿宋" w:hAnsi="仿宋" w:eastAsia="仿宋"/>
          <w:sz w:val="32"/>
        </w:rPr>
        <w:t>负责医疗保障经办管理、公共服务体系和信息化建设。贯彻落实省、市异地就医管理和费用结算政策。贯彻落实医疗保障关系转移接续制度。</w:t>
      </w:r>
    </w:p>
    <w:p>
      <w:pPr>
        <w:ind w:firstLine="640"/>
        <w:rPr>
          <w:rFonts w:ascii="仿宋" w:hAnsi="仿宋" w:eastAsia="仿宋"/>
          <w:sz w:val="32"/>
        </w:rPr>
      </w:pPr>
      <w:r>
        <w:rPr>
          <w:rFonts w:ascii="仿宋" w:hAnsi="仿宋" w:eastAsia="仿宋"/>
          <w:sz w:val="32"/>
        </w:rPr>
        <w:t>(</w:t>
      </w:r>
      <w:r>
        <w:rPr>
          <w:rFonts w:hint="eastAsia" w:ascii="仿宋" w:hAnsi="仿宋" w:eastAsia="仿宋"/>
          <w:sz w:val="32"/>
        </w:rPr>
        <w:t>九</w:t>
      </w:r>
      <w:r>
        <w:rPr>
          <w:rFonts w:ascii="仿宋" w:hAnsi="仿宋" w:eastAsia="仿宋"/>
          <w:sz w:val="32"/>
        </w:rPr>
        <w:t>)</w:t>
      </w:r>
      <w:r>
        <w:rPr>
          <w:rFonts w:hint="eastAsia" w:ascii="仿宋" w:hAnsi="仿宋" w:eastAsia="仿宋"/>
          <w:sz w:val="32"/>
        </w:rPr>
        <w:t>完成县委、县政府交办的其他任务。</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cs="Times New Roman"/>
          <w:sz w:val="32"/>
          <w:szCs w:val="24"/>
        </w:rPr>
      </w:pPr>
      <w:r>
        <w:rPr>
          <w:rFonts w:hint="eastAsia" w:ascii="Times New Roman" w:hAnsi="Times New Roman" w:cs="Times New Roman"/>
          <w:sz w:val="32"/>
          <w:szCs w:val="24"/>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cs="Times New Roman"/>
                <w:b/>
                <w:szCs w:val="24"/>
              </w:rPr>
            </w:pPr>
            <w:r>
              <w:rPr>
                <w:rFonts w:hint="eastAsia" w:ascii="Times New Roman" w:hAnsi="Times New Roman" w:cs="Times New Roman"/>
                <w:b/>
                <w:szCs w:val="24"/>
              </w:rPr>
              <w:t>名称</w:t>
            </w:r>
          </w:p>
        </w:tc>
        <w:tc>
          <w:tcPr>
            <w:tcW w:w="1134" w:type="dxa"/>
            <w:vMerge w:val="restart"/>
            <w:vAlign w:val="center"/>
          </w:tcPr>
          <w:p>
            <w:pPr>
              <w:spacing w:line="300" w:lineRule="exact"/>
              <w:jc w:val="center"/>
              <w:rPr>
                <w:rFonts w:ascii="Times New Roman" w:hAnsi="Times New Roman" w:cs="Times New Roman"/>
                <w:b/>
                <w:szCs w:val="24"/>
              </w:rPr>
            </w:pPr>
            <w:r>
              <w:rPr>
                <w:rFonts w:hint="eastAsia" w:ascii="Times New Roman" w:hAnsi="Times New Roman" w:cs="Times New Roman"/>
                <w:b/>
                <w:szCs w:val="24"/>
              </w:rPr>
              <w:t>单位性质</w:t>
            </w:r>
          </w:p>
        </w:tc>
        <w:tc>
          <w:tcPr>
            <w:tcW w:w="1276" w:type="dxa"/>
            <w:vMerge w:val="restart"/>
            <w:vAlign w:val="center"/>
          </w:tcPr>
          <w:p>
            <w:pPr>
              <w:spacing w:line="300" w:lineRule="exact"/>
              <w:jc w:val="center"/>
              <w:rPr>
                <w:rFonts w:ascii="Times New Roman" w:hAnsi="Times New Roman" w:cs="Times New Roman"/>
                <w:b/>
                <w:szCs w:val="24"/>
              </w:rPr>
            </w:pPr>
            <w:r>
              <w:rPr>
                <w:rFonts w:hint="eastAsia" w:ascii="Times New Roman" w:hAnsi="Times New Roman" w:cs="Times New Roman"/>
                <w:b/>
                <w:szCs w:val="24"/>
              </w:rPr>
              <w:t>单位规格</w:t>
            </w:r>
          </w:p>
        </w:tc>
        <w:tc>
          <w:tcPr>
            <w:tcW w:w="2902" w:type="dxa"/>
            <w:vMerge w:val="restart"/>
            <w:vAlign w:val="center"/>
          </w:tcPr>
          <w:p>
            <w:pPr>
              <w:spacing w:line="300" w:lineRule="exact"/>
              <w:jc w:val="center"/>
              <w:rPr>
                <w:rFonts w:ascii="Times New Roman" w:hAnsi="Times New Roman" w:cs="Times New Roman"/>
                <w:b/>
                <w:szCs w:val="24"/>
              </w:rPr>
            </w:pPr>
            <w:r>
              <w:rPr>
                <w:rFonts w:hint="eastAsia" w:ascii="Times New Roman" w:hAnsi="Times New Roman"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cs="Times New Roman"/>
                <w:szCs w:val="24"/>
              </w:rPr>
            </w:pPr>
            <w:r>
              <w:rPr>
                <w:rFonts w:ascii="????_GBK" w:eastAsia="Times New Roman"/>
              </w:rPr>
              <w:t>综合办公室</w:t>
            </w:r>
          </w:p>
        </w:tc>
        <w:tc>
          <w:tcPr>
            <w:tcW w:w="1134" w:type="dxa"/>
            <w:vAlign w:val="center"/>
          </w:tcPr>
          <w:p>
            <w:pPr>
              <w:spacing w:line="300" w:lineRule="exact"/>
              <w:jc w:val="center"/>
              <w:rPr>
                <w:rFonts w:ascii="Times New Roman" w:hAnsi="Times New Roman" w:cs="Times New Roman"/>
                <w:szCs w:val="24"/>
              </w:rPr>
            </w:pPr>
            <w:r>
              <w:rPr>
                <w:rFonts w:ascii="????_GBK" w:eastAsia="Times New Roman"/>
              </w:rPr>
              <w:t>行政</w:t>
            </w:r>
          </w:p>
        </w:tc>
        <w:tc>
          <w:tcPr>
            <w:tcW w:w="1276" w:type="dxa"/>
            <w:vAlign w:val="center"/>
          </w:tcPr>
          <w:p>
            <w:pPr>
              <w:spacing w:line="300" w:lineRule="exact"/>
              <w:jc w:val="center"/>
              <w:rPr>
                <w:rFonts w:ascii="Times New Roman" w:hAnsi="Times New Roman" w:cs="Times New Roman"/>
                <w:szCs w:val="24"/>
              </w:rPr>
            </w:pPr>
            <w:r>
              <w:rPr>
                <w:rFonts w:ascii="????_GBK" w:eastAsia="Times New Roman"/>
              </w:rPr>
              <w:t>股级</w:t>
            </w:r>
          </w:p>
        </w:tc>
        <w:tc>
          <w:tcPr>
            <w:tcW w:w="2902" w:type="dxa"/>
            <w:vAlign w:val="center"/>
          </w:tcPr>
          <w:p>
            <w:pPr>
              <w:spacing w:line="300" w:lineRule="exact"/>
              <w:jc w:val="center"/>
              <w:rPr>
                <w:rFonts w:ascii="Times New Roman" w:hAnsi="Times New Roman" w:cs="Times New Roman"/>
                <w:szCs w:val="24"/>
              </w:rPr>
            </w:pPr>
            <w:r>
              <w:rPr>
                <w:rFonts w:ascii="????_GBK" w:eastAsia="Times New Roma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cs="Times New Roman"/>
                <w:szCs w:val="24"/>
              </w:rPr>
            </w:pPr>
            <w:r>
              <w:rPr>
                <w:rFonts w:ascii="????_GBK" w:eastAsia="Times New Roman"/>
              </w:rPr>
              <w:t>基金监管股</w:t>
            </w:r>
          </w:p>
        </w:tc>
        <w:tc>
          <w:tcPr>
            <w:tcW w:w="1134" w:type="dxa"/>
            <w:vAlign w:val="center"/>
          </w:tcPr>
          <w:p>
            <w:pPr>
              <w:spacing w:line="300" w:lineRule="exact"/>
              <w:jc w:val="center"/>
              <w:rPr>
                <w:rFonts w:ascii="Times New Roman" w:hAnsi="Times New Roman" w:cs="Times New Roman"/>
                <w:szCs w:val="24"/>
              </w:rPr>
            </w:pPr>
            <w:r>
              <w:rPr>
                <w:rFonts w:ascii="????_GBK" w:eastAsia="Times New Roman"/>
              </w:rPr>
              <w:t>行政</w:t>
            </w:r>
          </w:p>
        </w:tc>
        <w:tc>
          <w:tcPr>
            <w:tcW w:w="1276" w:type="dxa"/>
            <w:vAlign w:val="center"/>
          </w:tcPr>
          <w:p>
            <w:pPr>
              <w:spacing w:line="300" w:lineRule="exact"/>
              <w:jc w:val="center"/>
              <w:rPr>
                <w:rFonts w:ascii="Times New Roman" w:hAnsi="Times New Roman" w:cs="Times New Roman"/>
                <w:szCs w:val="24"/>
              </w:rPr>
            </w:pPr>
            <w:r>
              <w:rPr>
                <w:rFonts w:ascii="????_GBK" w:eastAsia="Times New Roman"/>
              </w:rPr>
              <w:t>股级</w:t>
            </w:r>
          </w:p>
        </w:tc>
        <w:tc>
          <w:tcPr>
            <w:tcW w:w="2902" w:type="dxa"/>
            <w:vAlign w:val="center"/>
          </w:tcPr>
          <w:p>
            <w:pPr>
              <w:spacing w:line="300" w:lineRule="exact"/>
              <w:jc w:val="center"/>
              <w:rPr>
                <w:rFonts w:ascii="Times New Roman" w:hAnsi="Times New Roman" w:cs="Times New Roman"/>
                <w:szCs w:val="24"/>
              </w:rPr>
            </w:pPr>
            <w:r>
              <w:rPr>
                <w:rFonts w:ascii="????_GBK" w:eastAsia="Times New Roman"/>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按照预算管理有关规定，目前我县部门预算的编制实行综合预算管理，即全部收入和支出都反映的预算中。隆尧县医疗保障局的收支包含在部门预算中。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7432.1238</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7432.1238</w:t>
      </w:r>
      <w:r>
        <w:rPr>
          <w:rFonts w:hint="eastAsia" w:ascii="Times New Roman" w:hAnsi="Times New Roman" w:eastAsia="仿宋" w:cs="Times New Roman"/>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w:t>
      </w:r>
      <w:r>
        <w:rPr>
          <w:rStyle w:val="15"/>
          <w:rFonts w:hint="eastAsia" w:ascii="仿宋" w:hAnsi="仿宋" w:eastAsia="仿宋"/>
          <w:sz w:val="32"/>
          <w:szCs w:val="32"/>
        </w:rPr>
        <w:t>类和支出功能分类科目编制，反映隆尧县医疗保障局</w:t>
      </w:r>
      <w:r>
        <w:rPr>
          <w:rFonts w:hint="eastAsia" w:ascii="Times New Roman" w:hAnsi="Times New Roman" w:eastAsia="仿宋" w:cs="Times New Roman"/>
          <w:sz w:val="32"/>
          <w:szCs w:val="32"/>
        </w:rPr>
        <w:t>年度部门预算中支出预算的总体情况。</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w:t>
      </w:r>
      <w:r>
        <w:rPr>
          <w:rFonts w:ascii="Times New Roman" w:hAnsi="Times New Roman" w:eastAsia="仿宋" w:cs="Times New Roman"/>
          <w:sz w:val="32"/>
          <w:szCs w:val="32"/>
        </w:rPr>
        <w:t>29786.48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176.0747</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157.9</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18.1747</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7256.0491</w:t>
      </w:r>
      <w:r>
        <w:rPr>
          <w:rFonts w:hint="eastAsia" w:ascii="Times New Roman" w:hAnsi="Times New Roman" w:eastAsia="仿宋" w:cs="Times New Roman"/>
          <w:sz w:val="32"/>
          <w:szCs w:val="32"/>
        </w:rPr>
        <w:t>万元：</w:t>
      </w:r>
      <w:r>
        <w:rPr>
          <w:rFonts w:hint="eastAsia" w:ascii="仿宋" w:hAnsi="仿宋" w:eastAsia="仿宋" w:cs="Times New Roman"/>
          <w:sz w:val="32"/>
          <w:szCs w:val="32"/>
        </w:rPr>
        <w:t>主要是</w:t>
      </w:r>
      <w:r>
        <w:rPr>
          <w:rFonts w:hint="eastAsia" w:ascii="仿宋" w:hAnsi="仿宋" w:eastAsia="仿宋" w:cs="????_GBK"/>
          <w:sz w:val="32"/>
          <w:szCs w:val="32"/>
        </w:rPr>
        <w:t>城乡居民基本医疗保险护理县配套</w:t>
      </w:r>
      <w:r>
        <w:rPr>
          <w:rFonts w:hint="eastAsia" w:ascii="仿宋" w:hAnsi="仿宋" w:eastAsia="仿宋" w:cs="Times New Roman"/>
          <w:sz w:val="32"/>
          <w:szCs w:val="32"/>
        </w:rPr>
        <w:t>支出</w:t>
      </w:r>
      <w:r>
        <w:rPr>
          <w:rFonts w:hint="eastAsia" w:ascii="仿宋" w:hAnsi="仿宋" w:eastAsia="仿宋" w:cs="Times New Roman"/>
          <w:sz w:val="32"/>
          <w:szCs w:val="32"/>
          <w:lang w:val="en-US" w:eastAsia="zh-CN"/>
        </w:rPr>
        <w:t>351.4</w:t>
      </w:r>
      <w:r>
        <w:rPr>
          <w:rFonts w:hint="eastAsia" w:ascii="仿宋" w:hAnsi="仿宋" w:eastAsia="仿宋" w:cs="Times New Roman"/>
          <w:sz w:val="32"/>
          <w:szCs w:val="32"/>
        </w:rPr>
        <w:t>万元；</w:t>
      </w:r>
      <w:r>
        <w:rPr>
          <w:rFonts w:hint="eastAsia" w:ascii="仿宋" w:hAnsi="仿宋" w:eastAsia="仿宋" w:cs="????_GBK"/>
          <w:sz w:val="32"/>
          <w:szCs w:val="32"/>
        </w:rPr>
        <w:t>城乡居民基本医疗保险经费</w:t>
      </w:r>
      <w:r>
        <w:rPr>
          <w:rFonts w:hint="eastAsia" w:ascii="仿宋" w:hAnsi="仿宋" w:eastAsia="仿宋" w:cs="Times New Roman"/>
          <w:sz w:val="32"/>
          <w:szCs w:val="32"/>
        </w:rPr>
        <w:t>支出</w:t>
      </w:r>
      <w:r>
        <w:rPr>
          <w:rFonts w:ascii="仿宋" w:hAnsi="仿宋" w:eastAsia="仿宋" w:cs="Times New Roman"/>
          <w:sz w:val="32"/>
          <w:szCs w:val="32"/>
        </w:rPr>
        <w:t>64</w:t>
      </w:r>
      <w:r>
        <w:rPr>
          <w:rFonts w:hint="eastAsia" w:ascii="仿宋" w:hAnsi="仿宋" w:eastAsia="仿宋" w:cs="Times New Roman"/>
          <w:sz w:val="32"/>
          <w:szCs w:val="32"/>
        </w:rPr>
        <w:t>万元；</w:t>
      </w:r>
      <w:r>
        <w:rPr>
          <w:rFonts w:hint="eastAsia" w:ascii="仿宋" w:hAnsi="仿宋" w:eastAsia="仿宋" w:cs="????_GBK"/>
          <w:sz w:val="32"/>
          <w:szCs w:val="32"/>
        </w:rPr>
        <w:t>城乡居民基本医疗保险县配套支出</w:t>
      </w:r>
      <w:r>
        <w:rPr>
          <w:rFonts w:hint="eastAsia" w:ascii="仿宋" w:hAnsi="仿宋" w:eastAsia="仿宋" w:cs="Times New Roman"/>
          <w:sz w:val="32"/>
          <w:szCs w:val="32"/>
          <w:lang w:val="en-US" w:eastAsia="zh-CN"/>
        </w:rPr>
        <w:t>5823.2</w:t>
      </w:r>
      <w:r>
        <w:rPr>
          <w:rFonts w:hint="eastAsia" w:ascii="仿宋" w:hAnsi="仿宋" w:eastAsia="仿宋" w:cs="Times New Roman"/>
          <w:sz w:val="32"/>
          <w:szCs w:val="32"/>
        </w:rPr>
        <w:t>万元；</w:t>
      </w:r>
      <w:r>
        <w:rPr>
          <w:rFonts w:hint="eastAsia" w:ascii="仿宋" w:hAnsi="仿宋" w:eastAsia="仿宋" w:cs="????_GBK"/>
          <w:sz w:val="32"/>
          <w:szCs w:val="32"/>
        </w:rPr>
        <w:t>城乡医疗保障救助县配套（建档立卡户</w:t>
      </w:r>
      <w:r>
        <w:rPr>
          <w:rFonts w:ascii="仿宋" w:hAnsi="仿宋" w:eastAsia="仿宋" w:cs="????_GBK"/>
          <w:sz w:val="32"/>
          <w:szCs w:val="32"/>
        </w:rPr>
        <w:t>8</w:t>
      </w:r>
      <w:r>
        <w:rPr>
          <w:rFonts w:hint="eastAsia" w:ascii="仿宋" w:hAnsi="仿宋" w:eastAsia="仿宋" w:cs="????_GBK"/>
          <w:sz w:val="32"/>
          <w:szCs w:val="32"/>
          <w:lang w:val="en-US" w:eastAsia="zh-CN"/>
        </w:rPr>
        <w:t>369</w:t>
      </w:r>
      <w:r>
        <w:rPr>
          <w:rFonts w:hint="eastAsia" w:ascii="仿宋" w:hAnsi="仿宋" w:eastAsia="仿宋" w:cs="????_GBK"/>
          <w:sz w:val="32"/>
          <w:szCs w:val="32"/>
        </w:rPr>
        <w:t>人，免医疗</w:t>
      </w:r>
      <w:r>
        <w:rPr>
          <w:rFonts w:hint="eastAsia" w:ascii="仿宋" w:hAnsi="仿宋" w:eastAsia="仿宋" w:cs="????_GBK"/>
          <w:sz w:val="32"/>
          <w:szCs w:val="32"/>
          <w:lang w:val="en-US" w:eastAsia="zh-CN"/>
        </w:rPr>
        <w:t>283</w:t>
      </w:r>
      <w:r>
        <w:rPr>
          <w:rFonts w:hint="eastAsia" w:ascii="仿宋" w:hAnsi="仿宋" w:eastAsia="仿宋" w:cs="????_GBK"/>
          <w:sz w:val="32"/>
          <w:szCs w:val="32"/>
        </w:rPr>
        <w:t>元，</w:t>
      </w:r>
      <w:r>
        <w:rPr>
          <w:rFonts w:ascii="仿宋" w:hAnsi="仿宋" w:eastAsia="仿宋" w:cs="????_GBK"/>
          <w:sz w:val="32"/>
          <w:szCs w:val="32"/>
        </w:rPr>
        <w:t>2</w:t>
      </w:r>
      <w:r>
        <w:rPr>
          <w:rFonts w:hint="eastAsia" w:ascii="仿宋" w:hAnsi="仿宋" w:eastAsia="仿宋" w:cs="????_GBK"/>
          <w:sz w:val="32"/>
          <w:szCs w:val="32"/>
          <w:lang w:val="en-US" w:eastAsia="zh-CN"/>
        </w:rPr>
        <w:t>3.68</w:t>
      </w:r>
      <w:r>
        <w:rPr>
          <w:rFonts w:hint="eastAsia" w:ascii="仿宋" w:hAnsi="仿宋" w:eastAsia="仿宋" w:cs="????_GBK"/>
          <w:sz w:val="32"/>
          <w:szCs w:val="32"/>
        </w:rPr>
        <w:t>（</w:t>
      </w:r>
      <w:r>
        <w:rPr>
          <w:rFonts w:ascii="仿宋" w:hAnsi="仿宋" w:eastAsia="仿宋" w:cs="????_GBK"/>
          <w:sz w:val="32"/>
          <w:szCs w:val="32"/>
        </w:rPr>
        <w:t>10%</w:t>
      </w:r>
      <w:r>
        <w:rPr>
          <w:rFonts w:hint="eastAsia" w:ascii="仿宋" w:hAnsi="仿宋" w:eastAsia="仿宋" w:cs="????_GBK"/>
          <w:sz w:val="32"/>
          <w:szCs w:val="32"/>
        </w:rPr>
        <w:t>）支出</w:t>
      </w:r>
      <w:r>
        <w:rPr>
          <w:rFonts w:hint="eastAsia" w:ascii="仿宋" w:hAnsi="仿宋" w:eastAsia="仿宋" w:cs="Times New Roman"/>
          <w:sz w:val="32"/>
          <w:szCs w:val="32"/>
          <w:lang w:val="en-US" w:eastAsia="zh-CN"/>
        </w:rPr>
        <w:t>236.8</w:t>
      </w:r>
      <w:r>
        <w:rPr>
          <w:rStyle w:val="15"/>
          <w:rFonts w:hint="eastAsia" w:ascii="仿宋" w:hAnsi="仿宋" w:eastAsia="仿宋"/>
          <w:sz w:val="32"/>
          <w:szCs w:val="32"/>
        </w:rPr>
        <w:t>万元</w:t>
      </w:r>
      <w:r>
        <w:rPr>
          <w:rFonts w:hint="eastAsia" w:ascii="仿宋" w:hAnsi="仿宋" w:eastAsia="仿宋" w:cs="Times New Roman"/>
          <w:sz w:val="32"/>
          <w:szCs w:val="32"/>
        </w:rPr>
        <w:t>；</w:t>
      </w:r>
      <w:r>
        <w:rPr>
          <w:rFonts w:hint="eastAsia" w:ascii="仿宋" w:hAnsi="仿宋" w:eastAsia="仿宋" w:cs="????_GBK"/>
          <w:sz w:val="32"/>
          <w:szCs w:val="32"/>
        </w:rPr>
        <w:t>冀财社</w:t>
      </w:r>
      <w:r>
        <w:rPr>
          <w:rFonts w:ascii="仿宋" w:hAnsi="仿宋" w:eastAsia="仿宋" w:cs="????_GBK"/>
          <w:sz w:val="32"/>
          <w:szCs w:val="32"/>
        </w:rPr>
        <w:t>[20</w:t>
      </w:r>
      <w:r>
        <w:rPr>
          <w:rFonts w:hint="eastAsia" w:ascii="仿宋" w:hAnsi="仿宋" w:eastAsia="仿宋" w:cs="????_GBK"/>
          <w:sz w:val="32"/>
          <w:szCs w:val="32"/>
          <w:lang w:val="en-US" w:eastAsia="zh-CN"/>
        </w:rPr>
        <w:t>20</w:t>
      </w:r>
      <w:r>
        <w:rPr>
          <w:rFonts w:ascii="仿宋" w:hAnsi="仿宋" w:eastAsia="仿宋" w:cs="????_GBK"/>
          <w:sz w:val="32"/>
          <w:szCs w:val="32"/>
        </w:rPr>
        <w:t>]</w:t>
      </w:r>
      <w:r>
        <w:rPr>
          <w:rFonts w:hint="eastAsia" w:ascii="仿宋" w:hAnsi="仿宋" w:eastAsia="仿宋" w:cs="????_GBK"/>
          <w:sz w:val="32"/>
          <w:szCs w:val="32"/>
          <w:lang w:val="en-US" w:eastAsia="zh-CN"/>
        </w:rPr>
        <w:t>195</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省级医疗救助资金支出</w:t>
      </w:r>
      <w:r>
        <w:rPr>
          <w:rFonts w:ascii="仿宋" w:hAnsi="仿宋" w:eastAsia="仿宋" w:cs="Times New Roman"/>
          <w:sz w:val="32"/>
          <w:szCs w:val="32"/>
        </w:rPr>
        <w:t>4</w:t>
      </w:r>
      <w:r>
        <w:rPr>
          <w:rFonts w:hint="eastAsia" w:ascii="仿宋" w:hAnsi="仿宋" w:eastAsia="仿宋" w:cs="Times New Roman"/>
          <w:sz w:val="32"/>
          <w:szCs w:val="32"/>
          <w:lang w:val="en-US" w:eastAsia="zh-CN"/>
        </w:rPr>
        <w:t>84</w:t>
      </w:r>
      <w:r>
        <w:rPr>
          <w:rFonts w:hint="eastAsia" w:ascii="仿宋" w:hAnsi="仿宋" w:eastAsia="仿宋" w:cs="Times New Roman"/>
          <w:sz w:val="32"/>
          <w:szCs w:val="32"/>
        </w:rPr>
        <w:t>万元；</w:t>
      </w:r>
      <w:r>
        <w:rPr>
          <w:rFonts w:hint="eastAsia" w:ascii="仿宋" w:hAnsi="仿宋" w:eastAsia="仿宋" w:cs="????_GBK"/>
          <w:sz w:val="32"/>
          <w:szCs w:val="32"/>
        </w:rPr>
        <w:t>冀财社</w:t>
      </w:r>
      <w:r>
        <w:rPr>
          <w:rFonts w:ascii="仿宋" w:hAnsi="仿宋" w:eastAsia="仿宋" w:cs="????_GBK"/>
          <w:sz w:val="32"/>
          <w:szCs w:val="32"/>
        </w:rPr>
        <w:t>[20</w:t>
      </w:r>
      <w:r>
        <w:rPr>
          <w:rFonts w:hint="eastAsia" w:ascii="仿宋" w:hAnsi="仿宋" w:eastAsia="仿宋" w:cs="????_GBK"/>
          <w:sz w:val="32"/>
          <w:szCs w:val="32"/>
          <w:lang w:val="en-US" w:eastAsia="zh-CN"/>
        </w:rPr>
        <w:t>20</w:t>
      </w:r>
      <w:r>
        <w:rPr>
          <w:rFonts w:ascii="仿宋" w:hAnsi="仿宋" w:eastAsia="仿宋" w:cs="????_GBK"/>
          <w:sz w:val="32"/>
          <w:szCs w:val="32"/>
        </w:rPr>
        <w:t>]</w:t>
      </w:r>
      <w:r>
        <w:rPr>
          <w:rFonts w:hint="eastAsia" w:ascii="仿宋" w:hAnsi="仿宋" w:eastAsia="仿宋" w:cs="????_GBK"/>
          <w:sz w:val="32"/>
          <w:szCs w:val="32"/>
          <w:lang w:val="en-US" w:eastAsia="zh-CN"/>
        </w:rPr>
        <w:t>201</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省级城乡居民基本医疗保险村级代办员补助资金支出</w:t>
      </w:r>
      <w:r>
        <w:rPr>
          <w:rFonts w:hint="eastAsia" w:ascii="仿宋" w:hAnsi="仿宋" w:eastAsia="仿宋" w:cs="Times New Roman"/>
          <w:sz w:val="32"/>
          <w:szCs w:val="32"/>
          <w:lang w:val="en-US" w:eastAsia="zh-CN"/>
        </w:rPr>
        <w:t>10</w:t>
      </w:r>
      <w:r>
        <w:rPr>
          <w:rFonts w:hint="eastAsia" w:ascii="仿宋" w:hAnsi="仿宋" w:eastAsia="仿宋" w:cs="Times New Roman"/>
          <w:sz w:val="32"/>
          <w:szCs w:val="32"/>
        </w:rPr>
        <w:t>万元；</w:t>
      </w:r>
      <w:r>
        <w:rPr>
          <w:rFonts w:hint="eastAsia" w:ascii="仿宋" w:hAnsi="仿宋" w:eastAsia="仿宋" w:cs="????_GBK"/>
          <w:sz w:val="32"/>
          <w:szCs w:val="32"/>
        </w:rPr>
        <w:t>冀财社</w:t>
      </w:r>
      <w:r>
        <w:rPr>
          <w:rFonts w:ascii="仿宋" w:hAnsi="仿宋" w:eastAsia="仿宋" w:cs="????_GBK"/>
          <w:sz w:val="32"/>
          <w:szCs w:val="32"/>
        </w:rPr>
        <w:t>[20</w:t>
      </w:r>
      <w:r>
        <w:rPr>
          <w:rFonts w:hint="eastAsia" w:ascii="仿宋" w:hAnsi="仿宋" w:eastAsia="仿宋" w:cs="????_GBK"/>
          <w:sz w:val="32"/>
          <w:szCs w:val="32"/>
          <w:lang w:val="en-US" w:eastAsia="zh-CN"/>
        </w:rPr>
        <w:t>20</w:t>
      </w:r>
      <w:r>
        <w:rPr>
          <w:rFonts w:ascii="仿宋" w:hAnsi="仿宋" w:eastAsia="仿宋" w:cs="????_GBK"/>
          <w:sz w:val="32"/>
          <w:szCs w:val="32"/>
        </w:rPr>
        <w:t>]</w:t>
      </w:r>
      <w:r>
        <w:rPr>
          <w:rFonts w:hint="eastAsia" w:ascii="仿宋" w:hAnsi="仿宋" w:eastAsia="仿宋" w:cs="????_GBK"/>
          <w:sz w:val="32"/>
          <w:szCs w:val="32"/>
          <w:lang w:val="en-US" w:eastAsia="zh-CN"/>
        </w:rPr>
        <w:t>147</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中央财政医疗救助补助资金支出</w:t>
      </w:r>
      <w:r>
        <w:rPr>
          <w:rFonts w:ascii="仿宋" w:hAnsi="仿宋" w:eastAsia="仿宋" w:cs="Times New Roman"/>
          <w:sz w:val="32"/>
          <w:szCs w:val="32"/>
        </w:rPr>
        <w:t>3</w:t>
      </w:r>
      <w:r>
        <w:rPr>
          <w:rFonts w:hint="eastAsia" w:ascii="仿宋" w:hAnsi="仿宋" w:eastAsia="仿宋" w:cs="Times New Roman"/>
          <w:sz w:val="32"/>
          <w:szCs w:val="32"/>
          <w:lang w:val="en-US" w:eastAsia="zh-CN"/>
        </w:rPr>
        <w:t>80</w:t>
      </w:r>
      <w:r>
        <w:rPr>
          <w:rFonts w:hint="eastAsia" w:ascii="仿宋" w:hAnsi="仿宋" w:eastAsia="仿宋" w:cs="Times New Roman"/>
          <w:sz w:val="32"/>
          <w:szCs w:val="32"/>
        </w:rPr>
        <w:t>万元；</w:t>
      </w:r>
      <w:r>
        <w:rPr>
          <w:rFonts w:hint="eastAsia" w:ascii="仿宋" w:hAnsi="仿宋" w:eastAsia="仿宋" w:cs="????_GBK"/>
          <w:sz w:val="32"/>
          <w:szCs w:val="32"/>
        </w:rPr>
        <w:t>职工医保长期护理险支出</w:t>
      </w:r>
      <w:r>
        <w:rPr>
          <w:rFonts w:hint="eastAsia" w:ascii="仿宋" w:hAnsi="仿宋" w:eastAsia="仿宋" w:cs="Times New Roman"/>
          <w:sz w:val="32"/>
          <w:szCs w:val="32"/>
          <w:lang w:val="en-US" w:eastAsia="zh-CN"/>
        </w:rPr>
        <w:t>10</w:t>
      </w:r>
      <w:r>
        <w:rPr>
          <w:rFonts w:hint="eastAsia" w:ascii="仿宋" w:hAnsi="仿宋" w:eastAsia="仿宋" w:cs="Times New Roman"/>
          <w:sz w:val="32"/>
          <w:szCs w:val="32"/>
        </w:rPr>
        <w:t>万元；其他支出</w:t>
      </w:r>
      <w:r>
        <w:rPr>
          <w:rFonts w:ascii="仿宋" w:hAnsi="仿宋" w:eastAsia="仿宋" w:cs="Times New Roman"/>
          <w:sz w:val="32"/>
          <w:szCs w:val="32"/>
        </w:rPr>
        <w:t>0</w:t>
      </w:r>
      <w:r>
        <w:rPr>
          <w:rFonts w:hint="eastAsia" w:ascii="仿宋" w:hAnsi="仿宋" w:eastAsia="仿宋" w:cs="Times New Roman"/>
          <w:sz w:val="32"/>
          <w:szCs w:val="32"/>
        </w:rPr>
        <w:t>万元。</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18.1747</w:t>
      </w:r>
      <w:r>
        <w:rPr>
          <w:rFonts w:hint="eastAsia" w:ascii="Times New Roman" w:hAnsi="Times New Roman" w:eastAsia="仿宋" w:cs="Times New Roman"/>
          <w:sz w:val="32"/>
          <w:szCs w:val="32"/>
        </w:rPr>
        <w:t>万元，主要用于保证机关正常运转的办公及差旅费、福利费、工会经费、党组织活动经费、公务交通补贴等支出。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年，我部门财政拨款“三公”经费预算安排</w:t>
      </w:r>
      <w:r>
        <w:rPr>
          <w:rStyle w:val="15"/>
          <w:rFonts w:ascii="仿宋" w:hAnsi="仿宋" w:eastAsia="仿宋"/>
          <w:sz w:val="32"/>
          <w:szCs w:val="32"/>
        </w:rPr>
        <w:t>0.5</w:t>
      </w:r>
      <w:r>
        <w:rPr>
          <w:rFonts w:hint="eastAsia" w:ascii="Times New Roman" w:hAnsi="Times New Roman" w:eastAsia="仿宋" w:cs="Times New Roman"/>
          <w:sz w:val="32"/>
          <w:szCs w:val="32"/>
        </w:rPr>
        <w:t>万元，其中：因公出国（境）费</w:t>
      </w:r>
      <w:r>
        <w:rPr>
          <w:rStyle w:val="15"/>
          <w:sz w:val="32"/>
          <w:szCs w:val="32"/>
        </w:rPr>
        <w:t>0</w:t>
      </w:r>
      <w:r>
        <w:rPr>
          <w:rFonts w:hint="eastAsia" w:ascii="Times New Roman" w:hAnsi="Times New Roman" w:eastAsia="仿宋" w:cs="Times New Roman"/>
          <w:sz w:val="32"/>
          <w:szCs w:val="32"/>
        </w:rPr>
        <w:t>万元；公务用车购置及运维费</w:t>
      </w:r>
      <w:r>
        <w:rPr>
          <w:rStyle w:val="15"/>
          <w:rFonts w:ascii="仿宋" w:hAnsi="仿宋" w:eastAsia="仿宋"/>
          <w:sz w:val="32"/>
          <w:szCs w:val="32"/>
        </w:rPr>
        <w:t>0</w:t>
      </w:r>
      <w:r>
        <w:rPr>
          <w:rFonts w:hint="eastAsia" w:ascii="Times New Roman" w:hAnsi="Times New Roman" w:eastAsia="仿宋" w:cs="Times New Roman"/>
          <w:sz w:val="32"/>
          <w:szCs w:val="32"/>
        </w:rPr>
        <w:t>万元；公务接待费</w:t>
      </w:r>
      <w:r>
        <w:rPr>
          <w:rFonts w:ascii="Times New Roman" w:hAnsi="Times New Roman" w:eastAsia="仿宋" w:cs="Times New Roman"/>
          <w:sz w:val="32"/>
          <w:szCs w:val="32"/>
        </w:rPr>
        <w:t>0.5</w:t>
      </w:r>
      <w:r>
        <w:rPr>
          <w:rFonts w:hint="eastAsia" w:ascii="Times New Roman" w:hAnsi="Times New Roman" w:eastAsia="仿宋" w:cs="Times New Roman"/>
          <w:sz w:val="32"/>
          <w:szCs w:val="32"/>
        </w:rPr>
        <w:t>万元。</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cs="Times New Roman"/>
          <w:b/>
          <w:sz w:val="32"/>
          <w:szCs w:val="32"/>
        </w:rPr>
        <w:t>第一部分</w:t>
      </w:r>
      <w:r>
        <w:rPr>
          <w:rFonts w:ascii="Times New Roman" w:hAnsi="Times New Roman" w:cs="Times New Roman"/>
          <w:b/>
          <w:sz w:val="32"/>
          <w:szCs w:val="32"/>
        </w:rPr>
        <w:t xml:space="preserve">  </w:t>
      </w:r>
      <w:r>
        <w:rPr>
          <w:rFonts w:hint="eastAsia" w:ascii="Times New Roman" w:hAnsi="Times New Roman" w:cs="Times New Roman"/>
          <w:b/>
          <w:sz w:val="32"/>
          <w:szCs w:val="32"/>
        </w:rPr>
        <w:t>部门整体绩效目标</w:t>
      </w:r>
    </w:p>
    <w:p>
      <w:pPr>
        <w:ind w:firstLine="640"/>
        <w:rPr>
          <w:rFonts w:ascii="Times New Roman" w:hAnsi="Times New Roman" w:cs="Times New Roman"/>
          <w:b/>
          <w:sz w:val="32"/>
          <w:szCs w:val="32"/>
        </w:rPr>
      </w:pPr>
      <w:r>
        <w:rPr>
          <w:rFonts w:hint="eastAsia" w:ascii="Times New Roman" w:hAnsi="Times New Roman" w:cs="Times New Roman"/>
          <w:b/>
          <w:sz w:val="32"/>
          <w:szCs w:val="32"/>
        </w:rPr>
        <w:t>一</w:t>
      </w:r>
      <w:r>
        <w:rPr>
          <w:rFonts w:hint="eastAsia" w:ascii="Times New Roman" w:hAnsi="Times New Roman" w:cs="Times New Roman"/>
          <w:b/>
          <w:sz w:val="32"/>
          <w:szCs w:val="32"/>
          <w:lang w:val="en-US" w:eastAsia="zh-CN"/>
        </w:rPr>
        <w:t xml:space="preserve"> </w:t>
      </w:r>
      <w:r>
        <w:rPr>
          <w:rFonts w:hint="eastAsia" w:ascii="Times New Roman" w:hAnsi="Times New Roman" w:cs="Times New Roman"/>
          <w:b/>
          <w:sz w:val="32"/>
          <w:szCs w:val="32"/>
        </w:rPr>
        <w:t>总体绩效目标</w:t>
      </w:r>
    </w:p>
    <w:p>
      <w:pPr>
        <w:spacing w:before="156" w:beforeLines="50" w:after="156" w:afterLines="50"/>
        <w:ind w:firstLine="420" w:firstLineChars="200"/>
        <w:jc w:val="left"/>
        <w:outlineLvl w:val="1"/>
        <w:rPr>
          <w:rFonts w:ascii="Times New Roman" w:eastAsia="方正仿宋_GBK"/>
          <w:sz w:val="28"/>
        </w:rPr>
      </w:pP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总体绩效目标 \f A \l 1</w:instrText>
      </w:r>
      <w:r>
        <w:rPr>
          <w:rFonts w:ascii="方正黑体_GBK" w:eastAsia="方正黑体_GBK"/>
          <w:sz w:val="28"/>
        </w:rPr>
        <w:instrText xml:space="preserve"> </w:instrText>
      </w:r>
      <w:r>
        <w:rPr>
          <w:rFonts w:ascii="方正黑体_GBK" w:eastAsia="方正黑体_GBK"/>
          <w:sz w:val="28"/>
        </w:rPr>
        <w:fldChar w:fldCharType="end"/>
      </w:r>
      <w:r>
        <w:rPr>
          <w:rFonts w:ascii="Times New Roman" w:eastAsia="方正仿宋_GBK"/>
          <w:sz w:val="28"/>
        </w:rPr>
        <w:t>总体目标：认真贯彻并组织实施全县的城镇医疗保险、城乡居民医疗保险、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pPr>
        <w:spacing w:line="500" w:lineRule="exact"/>
        <w:ind w:firstLine="840" w:firstLineChars="300"/>
        <w:jc w:val="left"/>
        <w:rPr>
          <w:rFonts w:ascii="Times New Roman" w:eastAsia="方正仿宋_GBK"/>
          <w:sz w:val="28"/>
        </w:rPr>
      </w:pPr>
      <w:r>
        <w:rPr>
          <w:rFonts w:ascii="Times New Roman" w:eastAsia="方正仿宋_GBK"/>
          <w:sz w:val="28"/>
        </w:rPr>
        <w:t>（一）贯彻执行省、市城镇职工和城乡居民医疗保险、生育保险、医疗救助等医疗保障法规、规章、政策、制度、规划和标准。负责拟订全县医疗保障政策、制度、规划和标准，并组织实施。</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（二）拟订完善全县医疗保障基金监督管理办法，建立健全医疗保障基金安全防控机制，组织建设智能监控平台，推进医疗保障基金支付方式改革，并组织实施。</w:t>
      </w:r>
    </w:p>
    <w:p>
      <w:pPr>
        <w:spacing w:line="500" w:lineRule="exact"/>
        <w:ind w:firstLine="560" w:firstLineChars="200"/>
        <w:jc w:val="left"/>
        <w:rPr>
          <w:rFonts w:ascii="Times New Roman" w:eastAsia="方正仿宋_GBK"/>
          <w:sz w:val="28"/>
        </w:rPr>
      </w:pPr>
      <w:r>
        <w:rPr>
          <w:rFonts w:ascii="Times New Roman" w:eastAsia="方正仿宋_GBK"/>
          <w:sz w:val="28"/>
        </w:rPr>
        <w:t>（三）组织制定全县城镇职工、城乡居民参保筹资和保障待遇政策，统筹城乡医疗保障政策标准，建立健全与筹资水平相适应的待遇调整机制，拟订长期护理保险制度方案及政策标准并组织实施。</w:t>
      </w:r>
    </w:p>
    <w:p>
      <w:pPr>
        <w:spacing w:line="500" w:lineRule="exact"/>
        <w:ind w:firstLine="560" w:firstLineChars="200"/>
        <w:jc w:val="left"/>
        <w:rPr>
          <w:rFonts w:ascii="Times New Roman" w:eastAsia="方正仿宋_GBK"/>
          <w:sz w:val="28"/>
        </w:rPr>
      </w:pPr>
      <w:r>
        <w:rPr>
          <w:rFonts w:ascii="Times New Roman" w:eastAsia="方正仿宋_GBK"/>
          <w:sz w:val="28"/>
        </w:rPr>
        <w:t>（四）贯彻落实省、市城乡统一的药品、医用耗材、医疗服务项目、医疗服务设施等医保目录和支付标准，以及相关动态调整机制，贯彻执行医保目录准入谈判规则。</w:t>
      </w:r>
    </w:p>
    <w:p>
      <w:pPr>
        <w:spacing w:line="500" w:lineRule="exact"/>
        <w:ind w:firstLine="560" w:firstLineChars="200"/>
        <w:jc w:val="left"/>
        <w:rPr>
          <w:rFonts w:ascii="Times New Roman" w:eastAsia="方正仿宋_GBK"/>
          <w:sz w:val="28"/>
        </w:rPr>
      </w:pPr>
      <w:r>
        <w:rPr>
          <w:rFonts w:ascii="Times New Roman" w:eastAsia="方正仿宋_GBK"/>
          <w:sz w:val="28"/>
        </w:rP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pPr>
        <w:spacing w:line="500" w:lineRule="exact"/>
        <w:ind w:firstLine="560" w:firstLineChars="200"/>
        <w:jc w:val="left"/>
        <w:rPr>
          <w:rFonts w:ascii="Times New Roman" w:eastAsia="方正仿宋_GBK"/>
          <w:sz w:val="28"/>
        </w:rPr>
      </w:pPr>
      <w:r>
        <w:rPr>
          <w:rFonts w:ascii="Times New Roman" w:eastAsia="方正仿宋_GBK"/>
          <w:sz w:val="28"/>
        </w:rPr>
        <w:t>（六）贯彻落实省、市药品、医用耗材的招标采购政策，做好药品、医用耗材招标采购平台有关工作。</w:t>
      </w:r>
    </w:p>
    <w:p>
      <w:pPr>
        <w:spacing w:line="500" w:lineRule="exact"/>
        <w:ind w:firstLine="560" w:firstLineChars="200"/>
        <w:jc w:val="left"/>
        <w:rPr>
          <w:rFonts w:ascii="Times New Roman" w:eastAsia="方正仿宋_GBK"/>
          <w:sz w:val="28"/>
        </w:rPr>
      </w:pPr>
      <w:r>
        <w:rPr>
          <w:rFonts w:ascii="Times New Roman" w:eastAsia="方正仿宋_GBK"/>
          <w:sz w:val="28"/>
        </w:rP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pPr>
        <w:spacing w:line="500" w:lineRule="exact"/>
        <w:ind w:firstLine="840" w:firstLineChars="300"/>
        <w:jc w:val="left"/>
        <w:rPr>
          <w:rFonts w:ascii="Times New Roman" w:eastAsia="方正仿宋_GBK"/>
          <w:sz w:val="28"/>
        </w:rPr>
      </w:pPr>
      <w:r>
        <w:rPr>
          <w:rFonts w:ascii="Times New Roman" w:eastAsia="方正仿宋_GBK"/>
          <w:sz w:val="28"/>
        </w:rPr>
        <w:t>(八)负责医疗保障经办管理、公共服务体系和信息化建设。贯彻落实省、市异地就医管理和费用结算政策。贯彻落实医疗保障关系转移接续制度。</w:t>
      </w:r>
    </w:p>
    <w:p>
      <w:pPr>
        <w:spacing w:line="500" w:lineRule="exact"/>
        <w:ind w:firstLine="840" w:firstLineChars="300"/>
        <w:jc w:val="left"/>
        <w:rPr>
          <w:rFonts w:ascii="Times New Roman" w:eastAsia="方正仿宋_GBK"/>
          <w:sz w:val="28"/>
        </w:rPr>
      </w:pPr>
      <w:r>
        <w:rPr>
          <w:rFonts w:ascii="Times New Roman" w:eastAsia="方正仿宋_GBK"/>
          <w:sz w:val="28"/>
        </w:rPr>
        <w:t>(九)完成县委、县政府交办的其他任务。</w:t>
      </w:r>
    </w:p>
    <w:p>
      <w:pPr>
        <w:spacing w:line="500" w:lineRule="exact"/>
        <w:ind w:firstLine="560" w:firstLineChars="200"/>
        <w:jc w:val="left"/>
        <w:rPr>
          <w:rFonts w:ascii="Times New Roman" w:eastAsia="方正仿宋_GBK"/>
          <w:sz w:val="28"/>
        </w:rPr>
      </w:pPr>
    </w:p>
    <w:p>
      <w:pPr>
        <w:spacing w:before="156" w:beforeLines="50" w:after="156" w:afterLines="50" w:line="500" w:lineRule="exact"/>
        <w:ind w:firstLine="560" w:firstLineChars="200"/>
        <w:jc w:val="left"/>
        <w:outlineLvl w:val="1"/>
        <w:rPr>
          <w:rFonts w:ascii="Times New Roman" w:hAnsi="宋体"/>
          <w:b/>
          <w:bCs/>
          <w:sz w:val="28"/>
        </w:rPr>
      </w:pPr>
      <w:bookmarkStart w:id="1" w:name="_Toc66048220"/>
      <w:r>
        <w:rPr>
          <w:rFonts w:hint="eastAsia" w:ascii="方正黑体_GBK" w:eastAsia="方正黑体_GBK"/>
          <w:sz w:val="28"/>
        </w:rPr>
        <w:t>二、</w:t>
      </w:r>
      <w:r>
        <w:rPr>
          <w:rFonts w:hint="eastAsia" w:ascii="方正黑体_GBK" w:eastAsia="方正黑体_GBK"/>
          <w:b/>
          <w:bCs/>
          <w:sz w:val="28"/>
        </w:rPr>
        <w:t>分项绩效目标</w:t>
      </w:r>
      <w:bookmarkEnd w:id="1"/>
      <w:r>
        <w:rPr>
          <w:b/>
          <w:bCs/>
        </w:rPr>
        <w:fldChar w:fldCharType="begin"/>
      </w:r>
      <w:r>
        <w:rPr>
          <w:rFonts w:ascii="方正黑体_GBK" w:eastAsia="方正黑体_GBK"/>
          <w:b/>
          <w:bCs/>
          <w:sz w:val="28"/>
        </w:rPr>
        <w:instrText xml:space="preserve"> </w:instrText>
      </w:r>
      <w:r>
        <w:rPr>
          <w:rFonts w:hint="eastAsia" w:ascii="方正黑体_GBK" w:eastAsia="方正黑体_GBK"/>
          <w:b/>
          <w:bCs/>
          <w:sz w:val="28"/>
        </w:rPr>
        <w:instrText xml:space="preserve">TC 分项绩效目标 \f A \l 1</w:instrText>
      </w:r>
      <w:r>
        <w:rPr>
          <w:rFonts w:ascii="方正黑体_GBK" w:eastAsia="方正黑体_GBK"/>
          <w:b/>
          <w:bCs/>
          <w:sz w:val="28"/>
        </w:rPr>
        <w:instrText xml:space="preserve"> </w:instrText>
      </w:r>
      <w:r>
        <w:rPr>
          <w:rFonts w:ascii="方正黑体_GBK" w:eastAsia="方正黑体_GBK"/>
          <w:b/>
          <w:bCs/>
          <w:sz w:val="28"/>
        </w:rPr>
        <w:fldChar w:fldCharType="end"/>
      </w:r>
    </w:p>
    <w:p>
      <w:pPr>
        <w:spacing w:line="500" w:lineRule="exact"/>
        <w:ind w:firstLine="560" w:firstLineChars="200"/>
        <w:jc w:val="left"/>
        <w:rPr>
          <w:rFonts w:ascii="Times New Roman" w:eastAsia="方正仿宋_GBK"/>
          <w:sz w:val="28"/>
        </w:rPr>
      </w:pPr>
      <w:r>
        <w:rPr>
          <w:rFonts w:ascii="Times New Roman" w:eastAsia="方正仿宋_GBK"/>
          <w:sz w:val="28"/>
        </w:rPr>
        <w:t>继续深入贯彻落实党的十九大精神，以</w:t>
      </w:r>
      <w:r>
        <w:rPr>
          <w:rFonts w:hint="eastAsia" w:ascii="Times New Roman" w:eastAsia="方正仿宋_GBK"/>
          <w:sz w:val="28"/>
        </w:rPr>
        <w:t>习近平新时代中国特色社会主义思想</w:t>
      </w:r>
      <w:bookmarkStart w:id="12" w:name="_GoBack"/>
      <w:bookmarkEnd w:id="12"/>
      <w:r>
        <w:rPr>
          <w:rFonts w:ascii="Times New Roman" w:eastAsia="方正仿宋_GBK"/>
          <w:sz w:val="28"/>
        </w:rPr>
        <w:t>为指引，紧紧围绕全县“11446”发展战略和“135”发展布局，稳步推进医疗保障工作，为建设经济强县、幸福隆尧做出积极贡献。基金和医药服务监督管理股，组织拟订医疗保障工作规划。负责全县医疗保障综合统计工作。负责编制全县医疗保险、生育保险基金预决算草案和年度基金财务报告。拟订医疗保障基金监督管理办法并组织实施。建立健全医疗保障基金安全防控机制，建立健全医疗保障信用评价体系和信息披露制度。监督管理纳入医保支付范围的医疗服务行为和医疗费用，规范医保经办业务，依法查处医疗保障领域违法违规行为。贯彻执行省、市药品、医药耗材、医疗服务价格政策和管理办法。贯彻落实省、市医疗机构医疗服务价格。依法管理药品、医用耗材、医疗服务价格政策法规执行情况。组织实施药品、医用耗材和医疗服务价格监测信息发布工作。落实省、市药品、医用耗材招标采购工作。推进招标采购平台建设。贯彻落实医疗保障筹资和待遇政策，贯彻执行城乡医疗保障待遇标准。统筹推进医疗保险、生育保险、医疗救助等多层次医疗保障体系建设。贯彻执行医疗保障关系转移接续制度。组织拟订长期护理保险制度改革方案并组织实施。贯彻执行省医保目录和支付标准，以及相关动态调整机制，贯彻执行医保目录准入谈判规则。拟订定点医药机构医保协议和支付管理办法，贯彻落实异地就医管理和结算政策。组织推进医保支付方式改革。组织开展药品、医用耗材、医疗技术的经济性评价。</w:t>
      </w:r>
    </w:p>
    <w:p>
      <w:pPr>
        <w:autoSpaceDE w:val="0"/>
        <w:autoSpaceDN w:val="0"/>
        <w:adjustRightInd w:val="0"/>
        <w:ind w:firstLine="964" w:firstLineChars="300"/>
        <w:jc w:val="left"/>
        <w:rPr>
          <w:rFonts w:ascii="Times New Roman" w:hAnsi="Times New Roman" w:cs="Times New Roman"/>
          <w:b/>
          <w:sz w:val="32"/>
          <w:szCs w:val="32"/>
        </w:rPr>
      </w:pPr>
      <w:r>
        <w:rPr>
          <w:rFonts w:hint="eastAsia" w:ascii="Times New Roman" w:hAnsi="Times New Roman" w:cs="Times New Roman"/>
          <w:b/>
          <w:sz w:val="32"/>
          <w:szCs w:val="32"/>
        </w:rPr>
        <w:t>三</w:t>
      </w:r>
      <w:r>
        <w:rPr>
          <w:rFonts w:hint="eastAsia" w:ascii="Times New Roman" w:hAnsi="Times New Roman" w:cs="Times New Roman"/>
          <w:b/>
          <w:sz w:val="32"/>
          <w:szCs w:val="32"/>
          <w:lang w:val="en-US" w:eastAsia="zh-CN"/>
        </w:rPr>
        <w:t xml:space="preserve"> 、</w:t>
      </w:r>
      <w:r>
        <w:rPr>
          <w:rFonts w:hint="eastAsia" w:ascii="Times New Roman" w:hAnsi="Times New Roman" w:cs="Times New Roman"/>
          <w:b/>
          <w:sz w:val="32"/>
          <w:szCs w:val="32"/>
        </w:rPr>
        <w:t>工作保障措施</w:t>
      </w:r>
      <w:r>
        <w:rPr>
          <w:rFonts w:ascii="Times New Roman" w:hAnsi="Times New Roman" w:cs="Times New Roman"/>
          <w:b/>
          <w:sz w:val="32"/>
          <w:szCs w:val="32"/>
        </w:rPr>
        <w:fldChar w:fldCharType="begin"/>
      </w:r>
      <w:r>
        <w:rPr>
          <w:rFonts w:cs="Times New Roman"/>
          <w:b/>
          <w:sz w:val="32"/>
          <w:szCs w:val="32"/>
        </w:rPr>
        <w:instrText xml:space="preserve">tc "</w:instrText>
      </w:r>
      <w:bookmarkStart w:id="2" w:name="_Toc29484630"/>
      <w:r>
        <w:rPr>
          <w:rFonts w:ascii="Times New Roman" w:hAnsi="Times New Roman" w:cs="Times New Roman"/>
          <w:b/>
          <w:sz w:val="32"/>
          <w:szCs w:val="32"/>
        </w:rPr>
        <w:instrText xml:space="preserve">??????</w:instrText>
      </w:r>
      <w:bookmarkEnd w:id="2"/>
      <w:r>
        <w:rPr>
          <w:rFonts w:ascii="Times New Roman" w:hAnsi="Times New Roman" w:cs="Times New Roman"/>
          <w:b/>
          <w:sz w:val="32"/>
          <w:szCs w:val="32"/>
        </w:rPr>
        <w:instrText xml:space="preserve">" \f A \l 01</w:instrText>
      </w:r>
      <w:r>
        <w:rPr>
          <w:rFonts w:ascii="Times New Roman" w:hAnsi="Times New Roman" w:cs="Times New Roman"/>
          <w:b/>
          <w:sz w:val="32"/>
          <w:szCs w:val="32"/>
        </w:rPr>
        <w:fldChar w:fldCharType="end"/>
      </w:r>
    </w:p>
    <w:p>
      <w:pPr>
        <w:spacing w:line="500" w:lineRule="exact"/>
        <w:ind w:firstLine="560" w:firstLineChars="200"/>
        <w:jc w:val="left"/>
        <w:rPr>
          <w:rFonts w:ascii="Times New Roman" w:eastAsia="方正仿宋_GBK"/>
          <w:sz w:val="28"/>
        </w:rPr>
      </w:pPr>
      <w:r>
        <w:rPr>
          <w:rFonts w:ascii="Times New Roman" w:eastAsia="方正仿宋_GBK"/>
          <w:sz w:val="28"/>
        </w:rPr>
        <w:t>强化基金征缴，促进应保尽保。一是宣传动员。全县上下充分利用电视台、微信公众平台、张贴公告、村广播通知等方式，广泛宣传政策，动员群众参保参合。二是组织征缴。城乡居民基金征收以乡镇政府为主，乡镇村专人负责，集中征收。城镇职工（居民）由医保局负责收缴，在医保服务大厅，采取定时集中征收的办法。三是资助参保。对城乡居民中的建档立卡贫困人口由县财政资助参保参合，提高了参保率。基本实现了应参尽参，应保尽保。</w:t>
      </w:r>
    </w:p>
    <w:p>
      <w:pPr>
        <w:spacing w:line="500" w:lineRule="exact"/>
        <w:ind w:firstLine="560" w:firstLineChars="200"/>
        <w:jc w:val="left"/>
        <w:rPr>
          <w:rFonts w:ascii="Times New Roman" w:eastAsia="方正仿宋_GBK"/>
          <w:sz w:val="28"/>
        </w:rPr>
      </w:pPr>
      <w:r>
        <w:rPr>
          <w:rFonts w:ascii="Times New Roman" w:eastAsia="方正仿宋_GBK"/>
          <w:sz w:val="28"/>
        </w:rPr>
        <w:t>完善医保政策，提高保障能力。一是城乡居民医保年度最高支付限额由12万元提高至15万元；职工医保年度最高支付限额由8万元提高至12万元。二是全面提高城乡居民大病保险待遇水平，城乡居民大病保险起付线以上至5万元报销比例为50%，增加了5～10万为55%，10～20万为60%，20万元以上为70%；职工大病保险报销金额为12万，增加了12～30万比例为90%，30～50万比例为95%；取消建档立卡贫困人口年度最高支付限额。</w:t>
      </w:r>
    </w:p>
    <w:p>
      <w:pPr>
        <w:spacing w:line="500" w:lineRule="exact"/>
        <w:ind w:firstLine="560" w:firstLineChars="200"/>
        <w:jc w:val="left"/>
        <w:rPr>
          <w:rFonts w:ascii="Times New Roman" w:eastAsia="方正仿宋_GBK"/>
          <w:sz w:val="28"/>
        </w:rPr>
      </w:pPr>
      <w:r>
        <w:rPr>
          <w:rFonts w:ascii="Times New Roman" w:eastAsia="方正仿宋_GBK"/>
          <w:sz w:val="28"/>
        </w:rPr>
        <w:t>优化服务举措，方便群众办事。一是简化报销程序。参保人员报销时只需提供医院收费票据、住院（门急诊）费用清单、住院证明及住院病历即可。二是缩短鉴定时限。将门诊特殊疾病按年鉴定调整为按月鉴定，及时保障待遇，减轻患者垫付资金压力。三是优化备案方式。启动了异地就医网上备案和电话备案及事前备案渠道，为参保人员就医备案提供极大方便。四是扩大就医范围。我县参保人员省外就医，可以选择除港澳台以外的所有省份的21598家医院就医，参保人员可以通过国家、省、市三级平台直接报销，减少了患者垫付资金的压力；为方便边远乡镇群众就医，并开通了周边县域直报通道。五是增加窗口服务。第三方意外伤害报案登记、结算赔付工作，全部集中到医保服务大厅办理，享受一站式结算。</w:t>
      </w:r>
    </w:p>
    <w:p>
      <w:pPr>
        <w:spacing w:line="500" w:lineRule="exact"/>
        <w:ind w:firstLine="560" w:firstLineChars="200"/>
        <w:jc w:val="left"/>
        <w:rPr>
          <w:rFonts w:ascii="Times New Roman" w:eastAsia="方正仿宋_GBK"/>
          <w:sz w:val="28"/>
        </w:rPr>
      </w:pPr>
      <w:r>
        <w:rPr>
          <w:rFonts w:ascii="Times New Roman" w:eastAsia="方正仿宋_GBK"/>
          <w:sz w:val="28"/>
        </w:rPr>
        <w:t>加强基金监管，确保基金安全。打击欺诈骗保、维护基金安全作为首要任务，采取多项措施，打出组合拳，在全县范围内初步形成了打击欺诈骗保的高压态势。一是组织开展了“打击欺诈骗保、维护基金安全”集中宣传月活动，营造了浓厚的舆论氛围。二是规范准入和退出机制，与24家定点医疗机构和46家药店签订服务协议，提出了拒付费用、暂停结算、黄牌警告、终止协议等行政处罚措施，为违规和超支划出红线。三是加大监管查处力度。四是对基金支出大户县医院进行控费检查。五是在全县公立医疗机构实施药品价格改革，降低群众看病费用，减少基金支出。六是出台医保欺诈举报奖励政策，最高奖励10万元，对群众举报经查实存在违约违规违法行为的医药机构，3年之内不得纳入定点。这些举措的实施，对欺诈骗保行为起到了强大的震慑作用。</w:t>
      </w:r>
    </w:p>
    <w:p>
      <w:pPr>
        <w:spacing w:line="500" w:lineRule="exact"/>
        <w:ind w:firstLine="560" w:firstLineChars="200"/>
        <w:jc w:val="left"/>
        <w:rPr>
          <w:rFonts w:ascii="Times New Roman" w:eastAsia="方正仿宋_GBK"/>
          <w:sz w:val="28"/>
        </w:rPr>
      </w:pPr>
      <w:r>
        <w:rPr>
          <w:rFonts w:ascii="Times New Roman" w:eastAsia="方正仿宋_GBK"/>
          <w:sz w:val="28"/>
        </w:rPr>
        <w:t>完善防贫措施，落实扶贫政策。一是参保资助全覆盖。按照扶贫部门提供的建档立卡贫困人口名单，全部参加了基本医疗保险，参保率和财政全额资助率达到两个100%。二是一站式报销全覆盖。我县实现了县域内一站式报销，县域外接入国家异地就医平台的定点医疗机构同步实现了一站式报销。三是慢性病鉴定全覆盖。建立慢性病鉴定常态化机制，贫困人口随时申报、每月鉴定，尽全力确保贫困患者医保待遇早享受，减轻参保人负担。四是实施医疗救助。开展医疗救助脱贫行动，重特大疾病医疗救助政策自2019年1月1日起开始执行，对已受理的医疗救助材料中符合条件的，可进行补报。五是开展业务培训。组织全县12个乡镇卫生院医保管理人员和400名村医，进行医保扶贫政策培训，提高管理人员和村医的政策水平，健全贫困人口三级动态台账，为因病防返贫提供了第一手资料。</w:t>
      </w:r>
    </w:p>
    <w:p>
      <w:pPr>
        <w:spacing w:line="500" w:lineRule="exact"/>
        <w:ind w:firstLine="560" w:firstLineChars="200"/>
        <w:jc w:val="left"/>
        <w:rPr>
          <w:rFonts w:ascii="Times New Roman" w:eastAsia="方正仿宋_GBK"/>
          <w:sz w:val="28"/>
        </w:rPr>
      </w:pPr>
      <w:r>
        <w:rPr>
          <w:rFonts w:ascii="Times New Roman" w:eastAsia="方正仿宋_GBK"/>
          <w:sz w:val="28"/>
        </w:rPr>
        <w:t>建立长护险制度，解决养老难题。进一步健全社会保障制度体系，积极应对人口老龄化，保障失能、半失能人员的基本生活权益和需求，减轻家庭负担，提高生活质量。</w:t>
      </w:r>
    </w:p>
    <w:p>
      <w:pPr>
        <w:autoSpaceDE w:val="0"/>
        <w:autoSpaceDN w:val="0"/>
        <w:adjustRightInd w:val="0"/>
        <w:ind w:left="198" w:firstLine="643" w:firstLineChars="200"/>
        <w:jc w:val="left"/>
        <w:rPr>
          <w:rFonts w:ascii="Times New Roman" w:hAnsi="Times New Roman" w:cs="Times New Roman"/>
          <w:b/>
          <w:sz w:val="32"/>
          <w:szCs w:val="32"/>
        </w:rPr>
      </w:pPr>
      <w:r>
        <w:rPr>
          <w:rFonts w:hint="eastAsia" w:ascii="Times New Roman" w:hAnsi="Times New Roman" w:cs="Times New Roman"/>
          <w:b/>
          <w:sz w:val="32"/>
          <w:szCs w:val="32"/>
        </w:rPr>
        <w:t>第二部分</w:t>
      </w:r>
      <w:r>
        <w:rPr>
          <w:rFonts w:ascii="Times New Roman" w:hAnsi="Times New Roman" w:cs="Times New Roman"/>
          <w:b/>
          <w:sz w:val="32"/>
          <w:szCs w:val="32"/>
        </w:rPr>
        <w:t xml:space="preserve">  </w:t>
      </w:r>
      <w:r>
        <w:rPr>
          <w:rFonts w:hint="eastAsia" w:ascii="Times New Roman" w:hAnsi="Times New Roman" w:cs="Times New Roman"/>
          <w:b/>
          <w:sz w:val="32"/>
          <w:szCs w:val="32"/>
        </w:rPr>
        <w:t>预算项目绩效目标</w:t>
      </w:r>
    </w:p>
    <w:p>
      <w:pPr>
        <w:spacing w:line="300" w:lineRule="exact"/>
        <w:ind w:firstLine="560" w:firstLineChars="200"/>
        <w:jc w:val="left"/>
      </w:pPr>
      <w:r>
        <w:rPr>
          <w:rFonts w:ascii="????_GBK" w:eastAsia="Times New Roman"/>
          <w:b/>
          <w:sz w:val="28"/>
        </w:rPr>
        <w:t xml:space="preserve">  </w:t>
      </w:r>
    </w:p>
    <w:p>
      <w:pPr>
        <w:spacing w:line="300" w:lineRule="exact"/>
        <w:ind w:firstLine="420" w:firstLineChars="200"/>
        <w:jc w:val="left"/>
      </w:pPr>
    </w:p>
    <w:p>
      <w:pPr>
        <w:ind w:firstLine="562" w:firstLineChars="200"/>
        <w:jc w:val="left"/>
        <w:outlineLvl w:val="3"/>
        <w:rPr>
          <w:rFonts w:ascii="Times New Roman" w:hAnsi="宋体"/>
          <w:b/>
          <w:sz w:val="28"/>
        </w:rPr>
      </w:pPr>
      <w:bookmarkStart w:id="3" w:name="_Toc66048222"/>
      <w:r>
        <w:rPr>
          <w:rFonts w:hint="eastAsia" w:ascii="方正仿宋_GBK" w:eastAsia="方正仿宋_GBK"/>
          <w:b/>
          <w:sz w:val="28"/>
        </w:rPr>
        <w:t>1.特困、低保、重度残疾、优抚对象资助参保绩效目标表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1、特困、低保、重度残疾、优抚对象资助参保绩效目标表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1305252109KR26OBR4T2Z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特困、低保、重度残疾、优抚对象资助参保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364</w:t>
            </w:r>
            <w:r>
              <w:rPr>
                <w:rFonts w:hint="eastAsia" w:ascii="方正书宋_GBK" w:eastAsia="方正书宋_GBK"/>
                <w:lang w:val="en-US" w:eastAsia="zh-CN"/>
              </w:rPr>
              <w:t>.</w:t>
            </w:r>
            <w:r>
              <w:rPr>
                <w:rFonts w:ascii="方正书宋_GBK" w:eastAsia="方正书宋_GBK"/>
              </w:rPr>
              <w:t>419100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364</w:t>
            </w:r>
            <w:r>
              <w:rPr>
                <w:rFonts w:hint="eastAsia" w:ascii="方正书宋_GBK" w:eastAsia="方正书宋_GBK"/>
                <w:lang w:val="en-US" w:eastAsia="zh-CN"/>
              </w:rPr>
              <w:t>.</w:t>
            </w:r>
            <w:r>
              <w:rPr>
                <w:rFonts w:ascii="方正书宋_GBK" w:eastAsia="方正书宋_GBK"/>
              </w:rPr>
              <w:t>419100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一</w:t>
            </w:r>
            <w:r>
              <w:rPr>
                <w:rFonts w:ascii="方正书宋_GBK" w:eastAsia="方正书宋_GBK"/>
              </w:rPr>
              <w:t>)</w:t>
            </w:r>
            <w:r>
              <w:rPr>
                <w:rFonts w:hint="eastAsia" w:ascii="方正书宋_GBK" w:eastAsia="方正书宋_GBK"/>
              </w:rPr>
              <w:t>农村建档立卡贫困人口；</w:t>
            </w:r>
            <w:r>
              <w:rPr>
                <w:rFonts w:ascii="方正书宋_GBK" w:eastAsia="方正书宋_GBK"/>
              </w:rPr>
              <w:t>(</w:t>
            </w:r>
            <w:r>
              <w:rPr>
                <w:rFonts w:hint="eastAsia" w:ascii="方正书宋_GBK" w:eastAsia="方正书宋_GBK"/>
              </w:rPr>
              <w:t>二</w:t>
            </w:r>
            <w:r>
              <w:rPr>
                <w:rFonts w:ascii="方正书宋_GBK" w:eastAsia="方正书宋_GBK"/>
              </w:rPr>
              <w:t>)</w:t>
            </w:r>
            <w:r>
              <w:rPr>
                <w:rFonts w:hint="eastAsia" w:ascii="方正书宋_GBK" w:eastAsia="方正书宋_GBK"/>
              </w:rPr>
              <w:t>特困供养人员；</w:t>
            </w:r>
            <w:r>
              <w:rPr>
                <w:rFonts w:ascii="方正书宋_GBK" w:eastAsia="方正书宋_GBK"/>
              </w:rPr>
              <w:t>(</w:t>
            </w:r>
            <w:r>
              <w:rPr>
                <w:rFonts w:hint="eastAsia" w:ascii="方正书宋_GBK" w:eastAsia="方正书宋_GBK"/>
              </w:rPr>
              <w:t>三</w:t>
            </w:r>
            <w:r>
              <w:rPr>
                <w:rFonts w:ascii="方正书宋_GBK" w:eastAsia="方正书宋_GBK"/>
              </w:rPr>
              <w:t>)</w:t>
            </w:r>
            <w:r>
              <w:rPr>
                <w:rFonts w:hint="eastAsia" w:ascii="方正书宋_GBK" w:eastAsia="方正书宋_GBK"/>
              </w:rPr>
              <w:t>最低生活保障家庭成员；</w:t>
            </w:r>
          </w:p>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四</w:t>
            </w:r>
            <w:r>
              <w:rPr>
                <w:rFonts w:ascii="方正书宋_GBK" w:eastAsia="方正书宋_GBK"/>
              </w:rPr>
              <w:t>)</w:t>
            </w:r>
            <w:r>
              <w:rPr>
                <w:rFonts w:hint="eastAsia" w:ascii="方正书宋_GBK" w:eastAsia="方正书宋_GBK"/>
              </w:rPr>
              <w:t>低收入家庭（是指未纳入最低生活保障范围，共同生活的家庭成员人均收入在最低生活保障标准</w:t>
            </w:r>
            <w:r>
              <w:rPr>
                <w:rFonts w:ascii="方正书宋_GBK" w:eastAsia="方正书宋_GBK"/>
              </w:rPr>
              <w:t>1.5</w:t>
            </w:r>
            <w:r>
              <w:rPr>
                <w:rFonts w:hint="eastAsia" w:ascii="方正书宋_GBK" w:eastAsia="方正书宋_GBK"/>
              </w:rPr>
              <w:t>倍以下，且家庭财产符合县级以上人民政府规定的家庭）中的重病患者、</w:t>
            </w:r>
            <w:r>
              <w:rPr>
                <w:rFonts w:ascii="方正书宋_GBK" w:eastAsia="方正书宋_GBK"/>
              </w:rPr>
              <w:t>60</w:t>
            </w:r>
            <w:r>
              <w:rPr>
                <w:rFonts w:hint="eastAsia" w:ascii="方正书宋_GBK" w:eastAsia="方正书宋_GBK"/>
              </w:rPr>
              <w:t>周岁（含）以上老年人；</w:t>
            </w:r>
            <w:r>
              <w:rPr>
                <w:rFonts w:ascii="方正书宋_GBK" w:eastAsia="方正书宋_GBK"/>
              </w:rPr>
              <w:t>(</w:t>
            </w:r>
            <w:r>
              <w:rPr>
                <w:rFonts w:hint="eastAsia" w:ascii="方正书宋_GBK" w:eastAsia="方正书宋_GBK"/>
              </w:rPr>
              <w:t>五</w:t>
            </w:r>
            <w:r>
              <w:rPr>
                <w:rFonts w:ascii="方正书宋_GBK" w:eastAsia="方正书宋_GBK"/>
              </w:rPr>
              <w:t>)</w:t>
            </w:r>
            <w:r>
              <w:rPr>
                <w:rFonts w:hint="eastAsia" w:ascii="方正书宋_GBK" w:eastAsia="方正书宋_GBK"/>
              </w:rPr>
              <w:t>低收入家庭中的独生子女伤残、死亡家庭的父母；</w:t>
            </w:r>
            <w:r>
              <w:rPr>
                <w:rFonts w:ascii="方正书宋_GBK" w:eastAsia="方正书宋_GBK"/>
              </w:rPr>
              <w:t>(</w:t>
            </w:r>
            <w:r>
              <w:rPr>
                <w:rFonts w:hint="eastAsia" w:ascii="方正书宋_GBK" w:eastAsia="方正书宋_GBK"/>
              </w:rPr>
              <w:t>六</w:t>
            </w:r>
            <w:r>
              <w:rPr>
                <w:rFonts w:ascii="方正书宋_GBK" w:eastAsia="方正书宋_GBK"/>
              </w:rPr>
              <w:t>)</w:t>
            </w:r>
            <w:r>
              <w:rPr>
                <w:rFonts w:hint="eastAsia" w:ascii="方正书宋_GBK" w:eastAsia="方正书宋_GBK"/>
              </w:rPr>
              <w:t>因医疗自付费用过高导致家庭无力承担的患者（因患病造成家庭基本生活困难且个人自付合规医疗费用超过家庭前</w:t>
            </w:r>
            <w:r>
              <w:rPr>
                <w:rFonts w:ascii="方正书宋_GBK" w:eastAsia="方正书宋_GBK"/>
              </w:rPr>
              <w:t>12</w:t>
            </w:r>
            <w:r>
              <w:rPr>
                <w:rFonts w:hint="eastAsia" w:ascii="方正书宋_GBK" w:eastAsia="方正书宋_GBK"/>
              </w:rPr>
              <w:t>个月总收入</w:t>
            </w:r>
            <w:r>
              <w:rPr>
                <w:rFonts w:ascii="方正书宋_GBK" w:eastAsia="方正书宋_GBK"/>
              </w:rPr>
              <w:t>50%</w:t>
            </w:r>
            <w:r>
              <w:rPr>
                <w:rFonts w:hint="eastAsia" w:ascii="方正书宋_GBK" w:eastAsia="方正书宋_GBK"/>
              </w:rPr>
              <w:t>以上的）。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建档立卡贫困户应保尽保</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救助比例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重特大疾病应保尽保重特大疾病医疗救助人次占直接救助人次比例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一</w:t>
            </w:r>
            <w:r>
              <w:rPr>
                <w:rFonts w:ascii="方正书宋_GBK" w:eastAsia="方正书宋_GBK"/>
              </w:rPr>
              <w:t>)</w:t>
            </w:r>
            <w:r>
              <w:rPr>
                <w:rFonts w:hint="eastAsia" w:ascii="方正书宋_GBK" w:eastAsia="方正书宋_GBK"/>
              </w:rPr>
              <w:t>农村建档立卡贫困人口；</w:t>
            </w:r>
            <w:r>
              <w:rPr>
                <w:rFonts w:ascii="方正书宋_GBK" w:eastAsia="方正书宋_GBK"/>
              </w:rPr>
              <w:t>(</w:t>
            </w:r>
            <w:r>
              <w:rPr>
                <w:rFonts w:hint="eastAsia" w:ascii="方正书宋_GBK" w:eastAsia="方正书宋_GBK"/>
              </w:rPr>
              <w:t>二</w:t>
            </w:r>
            <w:r>
              <w:rPr>
                <w:rFonts w:ascii="方正书宋_GBK" w:eastAsia="方正书宋_GBK"/>
              </w:rPr>
              <w:t>)</w:t>
            </w:r>
            <w:r>
              <w:rPr>
                <w:rFonts w:hint="eastAsia" w:ascii="方正书宋_GBK" w:eastAsia="方正书宋_GBK"/>
              </w:rPr>
              <w:t>特困供养人员；</w:t>
            </w:r>
            <w:r>
              <w:rPr>
                <w:rFonts w:ascii="方正书宋_GBK" w:eastAsia="方正书宋_GBK"/>
              </w:rPr>
              <w:t>(</w:t>
            </w:r>
            <w:r>
              <w:rPr>
                <w:rFonts w:hint="eastAsia" w:ascii="方正书宋_GBK" w:eastAsia="方正书宋_GBK"/>
              </w:rPr>
              <w:t>三</w:t>
            </w:r>
            <w:r>
              <w:rPr>
                <w:rFonts w:ascii="方正书宋_GBK" w:eastAsia="方正书宋_GBK"/>
              </w:rPr>
              <w:t>)</w:t>
            </w:r>
            <w:r>
              <w:rPr>
                <w:rFonts w:hint="eastAsia" w:ascii="方正书宋_GBK" w:eastAsia="方正书宋_GBK"/>
              </w:rPr>
              <w:t>最低生活保障家庭成员；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救助对象费用年度内限额救助比例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重点救助对象自付费用年度内限额住院救助比例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一站式即时结算覆盖地区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一站式即时结算覆盖地区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不低于上年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应保尽保重特大疾病医疗救助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应保尽保</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医疗救助对象覆盖范围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特困、低保、重度残疾等重点救助对象覆盖范围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特困、低保、重度残疾等重点救助对象覆盖范围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对健全医疗保障制度体系的作用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城乡居民政策知晓率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bl>
    <w:p>
      <w:pPr>
        <w:ind w:firstLine="562" w:firstLineChars="200"/>
        <w:jc w:val="left"/>
        <w:outlineLvl w:val="3"/>
        <w:rPr>
          <w:rFonts w:ascii="Times New Roman" w:hAnsi="宋体"/>
          <w:b/>
          <w:sz w:val="28"/>
        </w:rPr>
      </w:pPr>
      <w:bookmarkStart w:id="4" w:name="_Toc66048223"/>
      <w:r>
        <w:rPr>
          <w:rFonts w:hint="eastAsia" w:ascii="方正仿宋_GBK" w:eastAsia="方正仿宋_GBK"/>
          <w:b/>
          <w:sz w:val="28"/>
        </w:rPr>
        <w:t>2.城乡医疗保障救助县配套绩效目标表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2、城乡医疗保障救助县配套绩效目标表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13052521EVDB25CPA65ZC</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城乡医疗保障救助县配套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259</w:t>
            </w:r>
            <w:r>
              <w:rPr>
                <w:rFonts w:hint="eastAsia" w:ascii="方正书宋_GBK" w:eastAsia="方正书宋_GBK"/>
                <w:lang w:val="en-US" w:eastAsia="zh-CN"/>
              </w:rPr>
              <w:t>.</w:t>
            </w:r>
            <w:r>
              <w:rPr>
                <w:rFonts w:ascii="方正书宋_GBK" w:eastAsia="方正书宋_GBK"/>
              </w:rPr>
              <w:t>030000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259</w:t>
            </w:r>
            <w:r>
              <w:rPr>
                <w:rFonts w:hint="eastAsia" w:ascii="方正书宋_GBK" w:eastAsia="方正书宋_GBK"/>
                <w:lang w:val="en-US" w:eastAsia="zh-CN"/>
              </w:rPr>
              <w:t>.</w:t>
            </w:r>
            <w:r>
              <w:rPr>
                <w:rFonts w:ascii="方正书宋_GBK" w:eastAsia="方正书宋_GBK"/>
              </w:rPr>
              <w:t>030000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用于资助符合条件的贫困人口参加城乡居民医疗保险以及提高贫困人口医疗保障救助水平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资助符合条件的贫困人口参加城乡居民医疗保险</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重特大疾病救助人次比例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重特大疾病医疗救助人次占直接救助人次比例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重点救助对象年度限额救助比例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重点救助对象自付费用年度限额内住院救助比例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一站式即时结算覆盖地区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一站式即时结算覆盖地区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不低于上年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应保尽保重特大疾病医疗救助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应保尽保</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医疗救助对象覆盖范围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特困、低保、贫困人口等重点救助对象覆盖范围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特困、低保、贫困人口等重点救助对象覆盖范围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对健全医疗保障制度体系作用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城乡居民政策知晓率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bl>
    <w:p>
      <w:pPr>
        <w:jc w:val="left"/>
        <w:outlineLvl w:val="3"/>
        <w:rPr>
          <w:rFonts w:ascii="Times New Roman" w:hAnsi="宋体"/>
          <w:b/>
          <w:sz w:val="28"/>
        </w:rPr>
      </w:pPr>
      <w:bookmarkStart w:id="5" w:name="_Toc66048224"/>
      <w:r>
        <w:rPr>
          <w:rFonts w:hint="eastAsia" w:ascii="方正仿宋_GBK" w:eastAsia="方正仿宋_GBK"/>
          <w:b/>
          <w:sz w:val="28"/>
        </w:rPr>
        <w:t>3.冀财社[2020]201号/2021年省级财政城乡居民医保村级代办员补助资金绩效目标表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3、冀财社[2020]201号/2021年省级财政城乡居民医保村级代办员补助资金绩效目标表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13052521KEVF0CYL06TPI</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[2020]201</w:t>
            </w:r>
            <w:r>
              <w:rPr>
                <w:rFonts w:hint="eastAsia" w:ascii="方正书宋_GBK" w:eastAsia="方正书宋_GBK"/>
              </w:rPr>
              <w:t>号</w:t>
            </w:r>
            <w:r>
              <w:rPr>
                <w:rFonts w:ascii="方正书宋_GBK" w:eastAsia="方正书宋_GBK"/>
              </w:rPr>
              <w:t>/2021</w:t>
            </w:r>
            <w:r>
              <w:rPr>
                <w:rFonts w:hint="eastAsia" w:ascii="方正书宋_GBK" w:eastAsia="方正书宋_GBK"/>
              </w:rPr>
              <w:t>年省级财政城乡居民医保村级代办员补助资金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确保城乡居民医疗保险等基层经办工作顺利开展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确保城乡居民医疗保险参保率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确保应参保尽参保</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按照要求和计划完成工作</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医保综合参保率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医保综合参保总数的比例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符合条件申报对象覆盖率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享受扶助政策人数占符合条件申报对象总数的比例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按照要求和计划完成工作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按照年初计划完成工作任务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高效率完成参保任务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健全医疗保障制度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健全医疗保障制度体系的作用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6" w:name="_Toc66048225"/>
      <w:r>
        <w:rPr>
          <w:rFonts w:hint="eastAsia" w:ascii="方正仿宋_GBK" w:eastAsia="方正仿宋_GBK"/>
          <w:b/>
          <w:sz w:val="28"/>
        </w:rPr>
        <w:t>4.职工医保长期护理险绩效目标表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4、职工医保长期护理险绩效目标表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13052521MO17SGAKNEM8D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职工医保长期护理险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解决失能人员长期护理保障问题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坚持以人为本，着力解决失能人员长期护理保障问题</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长期生活无法自理人次比例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因年老、疾病、伤残等导致人身某些功能全部或部分丧失，长期生活无法自理人次比例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长期护理险待遇享受比例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长期护理险待遇享受比例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按照要求和计划完成工作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确保无法自理人次比例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高效率完成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按计划完成任务</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长期护理险对象覆盖范围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长期护理险对象覆盖范围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提高失能人员生活质量逐步扩大</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服务对象满意度接受长期护理险人群对基层医疗卫生机构所提供服务的满意程度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bl>
    <w:p>
      <w:pPr>
        <w:ind w:firstLine="562" w:firstLineChars="200"/>
        <w:jc w:val="left"/>
        <w:outlineLvl w:val="3"/>
        <w:rPr>
          <w:rFonts w:ascii="Times New Roman" w:hAnsi="宋体"/>
          <w:b/>
          <w:sz w:val="28"/>
        </w:rPr>
      </w:pPr>
      <w:bookmarkStart w:id="7" w:name="_Toc66048226"/>
      <w:r>
        <w:rPr>
          <w:rFonts w:hint="eastAsia" w:ascii="方正仿宋_GBK" w:eastAsia="方正仿宋_GBK"/>
          <w:b/>
          <w:sz w:val="28"/>
        </w:rPr>
        <w:t>5.冀财预[2020]78号/中央/城乡居民基本医疗保险县配套绩效目标表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5、冀财预[2020]78号/中央/城乡居民基本医疗保险县配套绩效目标表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13052521NQLRLTBKZDM5G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[2020]78</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w:t>
            </w:r>
            <w:r>
              <w:rPr>
                <w:rFonts w:hint="eastAsia" w:ascii="方正书宋_GBK" w:eastAsia="方正书宋_GBK"/>
              </w:rPr>
              <w:t>城乡居民基本医疗保险县配套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5323</w:t>
            </w:r>
            <w:r>
              <w:rPr>
                <w:rFonts w:hint="eastAsia" w:ascii="方正书宋_GBK" w:eastAsia="方正书宋_GBK"/>
                <w:lang w:val="en-US" w:eastAsia="zh-CN"/>
              </w:rPr>
              <w:t>.</w:t>
            </w:r>
            <w:r>
              <w:rPr>
                <w:rFonts w:ascii="方正书宋_GBK" w:eastAsia="方正书宋_GBK"/>
              </w:rPr>
              <w:t>200000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5323</w:t>
            </w:r>
            <w:r>
              <w:rPr>
                <w:rFonts w:hint="eastAsia" w:ascii="方正书宋_GBK" w:eastAsia="方正书宋_GBK"/>
                <w:lang w:val="en-US" w:eastAsia="zh-CN"/>
              </w:rPr>
              <w:t>.</w:t>
            </w:r>
            <w:r>
              <w:rPr>
                <w:rFonts w:ascii="方正书宋_GBK" w:eastAsia="方正书宋_GBK"/>
              </w:rPr>
              <w:t>200000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用于城乡居民医疗保险补助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保障城乡居民享受基本医疗保险</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参保率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以户籍人口为基数计算的综合参保率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93</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以户籍人口为基数计算的综合参保率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业务开展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保障业务正常开展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业务正常开展</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按要求和计划完成工作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按计划完成工作</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高效率完成参保任务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对健全医疗保障体系的作用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医保政策宣传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群众对参保的整体满意度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医保政策</w:t>
            </w:r>
          </w:p>
        </w:tc>
      </w:tr>
    </w:tbl>
    <w:p>
      <w:pPr>
        <w:spacing w:line="300" w:lineRule="exact"/>
        <w:jc w:val="left"/>
        <w:sectPr>
          <w:pgSz w:w="11907" w:h="16839"/>
          <w:pgMar w:top="1984" w:right="1304" w:bottom="1134" w:left="1304" w:header="851" w:footer="992" w:gutter="0"/>
          <w:cols w:space="425" w:num="1"/>
          <w:docGrid w:type="lines" w:linePitch="312" w:charSpace="0"/>
        </w:sectPr>
      </w:pPr>
    </w:p>
    <w:p>
      <w:pPr>
        <w:jc w:val="left"/>
        <w:outlineLvl w:val="3"/>
        <w:rPr>
          <w:rFonts w:ascii="Times New Roman" w:hAnsi="宋体"/>
          <w:b/>
          <w:sz w:val="28"/>
        </w:rPr>
      </w:pPr>
      <w:bookmarkStart w:id="8" w:name="_Toc66048227"/>
      <w:r>
        <w:rPr>
          <w:rFonts w:hint="eastAsia" w:ascii="方正仿宋_GBK" w:eastAsia="方正仿宋_GBK"/>
          <w:b/>
          <w:sz w:val="28"/>
        </w:rPr>
        <w:t>6.冀财社[2020]195号/2021年省级财政医疗救助补助资金绩效目标表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6、冀财社[2020]195号/2021年省级财政医疗救助补助资金绩效目标表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13052521QQEL8W8PX1XCT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[2020]195</w:t>
            </w:r>
            <w:r>
              <w:rPr>
                <w:rFonts w:hint="eastAsia" w:ascii="方正书宋_GBK" w:eastAsia="方正书宋_GBK"/>
              </w:rPr>
              <w:t>号</w:t>
            </w:r>
            <w:r>
              <w:rPr>
                <w:rFonts w:ascii="方正书宋_GBK" w:eastAsia="方正书宋_GBK"/>
              </w:rPr>
              <w:t>/2021</w:t>
            </w:r>
            <w:r>
              <w:rPr>
                <w:rFonts w:hint="eastAsia" w:ascii="方正书宋_GBK" w:eastAsia="方正书宋_GBK"/>
              </w:rPr>
              <w:t>年省级财政医疗救助补助资金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494</w:t>
            </w:r>
            <w:r>
              <w:rPr>
                <w:rFonts w:hint="eastAsia" w:ascii="方正书宋_GBK" w:eastAsia="方正书宋_GBK"/>
                <w:lang w:val="en-US" w:eastAsia="zh-CN"/>
              </w:rPr>
              <w:t>.</w:t>
            </w:r>
            <w:r>
              <w:rPr>
                <w:rFonts w:ascii="方正书宋_GBK" w:eastAsia="方正书宋_GBK"/>
              </w:rPr>
              <w:t>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494</w:t>
            </w:r>
            <w:r>
              <w:rPr>
                <w:rFonts w:hint="eastAsia" w:ascii="方正书宋_GBK" w:eastAsia="方正书宋_GBK"/>
                <w:lang w:val="en-US" w:eastAsia="zh-CN"/>
              </w:rPr>
              <w:t>.</w:t>
            </w:r>
            <w:r>
              <w:rPr>
                <w:rFonts w:ascii="方正书宋_GBK" w:eastAsia="方正书宋_GBK"/>
              </w:rPr>
              <w:t>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用于资助符合条件的贫困人口参加城乡居民医疗保险以及提高贫困人口医疗保障救助水平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资助符合条件的贫困人口参加城乡居民医疗保险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提高贫困人口医疗保障救助水平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应保尽保重特大疾病医疗救助</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医疗救助人次占直接救助人次比例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重特大疾病医疗救助人次占直接救助人次比例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自付费用年限额内住院救助比例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重点救助对象自付费用年限额内住院救助比例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一站式</w:t>
            </w:r>
            <w:r>
              <w:rPr>
                <w:rFonts w:hint="cs" w:ascii="方正书宋_GBK" w:eastAsia="方正书宋_GBK"/>
              </w:rPr>
              <w:t>”</w:t>
            </w:r>
            <w:r>
              <w:rPr>
                <w:rFonts w:hint="eastAsia" w:ascii="方正书宋_GBK" w:eastAsia="方正书宋_GBK"/>
              </w:rPr>
              <w:t>即时结算覆盖地区</w:t>
            </w:r>
          </w:p>
        </w:tc>
        <w:tc>
          <w:tcPr>
            <w:tcW w:w="2891" w:type="dxa"/>
            <w:shd w:val="clear" w:color="auto" w:fill="auto"/>
            <w:noWrap w:val="0"/>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一站式</w:t>
            </w:r>
            <w:r>
              <w:rPr>
                <w:rFonts w:hint="cs" w:ascii="方正书宋_GBK" w:eastAsia="方正书宋_GBK"/>
              </w:rPr>
              <w:t>”</w:t>
            </w:r>
            <w:r>
              <w:rPr>
                <w:rFonts w:hint="eastAsia" w:ascii="方正书宋_GBK" w:eastAsia="方正书宋_GBK"/>
              </w:rPr>
              <w:t>即时结算覆盖地区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不低于上年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cs"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应保尽保重特大疾病医疗救助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应保尽保</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医疗救助对象覆盖范围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贫困人口、低保、特困等重点救助对象全覆盖，其他困难群体逐步扩大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贫困人口、低保、特困等重点救助对象全覆盖</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对健全医疗保障制度体系的作用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城乡居民政策知晓率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9" w:name="_Toc66048228"/>
      <w:r>
        <w:rPr>
          <w:rFonts w:hint="eastAsia" w:ascii="方正仿宋_GBK" w:eastAsia="方正仿宋_GBK"/>
          <w:b/>
          <w:sz w:val="28"/>
        </w:rPr>
        <w:t>7.冀财社[2020]147号/中央财政医疗救助资金预算[第一批]绩效目标表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7、冀财社[2020]147号/中央财政医疗救助资金预算[第一批]绩效目标表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13052521UBHQ0GL8SBH23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[2020]147</w:t>
            </w:r>
            <w:r>
              <w:rPr>
                <w:rFonts w:hint="eastAsia" w:ascii="方正书宋_GBK" w:eastAsia="方正书宋_GBK"/>
              </w:rPr>
              <w:t>号</w:t>
            </w:r>
            <w:r>
              <w:rPr>
                <w:rFonts w:ascii="方正书宋_GBK" w:eastAsia="方正书宋_GBK"/>
              </w:rPr>
              <w:t>/</w:t>
            </w:r>
            <w:r>
              <w:rPr>
                <w:rFonts w:hint="eastAsia" w:ascii="方正书宋_GBK" w:eastAsia="方正书宋_GBK"/>
              </w:rPr>
              <w:t>中央财政医疗救助资金预算</w:t>
            </w:r>
            <w:r>
              <w:rPr>
                <w:rFonts w:ascii="方正书宋_GBK" w:eastAsia="方正书宋_GBK"/>
              </w:rPr>
              <w:t>[</w:t>
            </w:r>
            <w:r>
              <w:rPr>
                <w:rFonts w:hint="eastAsia" w:ascii="方正书宋_GBK" w:eastAsia="方正书宋_GBK"/>
              </w:rPr>
              <w:t>第一批</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380</w:t>
            </w:r>
            <w:r>
              <w:rPr>
                <w:rFonts w:hint="eastAsia" w:ascii="方正书宋_GBK" w:eastAsia="方正书宋_GBK"/>
                <w:lang w:val="en-US" w:eastAsia="zh-CN"/>
              </w:rPr>
              <w:t>.</w:t>
            </w:r>
            <w:r>
              <w:rPr>
                <w:rFonts w:ascii="方正书宋_GBK" w:eastAsia="方正书宋_GBK"/>
              </w:rPr>
              <w:t>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380</w:t>
            </w:r>
            <w:r>
              <w:rPr>
                <w:rFonts w:hint="eastAsia" w:ascii="方正书宋_GBK" w:eastAsia="方正书宋_GBK"/>
                <w:lang w:val="en-US" w:eastAsia="zh-CN"/>
              </w:rPr>
              <w:t>.</w:t>
            </w:r>
            <w:r>
              <w:rPr>
                <w:rFonts w:ascii="方正书宋_GBK" w:eastAsia="方正书宋_GBK"/>
              </w:rPr>
              <w:t>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用于资助符合条件的贫困人口参加城乡居民医疗保险以及提高贫困人口医疗保障救助水平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资助符合条件的贫困人口参加城乡居民医疗保险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提高贫困人口医疗保障救助水平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应保尽保重特大疾病医疗救助</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医疗救助人次占直接救助人次比例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重特大疾病医疗救助人次占直接救助人次比例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自付费用年度限额内住院救助比例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重点救助对象自付费用年度限额内住院救助比例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一站式</w:t>
            </w:r>
            <w:r>
              <w:rPr>
                <w:rFonts w:hint="cs" w:ascii="方正书宋_GBK" w:eastAsia="方正书宋_GBK"/>
              </w:rPr>
              <w:t>”</w:t>
            </w:r>
            <w:r>
              <w:rPr>
                <w:rFonts w:hint="eastAsia" w:ascii="方正书宋_GBK" w:eastAsia="方正书宋_GBK"/>
              </w:rPr>
              <w:t>即时结算覆盖地区</w:t>
            </w:r>
          </w:p>
        </w:tc>
        <w:tc>
          <w:tcPr>
            <w:tcW w:w="2891" w:type="dxa"/>
            <w:shd w:val="clear" w:color="auto" w:fill="auto"/>
            <w:noWrap w:val="0"/>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一站式</w:t>
            </w:r>
            <w:r>
              <w:rPr>
                <w:rFonts w:hint="cs" w:ascii="方正书宋_GBK" w:eastAsia="方正书宋_GBK"/>
              </w:rPr>
              <w:t>”</w:t>
            </w:r>
            <w:r>
              <w:rPr>
                <w:rFonts w:hint="eastAsia" w:ascii="方正书宋_GBK" w:eastAsia="方正书宋_GBK"/>
              </w:rPr>
              <w:t>即时结算覆盖地区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不低于上年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cs"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应保尽保重特大疾病医疗救助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应保尽保</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医疗救助对象覆盖范围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贫困人口、低保、特困等重点救助对象全覆盖，其他困难群体逐步扩大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贫困人口、低保、特困等重点救助对象全覆盖</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对健全医疗保障制度体系的作用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城乡居民政策知晓率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bl>
    <w:p>
      <w:pPr>
        <w:ind w:firstLine="562" w:firstLineChars="200"/>
        <w:jc w:val="left"/>
        <w:outlineLvl w:val="3"/>
        <w:rPr>
          <w:rFonts w:hint="eastAsia" w:ascii="方正仿宋_GBK" w:eastAsia="方正仿宋_GBK"/>
          <w:b/>
          <w:sz w:val="28"/>
        </w:rPr>
      </w:pPr>
      <w:bookmarkStart w:id="10" w:name="_Toc66048229"/>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8.城乡居民医疗保险经办机构经费绩效目标表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8、城乡居民医疗保险经办机构经费绩效目标表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13052521VFZ7HYO68CSR7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城乡居民医疗保险经办机构经费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lang w:val="en-US" w:eastAsia="zh-CN"/>
              </w:rPr>
              <w:t>.</w:t>
            </w:r>
            <w:r>
              <w:rPr>
                <w:rFonts w:ascii="方正书宋_GBK" w:eastAsia="方正书宋_GBK"/>
              </w:rPr>
              <w:t>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lang w:val="en-US" w:eastAsia="zh-CN"/>
              </w:rPr>
              <w:t>.</w:t>
            </w:r>
            <w:r>
              <w:rPr>
                <w:rFonts w:ascii="方正书宋_GBK" w:eastAsia="方正书宋_GBK"/>
              </w:rPr>
              <w:t>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用于保障基本医疗保险业务正常开展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保障基本医疗保险业务正常开展</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医保综合参保率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医保综合参保占总数的比例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业务开展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保障业务正常开展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业务正常开展</w:t>
            </w:r>
          </w:p>
        </w:tc>
        <w:tc>
          <w:tcPr>
            <w:tcW w:w="1701"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按照要求和计划完成工作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按照计划完成工作</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高效率完成参保任务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医保参保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医保参保率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93</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政策宣传</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医保政策宣传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健全医疗保障制度体系的作用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参保对象满意度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参保对象满意数量占总数的比例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医保政策</w:t>
            </w:r>
          </w:p>
        </w:tc>
      </w:tr>
    </w:tbl>
    <w:p>
      <w:pPr>
        <w:ind w:firstLine="562" w:firstLineChars="200"/>
        <w:jc w:val="left"/>
        <w:outlineLvl w:val="3"/>
        <w:rPr>
          <w:rFonts w:hint="eastAsia" w:ascii="方正仿宋_GBK" w:eastAsia="方正仿宋_GBK"/>
          <w:b/>
          <w:sz w:val="28"/>
        </w:rPr>
      </w:pPr>
      <w:bookmarkStart w:id="11" w:name="_Toc66048230"/>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9.城乡居民基本医疗保险护理县配套绩效目标表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9、城乡居民基本医疗保险护理县配套绩效目标表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13052521XBLO0OAUZETQL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城乡居民基本医疗保险护理县配套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351</w:t>
            </w:r>
            <w:r>
              <w:rPr>
                <w:rFonts w:hint="eastAsia" w:ascii="方正书宋_GBK" w:eastAsia="方正书宋_GBK"/>
                <w:lang w:val="en-US" w:eastAsia="zh-CN"/>
              </w:rPr>
              <w:t>.</w:t>
            </w:r>
            <w:r>
              <w:rPr>
                <w:rFonts w:ascii="方正书宋_GBK" w:eastAsia="方正书宋_GBK"/>
              </w:rPr>
              <w:t>400000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351</w:t>
            </w:r>
            <w:r>
              <w:rPr>
                <w:rFonts w:hint="eastAsia" w:ascii="方正书宋_GBK" w:eastAsia="方正书宋_GBK"/>
                <w:lang w:val="en-US" w:eastAsia="zh-CN"/>
              </w:rPr>
              <w:t>.</w:t>
            </w:r>
            <w:r>
              <w:rPr>
                <w:rFonts w:ascii="方正书宋_GBK" w:eastAsia="方正书宋_GBK"/>
              </w:rPr>
              <w:t>400000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解决失能人员长期护理保障问题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坚持以人为本，着力解决失能人员长期护理保障问题</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长期生活无法自理人次比例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因年老、疾病、伤残等导致人身某些功能全部或部分丧失，长期生活无法自理人次比例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长期护理险待遇享受比例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长期护理险待遇享受比例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按照要求和计划完成工作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确保无法自理人次比例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高效率完成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按计划完成工作</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长期护理险对象覆盖范围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长期护理险对象覆盖范围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提高失能人员生活质量逐步扩大</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接受长期护理险人群对基层医疗卫生机构所提供服务的满意程度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bl>
    <w:p>
      <w:pPr>
        <w:spacing w:line="300" w:lineRule="exact"/>
        <w:jc w:val="left"/>
        <w:sectPr>
          <w:pgSz w:w="11907" w:h="16839"/>
          <w:pgMar w:top="1984" w:right="1304" w:bottom="1134" w:left="1304" w:header="851" w:footer="992" w:gutter="0"/>
          <w:cols w:space="425"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r>
        <w:rPr>
          <w:rFonts w:ascii="Times New Roman" w:hAnsi="Times New Roman" w:eastAsia="仿宋" w:cs="Times New Roman"/>
          <w:sz w:val="32"/>
          <w:szCs w:val="24"/>
        </w:rPr>
        <w:t xml:space="preserve"> 202</w:t>
      </w:r>
      <w:r>
        <w:rPr>
          <w:rFonts w:hint="eastAsia" w:ascii="Times New Roman" w:hAnsi="Times New Roman" w:eastAsia="仿宋" w:cs="Times New Roman"/>
          <w:sz w:val="32"/>
          <w:szCs w:val="24"/>
          <w:lang w:val="en-US" w:eastAsia="zh-CN"/>
        </w:rPr>
        <w:t>1</w:t>
      </w:r>
      <w:r>
        <w:rPr>
          <w:rFonts w:hint="eastAsia" w:ascii="Times New Roman" w:hAnsi="Times New Roman" w:eastAsia="仿宋" w:cs="Times New Roman"/>
          <w:sz w:val="32"/>
          <w:szCs w:val="24"/>
        </w:rPr>
        <w:t>年，我部门安排政府采购预算</w:t>
      </w:r>
      <w:r>
        <w:rPr>
          <w:rFonts w:hint="eastAsia" w:ascii="Times New Roman" w:hAnsi="Times New Roman" w:eastAsia="仿宋" w:cs="Times New Roman"/>
          <w:sz w:val="32"/>
          <w:szCs w:val="24"/>
          <w:lang w:val="en-US" w:eastAsia="zh-CN"/>
        </w:rPr>
        <w:t>12.77</w:t>
      </w:r>
      <w:r>
        <w:rPr>
          <w:rFonts w:hint="eastAsia" w:ascii="Times New Roman" w:hAnsi="Times New Roman" w:eastAsia="仿宋" w:cs="Times New Roman"/>
          <w:sz w:val="32"/>
          <w:szCs w:val="24"/>
        </w:rPr>
        <w:t>万元。具体内容见下表。</w:t>
      </w:r>
    </w:p>
    <w:p>
      <w:pPr>
        <w:ind w:firstLine="640" w:firstLineChars="200"/>
        <w:jc w:val="center"/>
        <w:outlineLvl w:val="0"/>
        <w:rPr>
          <w:rFonts w:ascii="仿宋" w:hAnsi="仿宋" w:eastAsia="仿宋" w:cs="宋体"/>
          <w:sz w:val="32"/>
          <w:szCs w:val="32"/>
        </w:rPr>
      </w:pPr>
      <w:r>
        <w:rPr>
          <w:rFonts w:hint="eastAsia" w:ascii="仿宋" w:hAnsi="仿宋" w:eastAsia="仿宋" w:cs="?????_GBK"/>
          <w:sz w:val="32"/>
          <w:szCs w:val="32"/>
        </w:rPr>
        <w:t>部门政府采购预算</w:t>
      </w:r>
      <w:r>
        <w:rPr>
          <w:rFonts w:ascii="仿宋" w:hAnsi="仿宋" w:eastAsia="仿宋" w:cs="?????_GBK"/>
          <w:sz w:val="32"/>
          <w:szCs w:val="32"/>
        </w:rPr>
        <w:fldChar w:fldCharType="begin"/>
      </w:r>
      <w:r>
        <w:rPr>
          <w:rFonts w:ascii="仿宋" w:hAnsi="仿宋" w:eastAsia="仿宋" w:cs="?????_GBK"/>
          <w:sz w:val="32"/>
          <w:szCs w:val="32"/>
        </w:rPr>
        <w:instrText xml:space="preserve">tc "</w:instrText>
      </w:r>
      <w:r>
        <w:rPr>
          <w:rFonts w:hint="eastAsia" w:ascii="仿宋" w:hAnsi="仿宋" w:eastAsia="仿宋" w:cs="?????_GBK"/>
          <w:sz w:val="32"/>
          <w:szCs w:val="32"/>
        </w:rPr>
        <w:instrText xml:space="preserve">部门政府采购预算</w:instrText>
      </w:r>
      <w:r>
        <w:rPr>
          <w:rFonts w:ascii="仿宋" w:hAnsi="仿宋" w:eastAsia="仿宋" w:cs="?????_GBK"/>
          <w:sz w:val="32"/>
          <w:szCs w:val="32"/>
        </w:rPr>
        <w:instrText xml:space="preserve">" \f A \l 00001</w:instrText>
      </w:r>
      <w:r>
        <w:rPr>
          <w:rFonts w:ascii="仿宋" w:hAnsi="仿宋" w:eastAsia="仿宋" w:cs="?????_GBK"/>
          <w:sz w:val="32"/>
          <w:szCs w:val="32"/>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376"/>
        <w:gridCol w:w="1686"/>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_GBK" w:hAnsi="?????_GBK" w:cs="?????_GBK"/>
                <w:b/>
                <w:sz w:val="24"/>
              </w:rPr>
            </w:pPr>
            <w:r>
              <w:rPr>
                <w:rFonts w:ascii="宋体" w:hAnsi="宋体" w:cs="?????_GBK"/>
                <w:b/>
                <w:sz w:val="24"/>
              </w:rPr>
              <w:t>322</w:t>
            </w:r>
            <w:r>
              <w:rPr>
                <w:rFonts w:hint="eastAsia" w:ascii="?????_GBK" w:hAnsi="?????_GBK" w:cs="?????_GBK"/>
                <w:b/>
                <w:sz w:val="24"/>
              </w:rPr>
              <w:t>隆尧县医疗保障局</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_GBK" w:hAnsi="????_GBK" w:cs="????_GBK"/>
                <w:b/>
                <w:sz w:val="24"/>
              </w:rPr>
            </w:pPr>
            <w:r>
              <w:rPr>
                <w:rFonts w:hint="eastAsia" w:ascii="????_GBK" w:hAnsi="????_GBK" w:cs="????_GBK"/>
                <w:b/>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pPr>
              <w:spacing w:line="300" w:lineRule="exact"/>
              <w:jc w:val="center"/>
              <w:rPr>
                <w:rFonts w:ascii="????_GBK" w:hAnsi="????_GBK" w:cs="????_GBK"/>
                <w:b/>
              </w:rPr>
            </w:pPr>
            <w:r>
              <w:rPr>
                <w:rFonts w:hint="eastAsia" w:ascii="????_GBK" w:hAnsi="????_GBK" w:cs="????_GBK"/>
                <w:b/>
              </w:rPr>
              <w:t>政府采购项目来源</w:t>
            </w:r>
          </w:p>
        </w:tc>
        <w:tc>
          <w:tcPr>
            <w:tcW w:w="1376" w:type="dxa"/>
            <w:vMerge w:val="restart"/>
            <w:vAlign w:val="center"/>
          </w:tcPr>
          <w:p>
            <w:pPr>
              <w:spacing w:line="300" w:lineRule="exact"/>
              <w:jc w:val="center"/>
              <w:rPr>
                <w:rFonts w:ascii="????_GBK" w:hAnsi="????_GBK" w:cs="????_GBK"/>
                <w:b/>
              </w:rPr>
            </w:pPr>
            <w:r>
              <w:rPr>
                <w:rFonts w:hint="eastAsia" w:ascii="????_GBK" w:hAnsi="????_GBK" w:cs="????_GBK"/>
                <w:b/>
              </w:rPr>
              <w:t>采购物品名称</w:t>
            </w:r>
          </w:p>
        </w:tc>
        <w:tc>
          <w:tcPr>
            <w:tcW w:w="1686" w:type="dxa"/>
            <w:vMerge w:val="restart"/>
            <w:vAlign w:val="center"/>
          </w:tcPr>
          <w:p>
            <w:pPr>
              <w:spacing w:line="300" w:lineRule="exact"/>
              <w:jc w:val="center"/>
              <w:rPr>
                <w:rFonts w:ascii="????_GBK" w:hAnsi="????_GBK" w:cs="????_GBK"/>
                <w:b/>
              </w:rPr>
            </w:pPr>
            <w:r>
              <w:rPr>
                <w:rFonts w:hint="eastAsia" w:ascii="????_GBK" w:hAnsi="????_GBK" w:cs="????_GBK"/>
                <w:b/>
              </w:rPr>
              <w:t>政府采购目录序号</w:t>
            </w:r>
          </w:p>
        </w:tc>
        <w:tc>
          <w:tcPr>
            <w:tcW w:w="709" w:type="dxa"/>
            <w:vMerge w:val="restart"/>
            <w:vAlign w:val="center"/>
          </w:tcPr>
          <w:p>
            <w:pPr>
              <w:spacing w:line="300" w:lineRule="exact"/>
              <w:jc w:val="center"/>
              <w:rPr>
                <w:rFonts w:ascii="????_GBK" w:hAnsi="????_GBK" w:cs="????_GBK"/>
                <w:b/>
              </w:rPr>
            </w:pPr>
            <w:r>
              <w:rPr>
                <w:rFonts w:hint="eastAsia" w:ascii="????_GBK" w:hAnsi="????_GBK" w:cs="????_GBK"/>
                <w:b/>
              </w:rPr>
              <w:t>计量</w:t>
            </w:r>
            <w:r>
              <w:rPr>
                <w:rFonts w:ascii="????_GBK" w:hAnsi="????_GBK" w:cs="????_GBK"/>
                <w:b/>
              </w:rPr>
              <w:t xml:space="preserve">  </w:t>
            </w:r>
            <w:r>
              <w:rPr>
                <w:rFonts w:hint="eastAsia" w:ascii="????_GBK" w:hAnsi="????_GBK" w:cs="????_GBK"/>
                <w:b/>
              </w:rPr>
              <w:t>单位</w:t>
            </w:r>
          </w:p>
        </w:tc>
        <w:tc>
          <w:tcPr>
            <w:tcW w:w="907" w:type="dxa"/>
            <w:vMerge w:val="restart"/>
            <w:vAlign w:val="center"/>
          </w:tcPr>
          <w:p>
            <w:pPr>
              <w:spacing w:line="300" w:lineRule="exact"/>
              <w:jc w:val="center"/>
              <w:rPr>
                <w:rFonts w:ascii="????_GBK" w:hAnsi="????_GBK" w:cs="????_GBK"/>
                <w:b/>
              </w:rPr>
            </w:pPr>
            <w:r>
              <w:rPr>
                <w:rFonts w:hint="eastAsia" w:ascii="????_GBK" w:hAnsi="????_GBK" w:cs="????_GBK"/>
                <w:b/>
              </w:rPr>
              <w:t>数量</w:t>
            </w:r>
          </w:p>
        </w:tc>
        <w:tc>
          <w:tcPr>
            <w:tcW w:w="907" w:type="dxa"/>
            <w:vMerge w:val="restart"/>
            <w:vAlign w:val="center"/>
          </w:tcPr>
          <w:p>
            <w:pPr>
              <w:spacing w:line="300" w:lineRule="exact"/>
              <w:jc w:val="center"/>
              <w:rPr>
                <w:rFonts w:ascii="????_GBK" w:hAnsi="????_GBK" w:cs="????_GBK"/>
                <w:b/>
              </w:rPr>
            </w:pPr>
            <w:r>
              <w:rPr>
                <w:rFonts w:hint="eastAsia" w:ascii="????_GBK" w:hAnsi="????_GBK" w:cs="????_GBK"/>
                <w:b/>
              </w:rPr>
              <w:t>单价</w:t>
            </w:r>
          </w:p>
        </w:tc>
        <w:tc>
          <w:tcPr>
            <w:tcW w:w="6804" w:type="dxa"/>
            <w:gridSpan w:val="6"/>
            <w:vAlign w:val="center"/>
          </w:tcPr>
          <w:p>
            <w:pPr>
              <w:spacing w:line="300" w:lineRule="exact"/>
              <w:jc w:val="center"/>
              <w:rPr>
                <w:rFonts w:ascii="????_GBK" w:hAnsi="????_GBK" w:cs="????_GBK"/>
                <w:b/>
              </w:rPr>
            </w:pPr>
            <w:r>
              <w:rPr>
                <w:rFonts w:hint="eastAsia" w:ascii="????_GBK" w:hAnsi="????_GBK" w:cs="????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pPr>
              <w:spacing w:line="300" w:lineRule="exact"/>
              <w:jc w:val="center"/>
              <w:rPr>
                <w:rFonts w:ascii="????_GBK" w:hAnsi="????_GBK" w:cs="????_GBK"/>
                <w:b/>
              </w:rPr>
            </w:pPr>
            <w:r>
              <w:rPr>
                <w:rFonts w:hint="eastAsia" w:ascii="????_GBK" w:hAnsi="????_GBK" w:cs="????_GBK"/>
                <w:b/>
              </w:rPr>
              <w:t>项目名称</w:t>
            </w:r>
          </w:p>
        </w:tc>
        <w:tc>
          <w:tcPr>
            <w:tcW w:w="1134" w:type="dxa"/>
            <w:vAlign w:val="center"/>
          </w:tcPr>
          <w:p>
            <w:pPr>
              <w:spacing w:line="300" w:lineRule="exact"/>
              <w:jc w:val="center"/>
              <w:rPr>
                <w:rFonts w:ascii="????_GBK" w:hAnsi="????_GBK" w:cs="????_GBK"/>
                <w:b/>
              </w:rPr>
            </w:pPr>
            <w:r>
              <w:rPr>
                <w:rFonts w:hint="eastAsia" w:ascii="????_GBK" w:hAnsi="????_GBK" w:cs="????_GBK"/>
                <w:b/>
              </w:rPr>
              <w:t>预算资金</w:t>
            </w:r>
          </w:p>
        </w:tc>
        <w:tc>
          <w:tcPr>
            <w:tcW w:w="1376" w:type="dxa"/>
            <w:vMerge w:val="continue"/>
          </w:tcPr>
          <w:p>
            <w:pPr>
              <w:spacing w:line="300" w:lineRule="exact"/>
              <w:jc w:val="left"/>
              <w:outlineLvl w:val="0"/>
              <w:rPr>
                <w:rFonts w:ascii="?????_GBK" w:hAnsi="?????_GBK" w:cs="?????_GBK"/>
                <w:b/>
                <w:sz w:val="32"/>
              </w:rPr>
            </w:pPr>
          </w:p>
        </w:tc>
        <w:tc>
          <w:tcPr>
            <w:tcW w:w="1686" w:type="dxa"/>
            <w:vMerge w:val="continue"/>
          </w:tcPr>
          <w:p>
            <w:pPr>
              <w:spacing w:line="300" w:lineRule="exact"/>
              <w:jc w:val="left"/>
              <w:outlineLvl w:val="0"/>
              <w:rPr>
                <w:rFonts w:ascii="?????_GBK" w:hAnsi="?????_GBK" w:cs="?????_GBK"/>
                <w:b/>
                <w:sz w:val="32"/>
              </w:rPr>
            </w:pPr>
          </w:p>
        </w:tc>
        <w:tc>
          <w:tcPr>
            <w:tcW w:w="709" w:type="dxa"/>
            <w:vMerge w:val="continue"/>
          </w:tcPr>
          <w:p>
            <w:pPr>
              <w:spacing w:line="300" w:lineRule="exact"/>
              <w:jc w:val="left"/>
              <w:outlineLvl w:val="0"/>
              <w:rPr>
                <w:rFonts w:ascii="?????_GBK" w:hAnsi="?????_GBK" w:cs="?????_GBK"/>
                <w:b/>
                <w:sz w:val="32"/>
              </w:rPr>
            </w:pPr>
          </w:p>
        </w:tc>
        <w:tc>
          <w:tcPr>
            <w:tcW w:w="907" w:type="dxa"/>
            <w:vMerge w:val="continue"/>
          </w:tcPr>
          <w:p>
            <w:pPr>
              <w:spacing w:line="300" w:lineRule="exact"/>
              <w:jc w:val="left"/>
              <w:outlineLvl w:val="0"/>
              <w:rPr>
                <w:rFonts w:ascii="?????_GBK" w:hAnsi="?????_GBK" w:cs="?????_GBK"/>
                <w:b/>
                <w:sz w:val="32"/>
              </w:rPr>
            </w:pPr>
          </w:p>
        </w:tc>
        <w:tc>
          <w:tcPr>
            <w:tcW w:w="907" w:type="dxa"/>
            <w:vMerge w:val="continue"/>
          </w:tcPr>
          <w:p>
            <w:pPr>
              <w:spacing w:line="300" w:lineRule="exact"/>
              <w:jc w:val="left"/>
              <w:outlineLvl w:val="0"/>
              <w:rPr>
                <w:rFonts w:ascii="?????_GBK" w:hAnsi="?????_GBK" w:cs="?????_GBK"/>
                <w:b/>
                <w:sz w:val="32"/>
              </w:rPr>
            </w:pPr>
          </w:p>
        </w:tc>
        <w:tc>
          <w:tcPr>
            <w:tcW w:w="1134" w:type="dxa"/>
            <w:vAlign w:val="center"/>
          </w:tcPr>
          <w:p>
            <w:pPr>
              <w:spacing w:line="300" w:lineRule="exact"/>
              <w:jc w:val="center"/>
              <w:rPr>
                <w:rFonts w:ascii="????_GBK" w:hAnsi="????_GBK" w:cs="????_GBK"/>
                <w:b/>
              </w:rPr>
            </w:pPr>
            <w:r>
              <w:rPr>
                <w:rFonts w:hint="eastAsia" w:ascii="????_GBK" w:hAnsi="????_GBK" w:cs="????_GBK"/>
                <w:b/>
              </w:rPr>
              <w:t>合计</w:t>
            </w:r>
          </w:p>
        </w:tc>
        <w:tc>
          <w:tcPr>
            <w:tcW w:w="1134" w:type="dxa"/>
            <w:vAlign w:val="center"/>
          </w:tcPr>
          <w:p>
            <w:pPr>
              <w:spacing w:line="300" w:lineRule="exact"/>
              <w:jc w:val="center"/>
              <w:rPr>
                <w:rFonts w:ascii="????_GBK" w:hAnsi="????_GBK" w:cs="????_GBK"/>
                <w:b/>
              </w:rPr>
            </w:pPr>
            <w:r>
              <w:rPr>
                <w:rFonts w:hint="eastAsia" w:ascii="????_GBK" w:hAnsi="????_GBK" w:cs="????_GBK"/>
                <w:b/>
              </w:rPr>
              <w:t>一般公共预算拨款</w:t>
            </w:r>
          </w:p>
        </w:tc>
        <w:tc>
          <w:tcPr>
            <w:tcW w:w="1134" w:type="dxa"/>
            <w:vAlign w:val="center"/>
          </w:tcPr>
          <w:p>
            <w:pPr>
              <w:spacing w:line="300" w:lineRule="exact"/>
              <w:jc w:val="center"/>
              <w:rPr>
                <w:rFonts w:ascii="????_GBK" w:hAnsi="????_GBK" w:cs="????_GBK"/>
                <w:b/>
              </w:rPr>
            </w:pPr>
            <w:r>
              <w:rPr>
                <w:rFonts w:hint="eastAsia" w:ascii="????_GBK" w:hAnsi="????_GBK" w:cs="????_GBK"/>
                <w:b/>
              </w:rPr>
              <w:t>基金预算拨款</w:t>
            </w:r>
          </w:p>
        </w:tc>
        <w:tc>
          <w:tcPr>
            <w:tcW w:w="1134" w:type="dxa"/>
            <w:vAlign w:val="center"/>
          </w:tcPr>
          <w:p>
            <w:pPr>
              <w:spacing w:line="300" w:lineRule="exact"/>
              <w:jc w:val="center"/>
              <w:rPr>
                <w:rFonts w:ascii="????_GBK" w:hAnsi="????_GBK" w:cs="????_GBK"/>
                <w:b/>
              </w:rPr>
            </w:pPr>
            <w:r>
              <w:rPr>
                <w:rFonts w:hint="eastAsia" w:ascii="????_GBK" w:hAnsi="????_GBK" w:cs="????_GBK"/>
                <w:b/>
              </w:rPr>
              <w:t>国有资本经营预算拨款</w:t>
            </w:r>
          </w:p>
        </w:tc>
        <w:tc>
          <w:tcPr>
            <w:tcW w:w="1134" w:type="dxa"/>
            <w:vAlign w:val="center"/>
          </w:tcPr>
          <w:p>
            <w:pPr>
              <w:spacing w:line="300" w:lineRule="exact"/>
              <w:jc w:val="center"/>
              <w:rPr>
                <w:rFonts w:ascii="????_GBK" w:hAnsi="????_GBK" w:cs="????_GBK"/>
                <w:b/>
              </w:rPr>
            </w:pPr>
            <w:r>
              <w:rPr>
                <w:rFonts w:hint="eastAsia" w:ascii="????_GBK" w:hAnsi="????_GBK" w:cs="????_GBK"/>
                <w:b/>
              </w:rPr>
              <w:t>财政专户核拨</w:t>
            </w:r>
          </w:p>
        </w:tc>
        <w:tc>
          <w:tcPr>
            <w:tcW w:w="1134" w:type="dxa"/>
            <w:vAlign w:val="center"/>
          </w:tcPr>
          <w:p>
            <w:pPr>
              <w:spacing w:line="300" w:lineRule="exact"/>
              <w:jc w:val="center"/>
              <w:rPr>
                <w:rFonts w:ascii="????_GBK" w:hAnsi="????_GBK" w:cs="????_GBK"/>
                <w:b/>
              </w:rPr>
            </w:pPr>
            <w:r>
              <w:rPr>
                <w:rFonts w:hint="eastAsia" w:ascii="????_GBK" w:hAnsi="????_GBK" w:cs="????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ascii="????_GBK" w:hAnsi="????_GBK" w:cs="????_GBK"/>
                <w:b/>
              </w:rPr>
            </w:pPr>
            <w:r>
              <w:rPr>
                <w:rFonts w:hint="eastAsia" w:ascii="????_GBK" w:hAnsi="????_GBK" w:cs="????_GBK"/>
                <w:b/>
              </w:rPr>
              <w:t>隆尧县医疗保障局小计</w:t>
            </w:r>
          </w:p>
        </w:tc>
        <w:tc>
          <w:tcPr>
            <w:tcW w:w="1134" w:type="dxa"/>
            <w:vAlign w:val="center"/>
          </w:tcPr>
          <w:p>
            <w:pPr>
              <w:spacing w:line="300" w:lineRule="exact"/>
              <w:jc w:val="right"/>
              <w:rPr>
                <w:rFonts w:ascii="????_GBK" w:hAnsi="????_GBK" w:cs="????_GBK"/>
                <w:b/>
              </w:rPr>
            </w:pPr>
          </w:p>
        </w:tc>
        <w:tc>
          <w:tcPr>
            <w:tcW w:w="1376" w:type="dxa"/>
            <w:vAlign w:val="center"/>
          </w:tcPr>
          <w:p>
            <w:pPr>
              <w:spacing w:line="300" w:lineRule="exact"/>
              <w:jc w:val="left"/>
              <w:rPr>
                <w:rFonts w:ascii="????_GBK" w:hAnsi="????_GBK" w:cs="????_GBK"/>
                <w:b/>
              </w:rPr>
            </w:pPr>
          </w:p>
        </w:tc>
        <w:tc>
          <w:tcPr>
            <w:tcW w:w="1686" w:type="dxa"/>
            <w:vAlign w:val="center"/>
          </w:tcPr>
          <w:p>
            <w:pPr>
              <w:spacing w:line="300" w:lineRule="exact"/>
              <w:jc w:val="left"/>
              <w:rPr>
                <w:rFonts w:ascii="????_GBK" w:hAnsi="????_GBK" w:cs="????_GBK"/>
                <w:b/>
              </w:rPr>
            </w:pPr>
          </w:p>
        </w:tc>
        <w:tc>
          <w:tcPr>
            <w:tcW w:w="709" w:type="dxa"/>
            <w:vAlign w:val="center"/>
          </w:tcPr>
          <w:p>
            <w:pPr>
              <w:spacing w:line="300" w:lineRule="exact"/>
              <w:jc w:val="center"/>
              <w:rPr>
                <w:rFonts w:ascii="????_GBK" w:hAnsi="????_GBK" w:cs="????_GBK"/>
                <w:b/>
              </w:rPr>
            </w:pPr>
          </w:p>
        </w:tc>
        <w:tc>
          <w:tcPr>
            <w:tcW w:w="907" w:type="dxa"/>
            <w:vAlign w:val="center"/>
          </w:tcPr>
          <w:p>
            <w:pPr>
              <w:spacing w:line="300" w:lineRule="exact"/>
              <w:jc w:val="right"/>
              <w:rPr>
                <w:rFonts w:ascii="????_GBK" w:hAnsi="????_GBK" w:cs="????_GBK"/>
                <w:b/>
              </w:rPr>
            </w:pPr>
          </w:p>
        </w:tc>
        <w:tc>
          <w:tcPr>
            <w:tcW w:w="907" w:type="dxa"/>
            <w:vAlign w:val="center"/>
          </w:tcPr>
          <w:p>
            <w:pPr>
              <w:spacing w:line="300" w:lineRule="exact"/>
              <w:jc w:val="right"/>
              <w:rPr>
                <w:rFonts w:ascii="????_GBK" w:hAnsi="????_GBK" w:cs="????_GBK"/>
                <w:b/>
              </w:rPr>
            </w:pPr>
          </w:p>
        </w:tc>
        <w:tc>
          <w:tcPr>
            <w:tcW w:w="1134" w:type="dxa"/>
            <w:vAlign w:val="center"/>
          </w:tcPr>
          <w:p>
            <w:pPr>
              <w:spacing w:line="300" w:lineRule="exact"/>
              <w:jc w:val="right"/>
              <w:rPr>
                <w:rFonts w:hint="default" w:ascii="宋体" w:hAnsi="宋体" w:eastAsia="宋体" w:cs="????_GBK"/>
                <w:b/>
                <w:lang w:val="en-US" w:eastAsia="zh-CN"/>
              </w:rPr>
            </w:pPr>
            <w:r>
              <w:rPr>
                <w:rFonts w:hint="eastAsia" w:ascii="宋体" w:hAnsi="宋体" w:cs="????_GBK"/>
                <w:b/>
                <w:lang w:val="en-US" w:eastAsia="zh-CN"/>
              </w:rPr>
              <w:t>12.77</w:t>
            </w:r>
          </w:p>
        </w:tc>
        <w:tc>
          <w:tcPr>
            <w:tcW w:w="1134" w:type="dxa"/>
            <w:vAlign w:val="center"/>
          </w:tcPr>
          <w:p>
            <w:pPr>
              <w:spacing w:line="300" w:lineRule="exact"/>
              <w:jc w:val="right"/>
              <w:rPr>
                <w:rFonts w:hint="default" w:ascii="宋体" w:hAnsi="宋体" w:eastAsia="宋体" w:cs="????_GBK"/>
                <w:b/>
                <w:lang w:val="en-US" w:eastAsia="zh-CN"/>
              </w:rPr>
            </w:pPr>
            <w:r>
              <w:rPr>
                <w:rFonts w:hint="eastAsia" w:ascii="宋体" w:hAnsi="宋体" w:cs="????_GBK"/>
                <w:b/>
                <w:lang w:val="en-US" w:eastAsia="zh-CN"/>
              </w:rPr>
              <w:t>12.77</w:t>
            </w:r>
          </w:p>
        </w:tc>
        <w:tc>
          <w:tcPr>
            <w:tcW w:w="1134" w:type="dxa"/>
            <w:vAlign w:val="center"/>
          </w:tcPr>
          <w:p>
            <w:pPr>
              <w:spacing w:line="300" w:lineRule="exact"/>
              <w:jc w:val="right"/>
              <w:rPr>
                <w:rFonts w:ascii="????_GBK" w:hAnsi="????_GBK" w:cs="????_GBK"/>
                <w:b/>
              </w:rPr>
            </w:pPr>
          </w:p>
        </w:tc>
        <w:tc>
          <w:tcPr>
            <w:tcW w:w="1134" w:type="dxa"/>
            <w:vAlign w:val="center"/>
          </w:tcPr>
          <w:p>
            <w:pPr>
              <w:spacing w:line="300" w:lineRule="exact"/>
              <w:jc w:val="right"/>
              <w:rPr>
                <w:rFonts w:ascii="????_GBK" w:hAnsi="????_GBK" w:cs="????_GBK"/>
                <w:b/>
              </w:rPr>
            </w:pPr>
          </w:p>
        </w:tc>
        <w:tc>
          <w:tcPr>
            <w:tcW w:w="1134" w:type="dxa"/>
            <w:vAlign w:val="center"/>
          </w:tcPr>
          <w:p>
            <w:pPr>
              <w:spacing w:line="300" w:lineRule="exact"/>
              <w:jc w:val="right"/>
              <w:rPr>
                <w:rFonts w:ascii="????_GBK" w:hAnsi="????_GBK" w:cs="????_GBK"/>
                <w:b/>
              </w:rPr>
            </w:pPr>
          </w:p>
        </w:tc>
        <w:tc>
          <w:tcPr>
            <w:tcW w:w="1134" w:type="dxa"/>
            <w:vAlign w:val="center"/>
          </w:tcPr>
          <w:p>
            <w:pPr>
              <w:spacing w:line="300" w:lineRule="exact"/>
              <w:jc w:val="right"/>
              <w:rPr>
                <w:rFonts w:ascii="????_GBK" w:hAnsi="????_GBK" w:cs="????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18.17</w:t>
            </w:r>
          </w:p>
        </w:tc>
        <w:tc>
          <w:tcPr>
            <w:tcW w:w="1376" w:type="dxa"/>
            <w:vAlign w:val="center"/>
          </w:tcPr>
          <w:p>
            <w:pPr>
              <w:spacing w:line="300" w:lineRule="exact"/>
              <w:jc w:val="left"/>
              <w:rPr>
                <w:rFonts w:hint="eastAsia" w:ascii="仿宋" w:hAnsi="仿宋" w:eastAsia="仿宋" w:cs="????_GBK"/>
                <w:sz w:val="24"/>
                <w:szCs w:val="24"/>
                <w:lang w:eastAsia="zh-CN"/>
              </w:rPr>
            </w:pPr>
            <w:r>
              <w:rPr>
                <w:rFonts w:hint="eastAsia" w:ascii="仿宋" w:hAnsi="仿宋" w:eastAsia="仿宋" w:cs="????_GBK"/>
                <w:sz w:val="24"/>
                <w:szCs w:val="24"/>
                <w:lang w:val="en-US" w:eastAsia="zh-CN"/>
              </w:rPr>
              <w:t>办公套件</w:t>
            </w:r>
          </w:p>
        </w:tc>
        <w:tc>
          <w:tcPr>
            <w:tcW w:w="1686" w:type="dxa"/>
            <w:vAlign w:val="center"/>
          </w:tcPr>
          <w:p>
            <w:pPr>
              <w:spacing w:line="300" w:lineRule="exact"/>
              <w:jc w:val="left"/>
              <w:rPr>
                <w:rFonts w:hint="default" w:ascii="仿宋" w:hAnsi="仿宋" w:eastAsia="仿宋" w:cs="????_GBK"/>
                <w:sz w:val="24"/>
                <w:szCs w:val="24"/>
                <w:lang w:val="en-US" w:eastAsia="zh-CN"/>
              </w:rPr>
            </w:pPr>
            <w:r>
              <w:rPr>
                <w:rFonts w:ascii="仿宋" w:hAnsi="仿宋" w:eastAsia="仿宋" w:cs="????_GBK"/>
                <w:sz w:val="24"/>
                <w:szCs w:val="24"/>
              </w:rPr>
              <w:t>A0201</w:t>
            </w:r>
            <w:r>
              <w:rPr>
                <w:rFonts w:hint="eastAsia" w:ascii="仿宋" w:hAnsi="仿宋" w:eastAsia="仿宋" w:cs="????_GBK"/>
                <w:sz w:val="24"/>
                <w:szCs w:val="24"/>
                <w:lang w:val="en-US" w:eastAsia="zh-CN"/>
              </w:rPr>
              <w:t>080104</w:t>
            </w:r>
          </w:p>
        </w:tc>
        <w:tc>
          <w:tcPr>
            <w:tcW w:w="709" w:type="dxa"/>
            <w:vAlign w:val="center"/>
          </w:tcPr>
          <w:p>
            <w:pPr>
              <w:spacing w:line="300" w:lineRule="exact"/>
              <w:jc w:val="center"/>
              <w:rPr>
                <w:rFonts w:hint="eastAsia" w:ascii="仿宋" w:hAnsi="仿宋" w:eastAsia="仿宋" w:cs="????_GBK"/>
                <w:sz w:val="24"/>
                <w:szCs w:val="24"/>
                <w:lang w:eastAsia="zh-CN"/>
              </w:rPr>
            </w:pPr>
            <w:r>
              <w:rPr>
                <w:rFonts w:hint="eastAsia" w:ascii="仿宋" w:hAnsi="仿宋" w:eastAsia="仿宋" w:cs="????_GBK"/>
                <w:sz w:val="24"/>
                <w:szCs w:val="24"/>
                <w:lang w:val="en-US" w:eastAsia="zh-CN"/>
              </w:rPr>
              <w:t>批</w:t>
            </w:r>
          </w:p>
        </w:tc>
        <w:tc>
          <w:tcPr>
            <w:tcW w:w="907" w:type="dxa"/>
            <w:vAlign w:val="center"/>
          </w:tcPr>
          <w:p>
            <w:pPr>
              <w:spacing w:line="300" w:lineRule="exact"/>
              <w:jc w:val="right"/>
              <w:rPr>
                <w:rFonts w:ascii="仿宋" w:hAnsi="仿宋" w:eastAsia="仿宋" w:cs="????_GBK"/>
                <w:sz w:val="24"/>
                <w:szCs w:val="24"/>
              </w:rPr>
            </w:pPr>
            <w:r>
              <w:rPr>
                <w:rFonts w:hint="eastAsia" w:ascii="仿宋" w:hAnsi="仿宋" w:eastAsia="仿宋" w:cs="????_GBK"/>
                <w:sz w:val="24"/>
                <w:szCs w:val="24"/>
                <w:lang w:val="en-US" w:eastAsia="zh-CN"/>
              </w:rPr>
              <w:t>1</w:t>
            </w:r>
            <w:r>
              <w:rPr>
                <w:rFonts w:ascii="仿宋" w:hAnsi="仿宋" w:eastAsia="仿宋" w:cs="????_GBK"/>
                <w:sz w:val="24"/>
                <w:szCs w:val="24"/>
              </w:rPr>
              <w:t>.00</w:t>
            </w:r>
          </w:p>
        </w:tc>
        <w:tc>
          <w:tcPr>
            <w:tcW w:w="907"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5.77</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5.77</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5.77</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376" w:type="dxa"/>
            <w:vAlign w:val="center"/>
          </w:tcPr>
          <w:p>
            <w:pPr>
              <w:spacing w:line="300" w:lineRule="exact"/>
              <w:jc w:val="left"/>
              <w:rPr>
                <w:rFonts w:hint="eastAsia" w:ascii="仿宋" w:hAnsi="仿宋" w:eastAsia="仿宋" w:cs="????_GBK"/>
                <w:sz w:val="24"/>
                <w:szCs w:val="24"/>
                <w:lang w:val="en-US" w:eastAsia="zh-CN"/>
              </w:rPr>
            </w:pPr>
            <w:r>
              <w:rPr>
                <w:rFonts w:hint="eastAsia" w:ascii="仿宋" w:hAnsi="仿宋" w:eastAsia="仿宋" w:cs="????_GBK"/>
                <w:sz w:val="24"/>
                <w:szCs w:val="24"/>
                <w:lang w:val="en-US" w:eastAsia="zh-CN"/>
              </w:rPr>
              <w:t>办公套件</w:t>
            </w:r>
          </w:p>
        </w:tc>
        <w:tc>
          <w:tcPr>
            <w:tcW w:w="1686" w:type="dxa"/>
            <w:vAlign w:val="center"/>
          </w:tcPr>
          <w:p>
            <w:pPr>
              <w:spacing w:line="300" w:lineRule="exact"/>
              <w:jc w:val="left"/>
              <w:rPr>
                <w:rFonts w:hint="default" w:ascii="仿宋" w:hAnsi="仿宋" w:eastAsia="仿宋" w:cs="????_GBK"/>
                <w:sz w:val="24"/>
                <w:szCs w:val="24"/>
                <w:lang w:val="en-US" w:eastAsia="zh-CN"/>
              </w:rPr>
            </w:pPr>
            <w:r>
              <w:rPr>
                <w:rFonts w:ascii="仿宋" w:hAnsi="仿宋" w:eastAsia="仿宋" w:cs="????_GBK"/>
                <w:sz w:val="24"/>
                <w:szCs w:val="24"/>
              </w:rPr>
              <w:t>A0201</w:t>
            </w:r>
            <w:r>
              <w:rPr>
                <w:rFonts w:hint="eastAsia" w:ascii="仿宋" w:hAnsi="仿宋" w:eastAsia="仿宋" w:cs="????_GBK"/>
                <w:sz w:val="24"/>
                <w:szCs w:val="24"/>
                <w:lang w:val="en-US" w:eastAsia="zh-CN"/>
              </w:rPr>
              <w:t>080104</w:t>
            </w:r>
          </w:p>
        </w:tc>
        <w:tc>
          <w:tcPr>
            <w:tcW w:w="709" w:type="dxa"/>
            <w:vAlign w:val="center"/>
          </w:tcPr>
          <w:p>
            <w:pPr>
              <w:spacing w:line="300" w:lineRule="exact"/>
              <w:jc w:val="center"/>
              <w:rPr>
                <w:rFonts w:hint="eastAsia" w:ascii="仿宋" w:hAnsi="仿宋" w:eastAsia="仿宋" w:cs="????_GBK"/>
                <w:sz w:val="24"/>
                <w:szCs w:val="24"/>
                <w:lang w:eastAsia="zh-CN"/>
              </w:rPr>
            </w:pPr>
            <w:r>
              <w:rPr>
                <w:rFonts w:hint="eastAsia" w:ascii="仿宋" w:hAnsi="仿宋" w:eastAsia="仿宋" w:cs="????_GBK"/>
                <w:sz w:val="24"/>
                <w:szCs w:val="24"/>
                <w:lang w:val="en-US" w:eastAsia="zh-CN"/>
              </w:rPr>
              <w:t>批</w:t>
            </w:r>
          </w:p>
        </w:tc>
        <w:tc>
          <w:tcPr>
            <w:tcW w:w="907" w:type="dxa"/>
            <w:vAlign w:val="center"/>
          </w:tcPr>
          <w:p>
            <w:pPr>
              <w:spacing w:line="300" w:lineRule="exact"/>
              <w:jc w:val="right"/>
              <w:rPr>
                <w:rFonts w:hint="default" w:ascii="仿宋" w:hAnsi="仿宋" w:eastAsia="仿宋" w:cs="????_GBK"/>
                <w:sz w:val="24"/>
                <w:szCs w:val="24"/>
                <w:lang w:val="en-US"/>
              </w:rPr>
            </w:pPr>
            <w:r>
              <w:rPr>
                <w:rFonts w:hint="eastAsia" w:ascii="仿宋" w:hAnsi="仿宋" w:eastAsia="仿宋" w:cs="????_GBK"/>
                <w:sz w:val="24"/>
                <w:szCs w:val="24"/>
                <w:lang w:val="en-US" w:eastAsia="zh-CN"/>
              </w:rPr>
              <w:t>1.00</w:t>
            </w:r>
          </w:p>
        </w:tc>
        <w:tc>
          <w:tcPr>
            <w:tcW w:w="907"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5.0</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5.0</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5.0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376" w:type="dxa"/>
            <w:vAlign w:val="center"/>
          </w:tcPr>
          <w:p>
            <w:pPr>
              <w:spacing w:line="300" w:lineRule="exact"/>
              <w:jc w:val="lef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物业管理服务</w:t>
            </w:r>
          </w:p>
        </w:tc>
        <w:tc>
          <w:tcPr>
            <w:tcW w:w="1686" w:type="dxa"/>
            <w:vAlign w:val="center"/>
          </w:tcPr>
          <w:p>
            <w:pPr>
              <w:spacing w:line="300" w:lineRule="exact"/>
              <w:jc w:val="lef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C1204</w:t>
            </w:r>
          </w:p>
        </w:tc>
        <w:tc>
          <w:tcPr>
            <w:tcW w:w="709" w:type="dxa"/>
            <w:vAlign w:val="center"/>
          </w:tcPr>
          <w:p>
            <w:pPr>
              <w:spacing w:line="300" w:lineRule="exact"/>
              <w:jc w:val="center"/>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次</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907"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2.0</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2.0</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2.0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bl>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隆尧县医疗保障局</w:t>
      </w:r>
      <w:r>
        <w:rPr>
          <w:rFonts w:hint="eastAsia" w:ascii="Times New Roman" w:hAnsi="Times New Roman" w:eastAsia="仿宋" w:cs="Times New Roman"/>
          <w:color w:val="000000"/>
          <w:sz w:val="32"/>
          <w:szCs w:val="32"/>
          <w:lang w:val="en-US" w:eastAsia="zh-CN"/>
        </w:rPr>
        <w:t>2020</w:t>
      </w:r>
      <w:r>
        <w:rPr>
          <w:rFonts w:hint="eastAsia"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47.046</w:t>
      </w:r>
      <w:r>
        <w:rPr>
          <w:rFonts w:hint="eastAsia" w:ascii="Times New Roman" w:hAnsi="Times New Roman" w:eastAsia="仿宋" w:cs="Times New Roman"/>
          <w:color w:val="000000"/>
          <w:sz w:val="32"/>
          <w:szCs w:val="32"/>
        </w:rPr>
        <w:t>万元（详见下表），本年度本单位拟购置固定资产总额为</w:t>
      </w:r>
      <w:r>
        <w:rPr>
          <w:rFonts w:hint="eastAsia" w:ascii="Times New Roman" w:hAnsi="Times New Roman" w:eastAsia="仿宋" w:cs="Times New Roman"/>
          <w:color w:val="000000"/>
          <w:sz w:val="32"/>
          <w:szCs w:val="32"/>
          <w:lang w:val="en-US" w:eastAsia="zh-CN"/>
        </w:rPr>
        <w:t>12.77</w:t>
      </w:r>
      <w:r>
        <w:rPr>
          <w:rFonts w:hint="eastAsia"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val="en-US" w:eastAsia="zh-CN"/>
        </w:rPr>
        <w:t>办公套件和物业管理服务</w:t>
      </w:r>
      <w:r>
        <w:rPr>
          <w:rFonts w:hint="eastAsia" w:ascii="Times New Roman" w:hAnsi="Times New Roman" w:eastAsia="仿宋" w:cs="Times New Roman"/>
          <w:color w:val="000000"/>
          <w:sz w:val="32"/>
          <w:szCs w:val="32"/>
        </w:rPr>
        <w:t>，已列入政府采购预算表，详见政府采购预算表。</w:t>
      </w:r>
    </w:p>
    <w:tbl>
      <w:tblPr>
        <w:tblStyle w:val="7"/>
        <w:tblW w:w="13338" w:type="dxa"/>
        <w:tblInd w:w="237" w:type="dxa"/>
        <w:tblLayout w:type="fixed"/>
        <w:tblCellMar>
          <w:top w:w="0" w:type="dxa"/>
          <w:left w:w="108" w:type="dxa"/>
          <w:bottom w:w="0" w:type="dxa"/>
          <w:right w:w="108" w:type="dxa"/>
        </w:tblCellMar>
      </w:tblPr>
      <w:tblGrid>
        <w:gridCol w:w="5080"/>
        <w:gridCol w:w="3155"/>
        <w:gridCol w:w="5103"/>
      </w:tblGrid>
      <w:tr>
        <w:tblPrEx>
          <w:tblCellMar>
            <w:top w:w="0" w:type="dxa"/>
            <w:left w:w="108" w:type="dxa"/>
            <w:bottom w:w="0" w:type="dxa"/>
            <w:right w:w="108" w:type="dxa"/>
          </w:tblCellMar>
        </w:tblPrEx>
        <w:trPr>
          <w:trHeight w:val="705" w:hRule="atLeast"/>
        </w:trPr>
        <w:tc>
          <w:tcPr>
            <w:tcW w:w="13338"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隆尧县县直部门固定资产占用情况表</w:t>
            </w:r>
          </w:p>
        </w:tc>
      </w:tr>
      <w:tr>
        <w:tblPrEx>
          <w:tblCellMar>
            <w:top w:w="0" w:type="dxa"/>
            <w:left w:w="108" w:type="dxa"/>
            <w:bottom w:w="0" w:type="dxa"/>
            <w:right w:w="108" w:type="dxa"/>
          </w:tblCellMar>
        </w:tblPrEx>
        <w:trPr>
          <w:trHeight w:val="510" w:hRule="atLeast"/>
        </w:trPr>
        <w:tc>
          <w:tcPr>
            <w:tcW w:w="8235"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编制部门：隆尧县医疗保障局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w:t>
            </w:r>
            <w:r>
              <w:rPr>
                <w:rFonts w:hint="eastAsia" w:ascii="Times New Roman" w:hAnsi="Times New Roman" w:eastAsia="仿宋" w:cs="Times New Roman"/>
                <w:kern w:val="0"/>
                <w:sz w:val="22"/>
                <w:lang w:val="en-US" w:eastAsia="zh-CN"/>
              </w:rPr>
              <w:t>20</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508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auto"/>
                <w:kern w:val="0"/>
                <w:sz w:val="22"/>
                <w:lang w:val="en-US" w:eastAsia="zh-CN"/>
              </w:rPr>
              <w:t>47.046</w:t>
            </w: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widowControl/>
              <w:jc w:val="both"/>
              <w:rPr>
                <w:rFonts w:hint="eastAsia" w:ascii="Times New Roman" w:hAnsi="Times New Roman" w:eastAsia="仿宋" w:cs="Times New Roman"/>
                <w:kern w:val="0"/>
                <w:sz w:val="22"/>
                <w:lang w:val="en-US" w:eastAsia="zh-CN"/>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、单价在</w:t>
            </w:r>
            <w:r>
              <w:rPr>
                <w:rFonts w:ascii="Times New Roman" w:hAnsi="Times New Roman" w:eastAsia="仿宋" w:cs="Times New Roman"/>
                <w:kern w:val="0"/>
                <w:sz w:val="22"/>
              </w:rPr>
              <w:t>20</w:t>
            </w:r>
            <w:r>
              <w:rPr>
                <w:rFonts w:hint="eastAsia" w:ascii="Times New Roman" w:hAnsi="Times New Roman" w:eastAsia="仿宋" w:cs="Times New Roman"/>
                <w:kern w:val="0"/>
                <w:sz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4、通用设备</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95</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25.93</w:t>
            </w: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5、专用设备</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0.456</w:t>
            </w: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6、家具、用具、装具</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288</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20.66</w:t>
            </w: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7</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Style w:val="15"/>
          <w:rFonts w:hint="eastAsia"/>
        </w:rPr>
        <w:t>、</w:t>
      </w:r>
      <w:r>
        <w:rPr>
          <w:rStyle w:val="15"/>
          <w:rFonts w:hint="eastAsia" w:ascii="仿宋" w:hAnsi="仿宋" w:eastAsia="仿宋"/>
          <w:sz w:val="32"/>
          <w:szCs w:val="32"/>
        </w:rPr>
        <w:t>机关运行费：是指单位</w:t>
      </w:r>
      <w:r>
        <w:rPr>
          <w:rFonts w:hint="eastAsia" w:ascii="Times New Roman" w:hAnsi="Times New Roman" w:eastAsia="仿宋" w:cs="Times New Roman"/>
          <w:sz w:val="32"/>
          <w:szCs w:val="32"/>
        </w:rPr>
        <w:t>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Times New Roman"/>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_GBK">
    <w:altName w:val="Segoe Print"/>
    <w:panose1 w:val="00000000000000000000"/>
    <w:charset w:val="00"/>
    <w:family w:val="auto"/>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_GBK">
    <w:altName w:val="Segoe Print"/>
    <w:panose1 w:val="00000000000000000000"/>
    <w:charset w:val="00"/>
    <w:family w:val="auto"/>
    <w:pitch w:val="default"/>
    <w:sig w:usb0="00000000" w:usb1="00000000" w:usb2="00000000" w:usb3="00000000" w:csb0="00000001" w:csb1="00000000"/>
  </w:font>
  <w:font w:name="方正仿宋_GBK">
    <w:altName w:val="宋体"/>
    <w:panose1 w:val="00000000000000000000"/>
    <w:charset w:val="86"/>
    <w:family w:val="roman"/>
    <w:pitch w:val="default"/>
    <w:sig w:usb0="00000000" w:usb1="00000000" w:usb2="00000000" w:usb3="00000000" w:csb0="00040001" w:csb1="00000000"/>
  </w:font>
  <w:font w:name="方正黑体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宋体-方正超大字符集">
    <w:altName w:val="宋体"/>
    <w:panose1 w:val="00000000000000000000"/>
    <w:charset w:val="86"/>
    <w:family w:val="auto"/>
    <w:pitch w:val="default"/>
    <w:sig w:usb0="00000000" w:usb1="00000000" w:usb2="0000001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18</w:t>
    </w:r>
    <w:r>
      <w:rPr>
        <w:rStyle w:val="15"/>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ZhZjRhNjFiNzQ0ZjM2MTEwZjRjZDFmZWRjNWFjZTQifQ=="/>
  </w:docVars>
  <w:rsids>
    <w:rsidRoot w:val="00EE71BA"/>
    <w:rsid w:val="000C7140"/>
    <w:rsid w:val="000E348D"/>
    <w:rsid w:val="00176E96"/>
    <w:rsid w:val="00192F26"/>
    <w:rsid w:val="001C19AF"/>
    <w:rsid w:val="001E46AB"/>
    <w:rsid w:val="001F18E9"/>
    <w:rsid w:val="001F30DB"/>
    <w:rsid w:val="00204781"/>
    <w:rsid w:val="002231D3"/>
    <w:rsid w:val="00253EEE"/>
    <w:rsid w:val="002C2828"/>
    <w:rsid w:val="002D5121"/>
    <w:rsid w:val="002E3DBF"/>
    <w:rsid w:val="00323B29"/>
    <w:rsid w:val="0039059E"/>
    <w:rsid w:val="003F1F9C"/>
    <w:rsid w:val="00402347"/>
    <w:rsid w:val="00434734"/>
    <w:rsid w:val="005A6148"/>
    <w:rsid w:val="006D1AB6"/>
    <w:rsid w:val="006F0D6A"/>
    <w:rsid w:val="007B10D3"/>
    <w:rsid w:val="007C0859"/>
    <w:rsid w:val="007F0341"/>
    <w:rsid w:val="00800FA7"/>
    <w:rsid w:val="00872E94"/>
    <w:rsid w:val="008F79DB"/>
    <w:rsid w:val="00905792"/>
    <w:rsid w:val="00905860"/>
    <w:rsid w:val="00991916"/>
    <w:rsid w:val="009A521C"/>
    <w:rsid w:val="009F039C"/>
    <w:rsid w:val="00A41B4E"/>
    <w:rsid w:val="00A578AD"/>
    <w:rsid w:val="00AE26D8"/>
    <w:rsid w:val="00AF25C3"/>
    <w:rsid w:val="00B24B6A"/>
    <w:rsid w:val="00B93E94"/>
    <w:rsid w:val="00BF10DB"/>
    <w:rsid w:val="00C7214E"/>
    <w:rsid w:val="00C91F12"/>
    <w:rsid w:val="00CE397A"/>
    <w:rsid w:val="00D607DA"/>
    <w:rsid w:val="00DC6834"/>
    <w:rsid w:val="00DC6EE5"/>
    <w:rsid w:val="00DD6661"/>
    <w:rsid w:val="00DF0657"/>
    <w:rsid w:val="00DF594F"/>
    <w:rsid w:val="00E05A8F"/>
    <w:rsid w:val="00E358FF"/>
    <w:rsid w:val="00EE71BA"/>
    <w:rsid w:val="00F53751"/>
    <w:rsid w:val="00F867E4"/>
    <w:rsid w:val="07AD5E6F"/>
    <w:rsid w:val="0BB66BA6"/>
    <w:rsid w:val="14464B5B"/>
    <w:rsid w:val="1ACF21CE"/>
    <w:rsid w:val="1BDC0C0C"/>
    <w:rsid w:val="2473030A"/>
    <w:rsid w:val="258129BE"/>
    <w:rsid w:val="26031D75"/>
    <w:rsid w:val="2E8F49E4"/>
    <w:rsid w:val="2FCD67FF"/>
    <w:rsid w:val="35CA0717"/>
    <w:rsid w:val="3EF773F5"/>
    <w:rsid w:val="3F721C1A"/>
    <w:rsid w:val="49D35B18"/>
    <w:rsid w:val="53DA1367"/>
    <w:rsid w:val="54E66134"/>
    <w:rsid w:val="57E24704"/>
    <w:rsid w:val="598475B1"/>
    <w:rsid w:val="6306532F"/>
    <w:rsid w:val="64A064AA"/>
    <w:rsid w:val="64CE2822"/>
    <w:rsid w:val="67095D94"/>
    <w:rsid w:val="6A08487A"/>
    <w:rsid w:val="74330D8F"/>
    <w:rsid w:val="7B201AC7"/>
    <w:rsid w:val="7E6C395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footnote text"/>
    <w:basedOn w:val="1"/>
    <w:link w:val="13"/>
    <w:qFormat/>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table" w:styleId="8">
    <w:name w:val="Table Grid"/>
    <w:basedOn w:val="7"/>
    <w:qFormat/>
    <w:locked/>
    <w:uiPriority w:val="99"/>
    <w:pPr>
      <w:widowControl w:val="0"/>
      <w:jc w:val="both"/>
    </w:pPr>
    <w:rPr>
      <w:rFonts w:ascii="Calibri" w:hAnsi="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basedOn w:val="9"/>
    <w:qFormat/>
    <w:uiPriority w:val="99"/>
    <w:rPr>
      <w:rFonts w:cs="Times New Roman"/>
      <w:vertAlign w:val="superscript"/>
    </w:rPr>
  </w:style>
  <w:style w:type="character" w:customStyle="1" w:styleId="11">
    <w:name w:val="Footer Char"/>
    <w:basedOn w:val="9"/>
    <w:link w:val="2"/>
    <w:semiHidden/>
    <w:qFormat/>
    <w:locked/>
    <w:uiPriority w:val="99"/>
    <w:rPr>
      <w:rFonts w:ascii="Times New Roman" w:hAnsi="Times New Roman" w:eastAsia="宋体" w:cs="Times New Roman"/>
      <w:sz w:val="18"/>
    </w:rPr>
  </w:style>
  <w:style w:type="character" w:customStyle="1" w:styleId="12">
    <w:name w:val="Header Char"/>
    <w:basedOn w:val="9"/>
    <w:link w:val="3"/>
    <w:semiHidden/>
    <w:qFormat/>
    <w:locked/>
    <w:uiPriority w:val="99"/>
    <w:rPr>
      <w:rFonts w:ascii="Times New Roman" w:hAnsi="Times New Roman" w:eastAsia="宋体" w:cs="Times New Roman"/>
      <w:sz w:val="18"/>
    </w:rPr>
  </w:style>
  <w:style w:type="character" w:customStyle="1" w:styleId="13">
    <w:name w:val="Footnote Text Char"/>
    <w:basedOn w:val="9"/>
    <w:link w:val="5"/>
    <w:semiHidden/>
    <w:qFormat/>
    <w:locked/>
    <w:uiPriority w:val="99"/>
    <w:rPr>
      <w:rFonts w:ascii="Calibri" w:hAnsi="Calibri" w:cs="黑体"/>
      <w:sz w:val="18"/>
      <w:szCs w:val="18"/>
    </w:rPr>
  </w:style>
  <w:style w:type="paragraph" w:customStyle="1" w:styleId="14">
    <w:name w:val="Char"/>
    <w:basedOn w:val="1"/>
    <w:qFormat/>
    <w:uiPriority w:val="99"/>
    <w:rPr>
      <w:rFonts w:ascii="Times New Roman" w:hAnsi="Times New Roman" w:cs="Times New Roman"/>
      <w:szCs w:val="24"/>
    </w:rPr>
  </w:style>
  <w:style w:type="character" w:customStyle="1" w:styleId="15">
    <w:name w:val="页码1"/>
    <w:qFormat/>
    <w:uiPriority w:val="99"/>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20</Pages>
  <Words>10120</Words>
  <Characters>11157</Characters>
  <Lines>0</Lines>
  <Paragraphs>0</Paragraphs>
  <TotalTime>68</TotalTime>
  <ScaleCrop>false</ScaleCrop>
  <LinksUpToDate>false</LinksUpToDate>
  <CharactersWithSpaces>11186</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何必</cp:lastModifiedBy>
  <cp:lastPrinted>2020-01-10T15:53:00Z</cp:lastPrinted>
  <dcterms:modified xsi:type="dcterms:W3CDTF">2023-01-05T09:48:30Z</dcterms:modified>
  <cp:revision>22</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20801FB65B1E4F79B50C022B96356A05</vt:lpwstr>
  </property>
</Properties>
</file>