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hint="eastAsia" w:ascii="Times New Roman" w:hAnsi="Times New Roman" w:eastAsia="方正小标宋_GBK"/>
          <w:sz w:val="44"/>
          <w:szCs w:val="44"/>
          <w:lang w:eastAsia="zh-CN"/>
        </w:rPr>
      </w:pPr>
      <w:r>
        <w:rPr>
          <w:rFonts w:hint="eastAsia" w:ascii="Times New Roman" w:hAnsi="Times New Roman" w:eastAsia="方正小标宋_GBK"/>
          <w:sz w:val="44"/>
          <w:szCs w:val="44"/>
          <w:lang w:eastAsia="zh-CN"/>
        </w:rPr>
        <w:t>隆尧县城市管理综合行政执法局</w:t>
      </w:r>
    </w:p>
    <w:p>
      <w:pPr>
        <w:ind w:firstLine="880" w:firstLineChars="200"/>
        <w:jc w:val="center"/>
        <w:rPr>
          <w:rFonts w:ascii="Times New Roman" w:hAnsi="Times New Roman" w:eastAsia="方正小标宋_GBK"/>
          <w:sz w:val="44"/>
          <w:szCs w:val="44"/>
        </w:rPr>
      </w:pPr>
      <w:r>
        <w:rPr>
          <w:rFonts w:ascii="Times New Roman" w:hAnsi="Times New Roman" w:eastAsia="方正小标宋_GBK"/>
          <w:sz w:val="44"/>
          <w:szCs w:val="44"/>
        </w:rPr>
        <w:t>2021</w:t>
      </w:r>
      <w:r>
        <w:rPr>
          <w:rFonts w:hint="eastAsia" w:ascii="Times New Roman" w:hAnsi="Times New Roman" w:eastAsia="方正小标宋_GBK"/>
          <w:sz w:val="44"/>
          <w:szCs w:val="44"/>
        </w:rPr>
        <w:t>年部门预算信息公开情况说明</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按照《预算法》、《地方预决算公开操作规程》和《河北省省级预算公开办法》规定，现将</w:t>
      </w:r>
      <w:r>
        <w:rPr>
          <w:rFonts w:hint="eastAsia" w:ascii="Times New Roman" w:hAnsi="Times New Roman" w:eastAsia="方正仿宋_GBK"/>
          <w:sz w:val="32"/>
          <w:szCs w:val="32"/>
          <w:lang w:eastAsia="zh-CN"/>
        </w:rPr>
        <w:t>隆尧县城市管理综合行政执法局</w:t>
      </w:r>
      <w:r>
        <w:rPr>
          <w:rFonts w:ascii="Times New Roman" w:hAnsi="Times New Roman" w:eastAsia="方正仿宋_GBK"/>
          <w:sz w:val="32"/>
          <w:szCs w:val="32"/>
        </w:rPr>
        <w:t>2021</w:t>
      </w:r>
      <w:r>
        <w:rPr>
          <w:rFonts w:hint="eastAsia" w:ascii="Times New Roman" w:hAnsi="Times New Roman" w:eastAsia="方正仿宋_GBK"/>
          <w:sz w:val="32"/>
          <w:szCs w:val="32"/>
        </w:rPr>
        <w:t>年部门预算公开如下：</w:t>
      </w:r>
    </w:p>
    <w:p>
      <w:pPr>
        <w:ind w:firstLine="640"/>
        <w:rPr>
          <w:rFonts w:ascii="黑体" w:hAnsi="黑体" w:eastAsia="黑体"/>
          <w:sz w:val="32"/>
          <w:szCs w:val="32"/>
        </w:rPr>
      </w:pPr>
      <w:r>
        <w:rPr>
          <w:rFonts w:hint="eastAsia" w:ascii="黑体" w:hAnsi="黑体" w:eastAsia="黑体"/>
          <w:sz w:val="32"/>
          <w:szCs w:val="32"/>
        </w:rPr>
        <w:t>一、部门职责及机构设置情况</w:t>
      </w:r>
    </w:p>
    <w:p>
      <w:pPr>
        <w:spacing w:line="500" w:lineRule="exact"/>
        <w:ind w:firstLine="640" w:firstLineChars="200"/>
        <w:jc w:val="left"/>
        <w:outlineLvl w:val="9"/>
        <w:rPr>
          <w:rFonts w:hint="eastAsia" w:ascii="仿宋" w:hAnsi="仿宋" w:eastAsia="仿宋" w:cs="仿宋"/>
          <w:sz w:val="32"/>
          <w:szCs w:val="32"/>
          <w:u w:val="none"/>
        </w:rPr>
      </w:pPr>
      <w:r>
        <w:rPr>
          <w:rFonts w:hint="eastAsia" w:ascii="Times New Roman" w:hAnsi="Times New Roman" w:eastAsia="方正仿宋_GBK"/>
          <w:b/>
          <w:sz w:val="32"/>
          <w:szCs w:val="32"/>
        </w:rPr>
        <w:t>部门职责：</w:t>
      </w:r>
      <w:r>
        <w:rPr>
          <w:rFonts w:hint="eastAsia" w:ascii="仿宋" w:hAnsi="仿宋" w:eastAsia="仿宋" w:cs="仿宋"/>
          <w:sz w:val="32"/>
          <w:szCs w:val="32"/>
          <w:u w:val="none"/>
        </w:rPr>
        <w:t>（一）贯彻执行国家和省、市城市管理方面的方针、政策和法律、法规。拟订全县城市管理方面的规章制度和管理办法并组织实施；拟订全县城市管理方面发展规划并组织实施；研究提出城市管理方面重大问题的政策建议。</w:t>
      </w:r>
    </w:p>
    <w:p>
      <w:pPr>
        <w:spacing w:line="500" w:lineRule="exact"/>
        <w:ind w:firstLine="640" w:firstLineChars="200"/>
        <w:jc w:val="left"/>
        <w:outlineLvl w:val="9"/>
        <w:rPr>
          <w:rFonts w:hint="eastAsia" w:ascii="仿宋" w:hAnsi="仿宋" w:eastAsia="仿宋" w:cs="仿宋"/>
          <w:sz w:val="32"/>
          <w:szCs w:val="32"/>
          <w:u w:val="none"/>
        </w:rPr>
      </w:pPr>
      <w:r>
        <w:rPr>
          <w:rFonts w:hint="eastAsia" w:ascii="仿宋" w:hAnsi="仿宋" w:eastAsia="仿宋" w:cs="仿宋"/>
          <w:sz w:val="32"/>
          <w:szCs w:val="32"/>
          <w:u w:val="none"/>
        </w:rPr>
        <w:t>（二）负责全县城市管理工作，拟订城市管理的规范、标准、政策并组织实施；参与城乡市容环卫、生活垃圾处置、园林绿化专业规划的编制和实施；负责城市市容市貌、环境卫生、生活垃圾清理和处理、环境综合整治工作；负责数字化城市管理工作。负责对全县城市管理工作的业务指导、监督检查和考核评价。</w:t>
      </w:r>
    </w:p>
    <w:p>
      <w:pPr>
        <w:spacing w:line="500" w:lineRule="exact"/>
        <w:ind w:firstLine="640" w:firstLineChars="200"/>
        <w:jc w:val="left"/>
        <w:outlineLvl w:val="9"/>
        <w:rPr>
          <w:rFonts w:hint="eastAsia" w:ascii="仿宋" w:hAnsi="仿宋" w:eastAsia="仿宋" w:cs="仿宋"/>
          <w:sz w:val="32"/>
          <w:szCs w:val="32"/>
          <w:u w:val="none"/>
        </w:rPr>
      </w:pPr>
      <w:r>
        <w:rPr>
          <w:rFonts w:hint="eastAsia" w:ascii="仿宋" w:hAnsi="仿宋" w:eastAsia="仿宋" w:cs="仿宋"/>
          <w:sz w:val="32"/>
          <w:szCs w:val="32"/>
          <w:u w:val="none"/>
        </w:rPr>
        <w:t>（三）负责城市环境卫生管理。负责城市环卫设施建设和维护的管理工作；负责城市建筑垃圾的处置和管理工作；负责城市消毒杀虫灭鼠工作；负责道路扬尘整治；负责城区河道管理。</w:t>
      </w:r>
    </w:p>
    <w:p>
      <w:pPr>
        <w:spacing w:line="500" w:lineRule="exact"/>
        <w:ind w:firstLine="640" w:firstLineChars="200"/>
        <w:jc w:val="left"/>
        <w:outlineLvl w:val="9"/>
        <w:rPr>
          <w:rFonts w:hint="eastAsia" w:ascii="仿宋" w:hAnsi="仿宋" w:eastAsia="仿宋" w:cs="仿宋"/>
          <w:sz w:val="32"/>
          <w:szCs w:val="32"/>
          <w:u w:val="none"/>
        </w:rPr>
      </w:pPr>
      <w:r>
        <w:rPr>
          <w:rFonts w:hint="eastAsia" w:ascii="仿宋" w:hAnsi="仿宋" w:eastAsia="仿宋" w:cs="仿宋"/>
          <w:sz w:val="32"/>
          <w:szCs w:val="32"/>
          <w:u w:val="none"/>
        </w:rPr>
        <w:t>（四）负责城市园林绿化管理。参与制定城市绿化规划；负责城市公园和园林绿化建设管理；负责城市园林水域安全监管工作；负责城区园林设施建设和维护的管理工作；负责城区风景林地的管护工作。负责园林城市和生态园林城市创建工作；承担城镇古树名木保护工作；会同有关部门负责历史文化名城（镇、村）的保护和监督管理工作。</w:t>
      </w:r>
    </w:p>
    <w:p>
      <w:pPr>
        <w:spacing w:line="500" w:lineRule="exact"/>
        <w:ind w:firstLine="640" w:firstLineChars="200"/>
        <w:jc w:val="left"/>
        <w:outlineLvl w:val="9"/>
        <w:rPr>
          <w:rFonts w:hint="eastAsia" w:ascii="仿宋" w:hAnsi="仿宋" w:eastAsia="仿宋" w:cs="仿宋"/>
          <w:sz w:val="32"/>
          <w:szCs w:val="32"/>
          <w:u w:val="none"/>
        </w:rPr>
      </w:pPr>
      <w:r>
        <w:rPr>
          <w:rFonts w:hint="eastAsia" w:ascii="仿宋" w:hAnsi="仿宋" w:eastAsia="仿宋" w:cs="仿宋"/>
          <w:sz w:val="32"/>
          <w:szCs w:val="32"/>
          <w:u w:val="none"/>
        </w:rPr>
        <w:t>（五）负责城市公用设施运行管理。负责城市市政公用设施安全运行；负责城市公共供水、节水、排水防涝、道路桥梁、照明设施运行管理工作；负责城区道路、排水的翻建、改建、维护、管理；负责全县燃气、县城集中供热设施建设和运行管理；指导全县燃气、县城集中供热行业完善落实安全管理制度；负责市政公用设施运行管理的监督检查和考核评价；负责编制市政公用设施维护资金计划以及到位资金的使用和管理。指导乡镇生活垃圾及农村生活垃圾收运处置体系建设。</w:t>
      </w:r>
    </w:p>
    <w:p>
      <w:pPr>
        <w:spacing w:line="500" w:lineRule="exact"/>
        <w:ind w:firstLine="640" w:firstLineChars="200"/>
        <w:jc w:val="left"/>
        <w:outlineLvl w:val="9"/>
        <w:rPr>
          <w:rFonts w:hint="eastAsia" w:ascii="仿宋" w:hAnsi="仿宋" w:eastAsia="仿宋" w:cs="仿宋"/>
          <w:sz w:val="32"/>
          <w:szCs w:val="32"/>
          <w:u w:val="none"/>
        </w:rPr>
      </w:pPr>
      <w:r>
        <w:rPr>
          <w:rFonts w:hint="eastAsia" w:ascii="仿宋" w:hAnsi="仿宋" w:eastAsia="仿宋" w:cs="仿宋"/>
          <w:sz w:val="32"/>
          <w:szCs w:val="32"/>
          <w:u w:val="none"/>
        </w:rPr>
        <w:t>（六）负责城市容貌秩序管理。负责城市容貌、户外广告设置、门头牌匾及城市街道家具管理和露天烧烤整治工作。</w:t>
      </w:r>
    </w:p>
    <w:p>
      <w:pPr>
        <w:spacing w:line="500" w:lineRule="exact"/>
        <w:ind w:firstLine="640" w:firstLineChars="200"/>
        <w:jc w:val="left"/>
        <w:outlineLvl w:val="9"/>
        <w:rPr>
          <w:rFonts w:hint="eastAsia" w:ascii="仿宋" w:hAnsi="仿宋" w:eastAsia="仿宋" w:cs="仿宋"/>
          <w:sz w:val="32"/>
          <w:szCs w:val="32"/>
          <w:u w:val="none"/>
        </w:rPr>
      </w:pPr>
      <w:r>
        <w:rPr>
          <w:rFonts w:hint="eastAsia" w:ascii="仿宋" w:hAnsi="仿宋" w:eastAsia="仿宋" w:cs="仿宋"/>
          <w:sz w:val="32"/>
          <w:szCs w:val="32"/>
          <w:u w:val="none"/>
        </w:rPr>
        <w:t>（七）负责城市车辆停放管理。负责公共自行车建设管理、城区道路机动车及非机动车停放管理、便道机动车停车场及临时泊位设置管理工作。</w:t>
      </w:r>
    </w:p>
    <w:p>
      <w:pPr>
        <w:spacing w:line="500" w:lineRule="exact"/>
        <w:ind w:firstLine="640" w:firstLineChars="200"/>
        <w:jc w:val="left"/>
        <w:outlineLvl w:val="9"/>
        <w:rPr>
          <w:rFonts w:hint="eastAsia" w:ascii="仿宋" w:hAnsi="仿宋" w:eastAsia="仿宋" w:cs="仿宋"/>
          <w:sz w:val="32"/>
          <w:szCs w:val="32"/>
          <w:u w:val="none"/>
        </w:rPr>
      </w:pPr>
      <w:r>
        <w:rPr>
          <w:rFonts w:hint="eastAsia" w:ascii="仿宋" w:hAnsi="仿宋" w:eastAsia="仿宋" w:cs="仿宋"/>
          <w:sz w:val="32"/>
          <w:szCs w:val="32"/>
          <w:u w:val="none"/>
        </w:rPr>
        <w:t>（八）负责城区防汛应急管理；负责道路清融雪、公园和广场应急避难场所建设管理；负责城市道路、桥梁、照明、园林绿化的应急保障和供水、燃气、供热、污水处理的应急指导。</w:t>
      </w:r>
    </w:p>
    <w:p>
      <w:pPr>
        <w:spacing w:line="500" w:lineRule="exact"/>
        <w:ind w:firstLine="640" w:firstLineChars="200"/>
        <w:jc w:val="left"/>
        <w:outlineLvl w:val="9"/>
        <w:rPr>
          <w:rFonts w:hint="eastAsia" w:ascii="仿宋" w:hAnsi="仿宋" w:eastAsia="仿宋" w:cs="仿宋"/>
          <w:sz w:val="32"/>
          <w:szCs w:val="32"/>
          <w:u w:val="none"/>
        </w:rPr>
      </w:pPr>
      <w:r>
        <w:rPr>
          <w:rFonts w:hint="eastAsia" w:ascii="仿宋" w:hAnsi="仿宋" w:eastAsia="仿宋" w:cs="仿宋"/>
          <w:sz w:val="32"/>
          <w:szCs w:val="32"/>
          <w:u w:val="none"/>
        </w:rPr>
        <w:t>（九）认真落实中央和省、市、县关于加强综合执法工作的部署要求，继续深入推动城市管理跨领域跨部门综合执法，推进城市管理领域行政处罚权相对集中。按照集中的范围，集中行使住建、市容环境卫生、市政、绿化、供水、燃气、供热用热、排水与污水处理、公安交通、环境保护、市场监管、水务等城市管理方面的行政处罚权及有关行政强制措施。</w:t>
      </w:r>
    </w:p>
    <w:p>
      <w:pPr>
        <w:spacing w:line="500" w:lineRule="exact"/>
        <w:ind w:firstLine="640" w:firstLineChars="200"/>
        <w:jc w:val="left"/>
        <w:outlineLvl w:val="9"/>
        <w:rPr>
          <w:rFonts w:hint="eastAsia" w:ascii="仿宋" w:hAnsi="仿宋" w:eastAsia="仿宋" w:cs="仿宋"/>
          <w:sz w:val="32"/>
          <w:szCs w:val="32"/>
          <w:u w:val="none"/>
        </w:rPr>
      </w:pPr>
      <w:r>
        <w:rPr>
          <w:rFonts w:hint="eastAsia" w:ascii="仿宋" w:hAnsi="仿宋" w:eastAsia="仿宋" w:cs="仿宋"/>
          <w:sz w:val="32"/>
          <w:szCs w:val="32"/>
          <w:u w:val="none"/>
        </w:rPr>
        <w:t>（十）负责城管综合行政执法监督。指导全县城管执法工作；开展城管执法行为监督与考核；负责城市管理行政执法协调工作；负责城市管理行政执法中的投诉受理、应诉和行政复议工作；组织查处城市管理领域违法违规案件、跨区域案件以及依法应由县城市管理综合行政执法局实施行政处罚的案件。</w:t>
      </w:r>
    </w:p>
    <w:p>
      <w:pPr>
        <w:spacing w:line="500" w:lineRule="exact"/>
        <w:ind w:firstLine="640" w:firstLineChars="200"/>
        <w:jc w:val="left"/>
        <w:outlineLvl w:val="9"/>
        <w:rPr>
          <w:rFonts w:hint="eastAsia" w:ascii="仿宋" w:hAnsi="仿宋" w:eastAsia="仿宋" w:cs="仿宋"/>
          <w:sz w:val="32"/>
          <w:szCs w:val="32"/>
          <w:u w:val="none"/>
        </w:rPr>
      </w:pPr>
      <w:r>
        <w:rPr>
          <w:rFonts w:hint="eastAsia" w:ascii="仿宋" w:hAnsi="仿宋" w:eastAsia="仿宋" w:cs="仿宋"/>
          <w:sz w:val="32"/>
          <w:szCs w:val="32"/>
          <w:u w:val="none"/>
        </w:rPr>
        <w:t>（十一）负责规划区内违法建设治理，建立属地和部门协调联动的违法建设源头防控查处机制。</w:t>
      </w:r>
    </w:p>
    <w:p>
      <w:pPr>
        <w:spacing w:line="500" w:lineRule="exact"/>
        <w:ind w:firstLine="640" w:firstLineChars="200"/>
        <w:jc w:val="left"/>
        <w:outlineLvl w:val="9"/>
        <w:rPr>
          <w:rFonts w:ascii="仿宋" w:hAnsi="仿宋" w:eastAsia="仿宋" w:cs="Times New Roman"/>
          <w:sz w:val="32"/>
          <w:szCs w:val="32"/>
        </w:rPr>
      </w:pPr>
      <w:r>
        <w:rPr>
          <w:rFonts w:hint="eastAsia" w:ascii="仿宋" w:hAnsi="仿宋" w:eastAsia="仿宋" w:cs="仿宋"/>
          <w:sz w:val="32"/>
          <w:szCs w:val="32"/>
          <w:u w:val="none"/>
        </w:rPr>
        <w:t>（十二）完成县委、县政府交办的其他任务。</w:t>
      </w:r>
    </w:p>
    <w:p>
      <w:pPr>
        <w:ind w:firstLine="640" w:firstLineChars="200"/>
        <w:rPr>
          <w:rFonts w:ascii="Times New Roman" w:hAnsi="Times New Roman" w:eastAsia="方正仿宋_GBK"/>
          <w:b/>
          <w:sz w:val="32"/>
          <w:szCs w:val="32"/>
        </w:rPr>
      </w:pPr>
    </w:p>
    <w:p>
      <w:pPr>
        <w:autoSpaceDE w:val="0"/>
        <w:autoSpaceDN w:val="0"/>
        <w:adjustRightInd w:val="0"/>
        <w:ind w:firstLine="640" w:firstLineChars="200"/>
        <w:jc w:val="left"/>
        <w:rPr>
          <w:rFonts w:ascii="方正仿宋_GBK" w:hAnsi="Times New Roman" w:eastAsia="方正仿宋_GBK"/>
          <w:b/>
          <w:sz w:val="32"/>
          <w:szCs w:val="32"/>
        </w:rPr>
      </w:pPr>
      <w:r>
        <w:rPr>
          <w:rFonts w:hint="eastAsia" w:ascii="方正仿宋_GBK" w:hAnsi="Times New Roman" w:eastAsia="方正仿宋_GBK"/>
          <w:b/>
          <w:sz w:val="32"/>
          <w:szCs w:val="32"/>
        </w:rPr>
        <w:t>机构设置：</w:t>
      </w:r>
    </w:p>
    <w:p>
      <w:pPr>
        <w:jc w:val="center"/>
        <w:outlineLvl w:val="0"/>
        <w:rPr>
          <w:rFonts w:ascii="Times New Roman" w:hAnsi="Times New Roman" w:eastAsia="方正小标宋_GBK"/>
          <w:sz w:val="32"/>
          <w:szCs w:val="24"/>
        </w:rPr>
      </w:pPr>
      <w:r>
        <w:rPr>
          <w:rFonts w:hint="eastAsia" w:ascii="Times New Roman" w:hAnsi="Times New Roman" w:eastAsia="方正小标宋_GBK"/>
          <w:sz w:val="32"/>
          <w:szCs w:val="24"/>
        </w:rPr>
        <w:t>部门机构设置情况</w:t>
      </w:r>
    </w:p>
    <w:tbl>
      <w:tblPr>
        <w:tblStyle w:val="10"/>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76"/>
        <w:gridCol w:w="1701"/>
        <w:gridCol w:w="1792"/>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7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701"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7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013" w:type="dxa"/>
            <w:vMerge w:val="restart"/>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76" w:type="dxa"/>
            <w:vMerge w:val="continue"/>
            <w:vAlign w:val="center"/>
          </w:tcPr>
          <w:p>
            <w:pPr>
              <w:spacing w:line="300" w:lineRule="exact"/>
              <w:jc w:val="left"/>
              <w:outlineLvl w:val="0"/>
            </w:pPr>
          </w:p>
        </w:tc>
        <w:tc>
          <w:tcPr>
            <w:tcW w:w="1701" w:type="dxa"/>
            <w:vMerge w:val="continue"/>
            <w:vAlign w:val="center"/>
          </w:tcPr>
          <w:p>
            <w:pPr>
              <w:spacing w:line="300" w:lineRule="exact"/>
              <w:jc w:val="left"/>
              <w:outlineLvl w:val="0"/>
            </w:pPr>
          </w:p>
        </w:tc>
        <w:tc>
          <w:tcPr>
            <w:tcW w:w="1792" w:type="dxa"/>
            <w:vMerge w:val="continue"/>
            <w:vAlign w:val="center"/>
          </w:tcPr>
          <w:p>
            <w:pPr>
              <w:spacing w:line="300" w:lineRule="exact"/>
              <w:jc w:val="left"/>
              <w:outlineLvl w:val="0"/>
            </w:pPr>
          </w:p>
        </w:tc>
        <w:tc>
          <w:tcPr>
            <w:tcW w:w="3013"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27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隆尧县城市管理综合行政执法局</w:t>
            </w:r>
          </w:p>
        </w:tc>
        <w:tc>
          <w:tcPr>
            <w:tcW w:w="1701" w:type="dxa"/>
            <w:vAlign w:val="center"/>
          </w:tcPr>
          <w:p>
            <w:pPr>
              <w:spacing w:line="300" w:lineRule="exact"/>
              <w:jc w:val="center"/>
              <w:rPr>
                <w:rFonts w:ascii="方正书宋_GBK" w:eastAsia="方正书宋_GBK"/>
              </w:rPr>
            </w:pPr>
            <w:r>
              <w:rPr>
                <w:rFonts w:hint="eastAsia" w:ascii="方正书宋_GBK" w:eastAsia="方正书宋_GBK"/>
              </w:rPr>
              <w:t>行政</w:t>
            </w:r>
          </w:p>
        </w:tc>
        <w:tc>
          <w:tcPr>
            <w:tcW w:w="1792"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正科级</w:t>
            </w:r>
          </w:p>
        </w:tc>
        <w:tc>
          <w:tcPr>
            <w:tcW w:w="3013" w:type="dxa"/>
            <w:vAlign w:val="center"/>
          </w:tcPr>
          <w:p>
            <w:pPr>
              <w:spacing w:line="30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276" w:type="dxa"/>
            <w:vAlign w:val="center"/>
          </w:tcPr>
          <w:p>
            <w:pPr>
              <w:spacing w:line="300" w:lineRule="exact"/>
              <w:jc w:val="left"/>
              <w:rPr>
                <w:rFonts w:ascii="方正书宋_GBK" w:eastAsia="方正书宋_GBK"/>
              </w:rPr>
            </w:pPr>
          </w:p>
        </w:tc>
        <w:tc>
          <w:tcPr>
            <w:tcW w:w="1701" w:type="dxa"/>
            <w:vAlign w:val="center"/>
          </w:tcPr>
          <w:p>
            <w:pPr>
              <w:spacing w:line="300" w:lineRule="exact"/>
              <w:jc w:val="center"/>
              <w:rPr>
                <w:rFonts w:ascii="方正书宋_GBK" w:eastAsia="方正书宋_GBK"/>
              </w:rPr>
            </w:pPr>
          </w:p>
        </w:tc>
        <w:tc>
          <w:tcPr>
            <w:tcW w:w="1792" w:type="dxa"/>
            <w:vAlign w:val="center"/>
          </w:tcPr>
          <w:p>
            <w:pPr>
              <w:spacing w:line="300" w:lineRule="exact"/>
              <w:jc w:val="center"/>
              <w:rPr>
                <w:rFonts w:ascii="方正书宋_GBK" w:eastAsia="方正书宋_GBK"/>
              </w:rPr>
            </w:pPr>
          </w:p>
        </w:tc>
        <w:tc>
          <w:tcPr>
            <w:tcW w:w="3013" w:type="dxa"/>
            <w:vAlign w:val="center"/>
          </w:tcPr>
          <w:p>
            <w:pPr>
              <w:spacing w:line="300" w:lineRule="exact"/>
              <w:jc w:val="center"/>
              <w:rPr>
                <w:rFonts w:ascii="方正书宋_GBK" w:eastAsia="方正书宋_GBK"/>
              </w:rPr>
            </w:pPr>
          </w:p>
        </w:tc>
      </w:tr>
    </w:tbl>
    <w:p>
      <w:pPr>
        <w:ind w:firstLine="640" w:firstLineChars="200"/>
        <w:rPr>
          <w:rFonts w:ascii="黑体" w:hAnsi="黑体" w:eastAsia="黑体"/>
          <w:sz w:val="32"/>
          <w:szCs w:val="32"/>
        </w:rPr>
      </w:pPr>
    </w:p>
    <w:p>
      <w:pPr>
        <w:ind w:firstLine="640" w:firstLineChars="200"/>
        <w:rPr>
          <w:rFonts w:ascii="黑体" w:hAnsi="黑体" w:eastAsia="黑体"/>
          <w:sz w:val="32"/>
          <w:szCs w:val="32"/>
        </w:rPr>
      </w:pPr>
      <w:r>
        <w:rPr>
          <w:rFonts w:hint="eastAsia" w:ascii="黑体" w:hAnsi="黑体" w:eastAsia="黑体"/>
          <w:sz w:val="32"/>
          <w:szCs w:val="32"/>
        </w:rPr>
        <w:t>二、部门预算安排的总体情况</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按照预算管理有关规定，目前我</w:t>
      </w:r>
      <w:r>
        <w:rPr>
          <w:rFonts w:hint="eastAsia" w:ascii="仿宋" w:hAnsi="仿宋" w:eastAsia="仿宋" w:cs="仿宋"/>
          <w:sz w:val="32"/>
          <w:szCs w:val="32"/>
          <w:lang w:eastAsia="zh-CN"/>
        </w:rPr>
        <w:t>单位</w:t>
      </w:r>
      <w:r>
        <w:rPr>
          <w:rFonts w:hint="eastAsia" w:ascii="仿宋" w:hAnsi="仿宋" w:eastAsia="仿宋" w:cs="仿宋"/>
          <w:sz w:val="32"/>
          <w:szCs w:val="32"/>
        </w:rPr>
        <w:t>部门预算的编制实行综合预算管理，即全部收入和支出都反映在预算中。</w:t>
      </w:r>
    </w:p>
    <w:p>
      <w:pPr>
        <w:ind w:firstLine="640" w:firstLineChars="200"/>
        <w:rPr>
          <w:rFonts w:ascii="Times New Roman"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、收入说明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反映本部门当年全部收入。2021年预算收入</w:t>
      </w:r>
      <w:r>
        <w:rPr>
          <w:rFonts w:hint="eastAsia" w:ascii="仿宋" w:hAnsi="仿宋" w:eastAsia="仿宋" w:cs="仿宋"/>
          <w:b/>
          <w:sz w:val="32"/>
          <w:szCs w:val="32"/>
          <w:lang w:val="en-US" w:eastAsia="zh-CN"/>
        </w:rPr>
        <w:t>9149.04</w:t>
      </w:r>
      <w:r>
        <w:rPr>
          <w:rFonts w:hint="eastAsia" w:ascii="仿宋" w:hAnsi="仿宋" w:eastAsia="仿宋" w:cs="仿宋"/>
          <w:sz w:val="32"/>
          <w:szCs w:val="32"/>
        </w:rPr>
        <w:t>万元，其中：一般公共预算收入</w:t>
      </w:r>
      <w:r>
        <w:rPr>
          <w:rFonts w:hint="eastAsia" w:ascii="仿宋" w:hAnsi="仿宋" w:eastAsia="仿宋" w:cs="仿宋"/>
          <w:b/>
          <w:sz w:val="32"/>
          <w:szCs w:val="32"/>
          <w:lang w:val="en-US" w:eastAsia="zh-CN"/>
        </w:rPr>
        <w:t>1530.82</w:t>
      </w:r>
      <w:r>
        <w:rPr>
          <w:rFonts w:hint="eastAsia" w:ascii="仿宋" w:hAnsi="仿宋" w:eastAsia="仿宋" w:cs="仿宋"/>
          <w:sz w:val="32"/>
          <w:szCs w:val="32"/>
        </w:rPr>
        <w:t>万元，基金预算收入</w:t>
      </w:r>
      <w:r>
        <w:rPr>
          <w:rFonts w:hint="eastAsia" w:ascii="仿宋" w:hAnsi="仿宋" w:eastAsia="仿宋" w:cs="仿宋"/>
          <w:b/>
          <w:bCs/>
          <w:sz w:val="32"/>
          <w:szCs w:val="32"/>
          <w:lang w:val="en-US" w:eastAsia="zh-CN"/>
        </w:rPr>
        <w:t>7618.22</w:t>
      </w:r>
      <w:r>
        <w:rPr>
          <w:rFonts w:hint="eastAsia" w:ascii="仿宋" w:hAnsi="仿宋" w:eastAsia="仿宋" w:cs="仿宋"/>
          <w:sz w:val="32"/>
          <w:szCs w:val="32"/>
        </w:rPr>
        <w:t>万元，财政专户核拨收入0万元，其他来源收入（单位资金）0万元，上年结转</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pPr>
        <w:ind w:firstLine="640"/>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、支出说明</w:t>
      </w:r>
    </w:p>
    <w:p>
      <w:pPr>
        <w:ind w:firstLine="640"/>
        <w:rPr>
          <w:rFonts w:ascii="Times New Roman" w:hAnsi="Times New Roman" w:eastAsia="方正仿宋_GBK"/>
          <w:sz w:val="32"/>
          <w:szCs w:val="32"/>
        </w:rPr>
      </w:pPr>
      <w:r>
        <w:rPr>
          <w:rFonts w:hint="eastAsia" w:ascii="仿宋" w:hAnsi="仿宋" w:eastAsia="仿宋" w:cs="仿宋"/>
          <w:sz w:val="32"/>
          <w:szCs w:val="32"/>
        </w:rPr>
        <w:t>收支预算总表支出栏、基本支出表、项目支出表按经济分类和支出功能分类科目编制，反映</w:t>
      </w:r>
      <w:r>
        <w:rPr>
          <w:rFonts w:hint="eastAsia" w:ascii="仿宋" w:hAnsi="仿宋" w:eastAsia="仿宋" w:cs="仿宋"/>
          <w:sz w:val="32"/>
          <w:szCs w:val="32"/>
          <w:lang w:eastAsia="zh-CN"/>
        </w:rPr>
        <w:t>我单位</w:t>
      </w:r>
      <w:r>
        <w:rPr>
          <w:rFonts w:hint="eastAsia" w:ascii="仿宋" w:hAnsi="仿宋" w:eastAsia="仿宋" w:cs="仿宋"/>
          <w:sz w:val="32"/>
          <w:szCs w:val="32"/>
        </w:rPr>
        <w:t>部门预算中支出预算的总体情况。2021年支出预算</w:t>
      </w:r>
      <w:r>
        <w:rPr>
          <w:rFonts w:hint="eastAsia" w:ascii="仿宋" w:hAnsi="仿宋" w:eastAsia="仿宋" w:cs="仿宋"/>
          <w:b/>
          <w:sz w:val="32"/>
          <w:szCs w:val="32"/>
          <w:lang w:val="en-US" w:eastAsia="zh-CN"/>
        </w:rPr>
        <w:t>9149.04</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216.31</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190.19</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26.12</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8932.73</w:t>
      </w:r>
      <w:r>
        <w:rPr>
          <w:rFonts w:hint="eastAsia" w:ascii="仿宋" w:hAnsi="仿宋" w:eastAsia="仿宋" w:cs="仿宋"/>
          <w:sz w:val="32"/>
          <w:szCs w:val="32"/>
        </w:rPr>
        <w:t>万元主要为</w:t>
      </w:r>
      <w:r>
        <w:rPr>
          <w:rFonts w:hint="eastAsia" w:ascii="仿宋" w:hAnsi="仿宋" w:eastAsia="仿宋" w:cs="仿宋"/>
          <w:sz w:val="32"/>
          <w:szCs w:val="32"/>
          <w:lang w:eastAsia="zh-CN"/>
        </w:rPr>
        <w:t>城乡环卫一体化项目</w:t>
      </w:r>
      <w:r>
        <w:rPr>
          <w:rFonts w:hint="eastAsia" w:ascii="仿宋" w:hAnsi="仿宋" w:eastAsia="仿宋" w:cs="仿宋"/>
          <w:sz w:val="32"/>
          <w:szCs w:val="32"/>
        </w:rPr>
        <w:t>和预算内基建等。</w:t>
      </w:r>
    </w:p>
    <w:p>
      <w:pPr>
        <w:ind w:firstLine="640"/>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、比上年增减情况</w:t>
      </w:r>
    </w:p>
    <w:p>
      <w:pPr>
        <w:ind w:firstLine="640"/>
        <w:rPr>
          <w:rFonts w:hint="eastAsia" w:ascii="仿宋" w:hAnsi="仿宋" w:eastAsia="仿宋" w:cs="仿宋"/>
          <w:sz w:val="32"/>
          <w:szCs w:val="32"/>
        </w:rPr>
      </w:pPr>
      <w:r>
        <w:rPr>
          <w:rFonts w:hint="eastAsia" w:ascii="仿宋" w:hAnsi="仿宋" w:eastAsia="仿宋" w:cs="仿宋"/>
          <w:sz w:val="32"/>
          <w:szCs w:val="32"/>
        </w:rPr>
        <w:t>2021年预算收支安排</w:t>
      </w:r>
      <w:r>
        <w:rPr>
          <w:rFonts w:hint="eastAsia" w:ascii="仿宋" w:hAnsi="仿宋" w:eastAsia="仿宋" w:cs="仿宋"/>
          <w:b/>
          <w:sz w:val="32"/>
          <w:szCs w:val="32"/>
          <w:lang w:val="en-US" w:eastAsia="zh-CN"/>
        </w:rPr>
        <w:t>9149.04</w:t>
      </w:r>
      <w:r>
        <w:rPr>
          <w:rFonts w:hint="eastAsia" w:ascii="仿宋" w:hAnsi="仿宋" w:eastAsia="仿宋" w:cs="仿宋"/>
          <w:sz w:val="32"/>
          <w:szCs w:val="32"/>
        </w:rPr>
        <w:t>万元，较2020年年初预算增加</w:t>
      </w:r>
      <w:r>
        <w:rPr>
          <w:rFonts w:hint="eastAsia" w:ascii="仿宋" w:hAnsi="仿宋" w:eastAsia="仿宋" w:cs="仿宋"/>
          <w:sz w:val="32"/>
          <w:szCs w:val="32"/>
          <w:lang w:val="en-US" w:eastAsia="zh-CN"/>
        </w:rPr>
        <w:t>1153.8</w:t>
      </w:r>
      <w:r>
        <w:rPr>
          <w:rFonts w:hint="eastAsia" w:ascii="仿宋" w:hAnsi="仿宋" w:eastAsia="仿宋" w:cs="仿宋"/>
          <w:sz w:val="32"/>
          <w:szCs w:val="32"/>
        </w:rPr>
        <w:t>万元，其中：基本支出增加</w:t>
      </w:r>
      <w:r>
        <w:rPr>
          <w:rFonts w:hint="eastAsia" w:ascii="仿宋" w:hAnsi="仿宋" w:eastAsia="仿宋" w:cs="仿宋"/>
          <w:sz w:val="32"/>
          <w:szCs w:val="32"/>
          <w:lang w:val="en-US" w:eastAsia="zh-CN"/>
        </w:rPr>
        <w:t>15.32</w:t>
      </w:r>
      <w:r>
        <w:rPr>
          <w:rFonts w:hint="eastAsia" w:ascii="仿宋" w:hAnsi="仿宋" w:eastAsia="仿宋" w:cs="仿宋"/>
          <w:sz w:val="32"/>
          <w:szCs w:val="32"/>
        </w:rPr>
        <w:t>万元，主要为增加人员经费支出；项目支出增加</w:t>
      </w:r>
      <w:r>
        <w:rPr>
          <w:rFonts w:hint="eastAsia" w:ascii="仿宋" w:hAnsi="仿宋" w:eastAsia="仿宋" w:cs="仿宋"/>
          <w:sz w:val="32"/>
          <w:szCs w:val="32"/>
          <w:lang w:val="en-US" w:eastAsia="zh-CN"/>
        </w:rPr>
        <w:t>1138.48</w:t>
      </w:r>
      <w:r>
        <w:rPr>
          <w:rFonts w:hint="eastAsia" w:ascii="仿宋" w:hAnsi="仿宋" w:eastAsia="仿宋" w:cs="仿宋"/>
          <w:sz w:val="32"/>
          <w:szCs w:val="32"/>
        </w:rPr>
        <w:t>万元，主要为项目资金。</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三、机关运行经费安排情况</w:t>
      </w:r>
    </w:p>
    <w:p>
      <w:pPr>
        <w:ind w:firstLine="960" w:firstLineChars="300"/>
        <w:jc w:val="left"/>
        <w:rPr>
          <w:rFonts w:hint="eastAsia" w:ascii="仿宋" w:hAnsi="仿宋" w:eastAsia="仿宋" w:cs="仿宋"/>
          <w:sz w:val="32"/>
          <w:szCs w:val="32"/>
        </w:rPr>
      </w:pPr>
      <w:r>
        <w:rPr>
          <w:rFonts w:hint="eastAsia" w:ascii="仿宋" w:hAnsi="仿宋" w:eastAsia="仿宋" w:cs="仿宋"/>
          <w:sz w:val="32"/>
          <w:szCs w:val="32"/>
        </w:rPr>
        <w:t>2021年，我</w:t>
      </w:r>
      <w:r>
        <w:rPr>
          <w:rFonts w:hint="eastAsia" w:ascii="仿宋" w:hAnsi="仿宋" w:eastAsia="仿宋" w:cs="仿宋"/>
          <w:sz w:val="32"/>
          <w:szCs w:val="32"/>
          <w:lang w:eastAsia="zh-CN"/>
        </w:rPr>
        <w:t>单位</w:t>
      </w:r>
      <w:r>
        <w:rPr>
          <w:rFonts w:hint="eastAsia" w:ascii="仿宋" w:hAnsi="仿宋" w:eastAsia="仿宋" w:cs="仿宋"/>
          <w:sz w:val="32"/>
          <w:szCs w:val="32"/>
        </w:rPr>
        <w:t>机关运行经费共计安排</w:t>
      </w:r>
      <w:r>
        <w:rPr>
          <w:rFonts w:hint="eastAsia" w:ascii="仿宋" w:hAnsi="仿宋" w:eastAsia="仿宋" w:cs="仿宋"/>
          <w:sz w:val="32"/>
          <w:szCs w:val="32"/>
          <w:lang w:val="en-US" w:eastAsia="zh-CN"/>
        </w:rPr>
        <w:t>26.12</w:t>
      </w:r>
      <w:r>
        <w:rPr>
          <w:rFonts w:hint="eastAsia" w:ascii="仿宋" w:hAnsi="仿宋" w:eastAsia="仿宋" w:cs="仿宋"/>
          <w:sz w:val="32"/>
          <w:szCs w:val="32"/>
        </w:rPr>
        <w:t>万元，主要用于日常维修、办公用房水电等日常运行支出。</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pPr>
        <w:autoSpaceDE w:val="0"/>
        <w:autoSpaceDN w:val="0"/>
        <w:adjustRightInd w:val="0"/>
        <w:ind w:left="198"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rPr>
        <w:t>2021年，我</w:t>
      </w:r>
      <w:r>
        <w:rPr>
          <w:rFonts w:hint="eastAsia" w:ascii="仿宋" w:hAnsi="仿宋" w:eastAsia="仿宋" w:cs="仿宋"/>
          <w:sz w:val="32"/>
          <w:szCs w:val="32"/>
          <w:lang w:eastAsia="zh-CN"/>
        </w:rPr>
        <w:t>单位</w:t>
      </w:r>
      <w:r>
        <w:rPr>
          <w:rFonts w:hint="eastAsia" w:ascii="仿宋" w:hAnsi="仿宋" w:eastAsia="仿宋" w:cs="仿宋"/>
          <w:sz w:val="32"/>
          <w:szCs w:val="32"/>
        </w:rPr>
        <w:t>财政拨款“三公”经费预算安排</w:t>
      </w:r>
      <w:r>
        <w:rPr>
          <w:rFonts w:hint="eastAsia" w:ascii="仿宋" w:hAnsi="仿宋" w:eastAsia="仿宋" w:cs="仿宋"/>
          <w:sz w:val="32"/>
          <w:szCs w:val="32"/>
          <w:lang w:val="en-US" w:eastAsia="zh-CN"/>
        </w:rPr>
        <w:t>2</w:t>
      </w:r>
      <w:r>
        <w:rPr>
          <w:rFonts w:hint="eastAsia" w:ascii="仿宋" w:hAnsi="仿宋" w:eastAsia="仿宋" w:cs="仿宋"/>
          <w:sz w:val="32"/>
          <w:szCs w:val="32"/>
        </w:rPr>
        <w:t>万元，其中因公出国（境）费</w:t>
      </w:r>
      <w:r>
        <w:rPr>
          <w:rFonts w:hint="eastAsia" w:ascii="仿宋" w:hAnsi="仿宋" w:eastAsia="仿宋" w:cs="仿宋"/>
          <w:sz w:val="32"/>
          <w:szCs w:val="32"/>
          <w:lang w:val="en-US" w:eastAsia="zh-CN"/>
        </w:rPr>
        <w:t>0</w:t>
      </w:r>
      <w:r>
        <w:rPr>
          <w:rFonts w:hint="eastAsia" w:ascii="仿宋" w:hAnsi="仿宋" w:eastAsia="仿宋" w:cs="仿宋"/>
          <w:sz w:val="32"/>
          <w:szCs w:val="32"/>
        </w:rPr>
        <w:t>万元；公务用车购置及运维费</w:t>
      </w:r>
      <w:r>
        <w:rPr>
          <w:rFonts w:hint="eastAsia" w:ascii="仿宋" w:hAnsi="仿宋" w:eastAsia="仿宋" w:cs="仿宋"/>
          <w:sz w:val="32"/>
          <w:szCs w:val="32"/>
          <w:lang w:val="en-US" w:eastAsia="zh-CN"/>
        </w:rPr>
        <w:t>0</w:t>
      </w:r>
      <w:r>
        <w:rPr>
          <w:rFonts w:hint="eastAsia" w:ascii="仿宋" w:hAnsi="仿宋" w:eastAsia="仿宋" w:cs="仿宋"/>
          <w:sz w:val="32"/>
          <w:szCs w:val="32"/>
        </w:rPr>
        <w:t>万元（其中：公务用车购置费为0万元，公务用车运维费</w:t>
      </w:r>
      <w:r>
        <w:rPr>
          <w:rFonts w:hint="eastAsia" w:ascii="仿宋" w:hAnsi="仿宋" w:eastAsia="仿宋" w:cs="仿宋"/>
          <w:sz w:val="32"/>
          <w:szCs w:val="32"/>
          <w:lang w:val="en-US" w:eastAsia="zh-CN"/>
        </w:rPr>
        <w:t>0</w:t>
      </w:r>
      <w:r>
        <w:rPr>
          <w:rFonts w:hint="eastAsia" w:ascii="仿宋" w:hAnsi="仿宋" w:eastAsia="仿宋" w:cs="仿宋"/>
          <w:sz w:val="32"/>
          <w:szCs w:val="32"/>
        </w:rPr>
        <w:t>万元)；公务接待费</w:t>
      </w:r>
      <w:r>
        <w:rPr>
          <w:rFonts w:hint="eastAsia" w:ascii="仿宋" w:hAnsi="仿宋" w:eastAsia="仿宋" w:cs="仿宋"/>
          <w:sz w:val="32"/>
          <w:szCs w:val="32"/>
          <w:lang w:val="en-US" w:eastAsia="zh-CN"/>
        </w:rPr>
        <w:t>2</w:t>
      </w:r>
      <w:r>
        <w:rPr>
          <w:rFonts w:hint="eastAsia" w:ascii="仿宋" w:hAnsi="仿宋" w:eastAsia="仿宋" w:cs="仿宋"/>
          <w:sz w:val="32"/>
          <w:szCs w:val="32"/>
        </w:rPr>
        <w:t>万元。</w:t>
      </w:r>
      <w:r>
        <w:rPr>
          <w:rFonts w:hint="eastAsia" w:ascii="仿宋" w:hAnsi="仿宋" w:eastAsia="仿宋" w:cs="仿宋"/>
          <w:sz w:val="32"/>
          <w:szCs w:val="32"/>
          <w:lang w:eastAsia="zh-CN"/>
        </w:rPr>
        <w:t>较</w:t>
      </w:r>
      <w:r>
        <w:rPr>
          <w:rFonts w:hint="eastAsia" w:ascii="仿宋" w:hAnsi="仿宋" w:eastAsia="仿宋" w:cs="仿宋"/>
          <w:sz w:val="32"/>
          <w:szCs w:val="32"/>
          <w:lang w:val="en-US" w:eastAsia="zh-CN"/>
        </w:rPr>
        <w:t>2020年增加2万元，主要为2021年度有“创建文明城市、创建卫生城市”等创城项目。</w:t>
      </w:r>
      <w:bookmarkStart w:id="59" w:name="_GoBack"/>
      <w:bookmarkEnd w:id="59"/>
    </w:p>
    <w:p>
      <w:pPr>
        <w:ind w:firstLine="640" w:firstLineChars="200"/>
        <w:rPr>
          <w:rFonts w:ascii="黑体" w:hAnsi="黑体" w:eastAsia="黑体"/>
          <w:sz w:val="32"/>
          <w:szCs w:val="32"/>
        </w:rPr>
      </w:pPr>
      <w:r>
        <w:rPr>
          <w:rFonts w:hint="eastAsia" w:ascii="黑体" w:hAnsi="黑体" w:eastAsia="黑体"/>
          <w:sz w:val="32"/>
          <w:szCs w:val="32"/>
        </w:rPr>
        <w:t>五、预算绩效信息</w:t>
      </w:r>
    </w:p>
    <w:p>
      <w:pPr>
        <w:ind w:firstLine="640" w:firstLineChars="200"/>
        <w:jc w:val="left"/>
        <w:rPr>
          <w:rFonts w:hint="eastAsia" w:ascii="Times New Roman" w:hAnsi="Times New Roman" w:eastAsia="方正仿宋_GBK"/>
          <w:b/>
          <w:sz w:val="32"/>
          <w:szCs w:val="32"/>
        </w:rPr>
      </w:pPr>
      <w:bookmarkStart w:id="0" w:name="_Toc471398463"/>
      <w:r>
        <w:rPr>
          <w:rFonts w:hint="eastAsia" w:ascii="Times New Roman" w:hAnsi="Times New Roman" w:eastAsia="方正仿宋_GBK"/>
          <w:b/>
          <w:sz w:val="32"/>
          <w:szCs w:val="32"/>
        </w:rPr>
        <w:t>第一部分部门整体绩效目标</w:t>
      </w:r>
    </w:p>
    <w:p>
      <w:pPr>
        <w:autoSpaceDE w:val="0"/>
        <w:autoSpaceDN w:val="0"/>
        <w:adjustRightInd w:val="0"/>
        <w:ind w:left="198" w:firstLine="643" w:firstLineChars="200"/>
        <w:jc w:val="left"/>
        <w:rPr>
          <w:rFonts w:hint="eastAsia" w:ascii="仿宋" w:hAnsi="仿宋" w:eastAsia="仿宋" w:cs="仿宋"/>
          <w:b/>
          <w:sz w:val="32"/>
          <w:szCs w:val="32"/>
        </w:rPr>
      </w:pPr>
      <w:r>
        <w:rPr>
          <w:rFonts w:hint="eastAsia" w:ascii="仿宋" w:hAnsi="仿宋" w:eastAsia="仿宋" w:cs="仿宋"/>
          <w:b/>
          <w:sz w:val="32"/>
          <w:szCs w:val="32"/>
        </w:rPr>
        <w:t>（一）总体绩效目标</w:t>
      </w:r>
      <w:r>
        <w:fldChar w:fldCharType="begin"/>
      </w:r>
      <w:r>
        <w:rPr>
          <w:rFonts w:hint="eastAsia" w:ascii="仿宋" w:hAnsi="仿宋" w:eastAsia="仿宋" w:cs="仿宋"/>
          <w:b/>
          <w:sz w:val="32"/>
          <w:szCs w:val="32"/>
        </w:rPr>
        <w:instrText xml:space="preserve"> TC </w:instrText>
      </w:r>
      <w:bookmarkStart w:id="1" w:name="_Toc29484628"/>
      <w:r>
        <w:rPr>
          <w:rFonts w:hint="eastAsia" w:ascii="仿宋" w:hAnsi="仿宋" w:eastAsia="仿宋" w:cs="仿宋"/>
          <w:b/>
          <w:sz w:val="32"/>
          <w:szCs w:val="32"/>
        </w:rPr>
        <w:instrText xml:space="preserve">总体绩效目标</w:instrText>
      </w:r>
      <w:bookmarkEnd w:id="1"/>
      <w:r>
        <w:rPr>
          <w:rFonts w:hint="eastAsia" w:ascii="仿宋" w:hAnsi="仿宋" w:eastAsia="仿宋" w:cs="仿宋"/>
          <w:b/>
          <w:sz w:val="32"/>
          <w:szCs w:val="32"/>
        </w:rPr>
        <w:instrText xml:space="preserve"> \f A \l 1 </w:instrText>
      </w:r>
      <w:r>
        <w:rPr>
          <w:rFonts w:hint="eastAsia" w:ascii="仿宋" w:hAnsi="仿宋" w:eastAsia="仿宋" w:cs="仿宋"/>
          <w:b/>
          <w:sz w:val="32"/>
          <w:szCs w:val="32"/>
        </w:rPr>
        <w:fldChar w:fldCharType="end"/>
      </w:r>
    </w:p>
    <w:p>
      <w:pPr>
        <w:spacing w:line="500" w:lineRule="exact"/>
        <w:ind w:firstLine="640" w:firstLineChars="200"/>
        <w:jc w:val="left"/>
        <w:outlineLvl w:val="9"/>
        <w:rPr>
          <w:rFonts w:hint="eastAsia" w:ascii="仿宋" w:hAnsi="仿宋" w:eastAsia="仿宋" w:cs="仿宋"/>
          <w:b w:val="0"/>
          <w:sz w:val="32"/>
          <w:szCs w:val="32"/>
          <w:u w:val="none"/>
        </w:rPr>
      </w:pPr>
      <w:r>
        <w:rPr>
          <w:rFonts w:hint="eastAsia" w:ascii="仿宋" w:hAnsi="仿宋" w:eastAsia="仿宋" w:cs="仿宋"/>
          <w:b w:val="0"/>
          <w:sz w:val="32"/>
          <w:szCs w:val="32"/>
          <w:u w:val="none"/>
        </w:rPr>
        <w:t>提升县城环境卫生、改善人居环境。加强城区市容市貌环境卫生管理, 城区内主要街道卫生干净、整洁;</w:t>
      </w:r>
    </w:p>
    <w:p>
      <w:pPr>
        <w:spacing w:line="500" w:lineRule="exact"/>
        <w:ind w:firstLine="640" w:firstLineChars="200"/>
        <w:jc w:val="left"/>
        <w:outlineLvl w:val="9"/>
        <w:rPr>
          <w:rFonts w:hint="eastAsia" w:ascii="仿宋" w:hAnsi="仿宋" w:eastAsia="仿宋" w:cs="仿宋"/>
          <w:b w:val="0"/>
          <w:sz w:val="32"/>
          <w:szCs w:val="32"/>
          <w:u w:val="none"/>
        </w:rPr>
      </w:pPr>
      <w:r>
        <w:rPr>
          <w:rFonts w:hint="eastAsia" w:ascii="仿宋" w:hAnsi="仿宋" w:eastAsia="仿宋" w:cs="仿宋"/>
          <w:b w:val="0"/>
          <w:sz w:val="32"/>
          <w:szCs w:val="32"/>
          <w:u w:val="none"/>
        </w:rPr>
        <w:t>提升县城绿化率，改善人居环境。加强管理，提高城市绿化率,提高城区绿地绿化质量, 城区公园、游园等绿地养护管理;</w:t>
      </w:r>
    </w:p>
    <w:p>
      <w:pPr>
        <w:spacing w:line="500" w:lineRule="exact"/>
        <w:ind w:firstLine="640" w:firstLineChars="200"/>
        <w:jc w:val="left"/>
        <w:outlineLvl w:val="9"/>
        <w:rPr>
          <w:rFonts w:hint="eastAsia" w:ascii="仿宋" w:hAnsi="仿宋" w:eastAsia="仿宋" w:cs="仿宋"/>
          <w:b w:val="0"/>
          <w:sz w:val="32"/>
          <w:szCs w:val="32"/>
          <w:u w:val="none"/>
        </w:rPr>
      </w:pPr>
      <w:r>
        <w:rPr>
          <w:rFonts w:hint="eastAsia" w:ascii="仿宋" w:hAnsi="仿宋" w:eastAsia="仿宋" w:cs="仿宋"/>
          <w:b w:val="0"/>
          <w:sz w:val="32"/>
          <w:szCs w:val="32"/>
          <w:u w:val="none"/>
        </w:rPr>
        <w:t>市政公用设施建设与管理,加强管理提高县城承载能力加强城市市政基础设施的建设、维护与管理;</w:t>
      </w:r>
    </w:p>
    <w:p>
      <w:pPr>
        <w:spacing w:line="500" w:lineRule="exact"/>
        <w:ind w:firstLine="640" w:firstLineChars="200"/>
        <w:jc w:val="left"/>
        <w:outlineLvl w:val="9"/>
        <w:rPr>
          <w:rFonts w:hint="eastAsia" w:ascii="仿宋" w:hAnsi="仿宋" w:eastAsia="仿宋" w:cs="仿宋"/>
          <w:b w:val="0"/>
          <w:sz w:val="32"/>
          <w:szCs w:val="32"/>
          <w:u w:val="none"/>
        </w:rPr>
      </w:pPr>
      <w:r>
        <w:rPr>
          <w:rFonts w:hint="eastAsia" w:ascii="仿宋" w:hAnsi="仿宋" w:eastAsia="仿宋" w:cs="仿宋"/>
          <w:b w:val="0"/>
          <w:sz w:val="32"/>
          <w:szCs w:val="32"/>
          <w:u w:val="none"/>
        </w:rPr>
        <w:t>城市市容市貌管理, 城市市容市貌综合整治, 维护城区市容市貌，无乱占道、乱堆杂物、乱贴乱画、乱搭棚亭、乱设广告等方面的违规违章行为;</w:t>
      </w:r>
    </w:p>
    <w:p>
      <w:pPr>
        <w:spacing w:line="500" w:lineRule="exact"/>
        <w:ind w:firstLine="640" w:firstLineChars="200"/>
        <w:jc w:val="left"/>
        <w:outlineLvl w:val="9"/>
        <w:rPr>
          <w:rFonts w:hint="eastAsia" w:ascii="仿宋" w:hAnsi="仿宋" w:eastAsia="仿宋" w:cs="仿宋"/>
          <w:b w:val="0"/>
          <w:sz w:val="32"/>
          <w:szCs w:val="32"/>
          <w:u w:val="none"/>
        </w:rPr>
      </w:pPr>
      <w:r>
        <w:rPr>
          <w:rFonts w:hint="eastAsia" w:ascii="仿宋" w:hAnsi="仿宋" w:eastAsia="仿宋" w:cs="仿宋"/>
          <w:b w:val="0"/>
          <w:sz w:val="32"/>
          <w:szCs w:val="32"/>
          <w:u w:val="none"/>
        </w:rPr>
        <w:t>集中行政处罚,维护城区市容市貌，环境卫生干净整洁，保证城区内无违规建筑.</w:t>
      </w:r>
    </w:p>
    <w:p>
      <w:pPr>
        <w:numPr>
          <w:ilvl w:val="0"/>
          <w:numId w:val="1"/>
        </w:numPr>
        <w:autoSpaceDE w:val="0"/>
        <w:autoSpaceDN w:val="0"/>
        <w:adjustRightInd w:val="0"/>
        <w:ind w:left="198" w:firstLine="643" w:firstLineChars="200"/>
        <w:jc w:val="left"/>
        <w:rPr>
          <w:rFonts w:hint="eastAsia" w:ascii="仿宋" w:hAnsi="仿宋" w:eastAsia="仿宋" w:cs="仿宋"/>
          <w:b/>
          <w:sz w:val="32"/>
          <w:szCs w:val="32"/>
        </w:rPr>
      </w:pPr>
      <w:r>
        <w:rPr>
          <w:rFonts w:hint="eastAsia" w:ascii="仿宋" w:hAnsi="仿宋" w:eastAsia="仿宋" w:cs="仿宋"/>
          <w:b/>
          <w:sz w:val="32"/>
          <w:szCs w:val="32"/>
        </w:rPr>
        <w:t>分项绩效目标</w:t>
      </w:r>
    </w:p>
    <w:p>
      <w:pPr>
        <w:spacing w:line="500" w:lineRule="exact"/>
        <w:ind w:firstLine="640" w:firstLineChars="200"/>
        <w:jc w:val="left"/>
        <w:outlineLvl w:val="9"/>
        <w:rPr>
          <w:rFonts w:hint="eastAsia" w:ascii="仿宋" w:hAnsi="仿宋" w:eastAsia="仿宋" w:cs="仿宋"/>
          <w:b w:val="0"/>
          <w:sz w:val="32"/>
          <w:szCs w:val="32"/>
          <w:u w:val="none"/>
        </w:rPr>
      </w:pPr>
      <w:r>
        <w:rPr>
          <w:rFonts w:hint="eastAsia" w:ascii="仿宋" w:hAnsi="仿宋" w:eastAsia="仿宋" w:cs="仿宋"/>
          <w:b w:val="0"/>
          <w:sz w:val="32"/>
          <w:szCs w:val="32"/>
          <w:u w:val="none"/>
        </w:rPr>
        <w:t>环境卫生方面:提升县城环境卫生、改善人居环境。加强城区市容市貌环境卫生管理, 城区内主要街道卫生干净、整洁;</w:t>
      </w:r>
    </w:p>
    <w:p>
      <w:pPr>
        <w:spacing w:line="500" w:lineRule="exact"/>
        <w:ind w:firstLine="640" w:firstLineChars="200"/>
        <w:jc w:val="left"/>
        <w:outlineLvl w:val="9"/>
        <w:rPr>
          <w:rFonts w:hint="eastAsia" w:ascii="仿宋" w:hAnsi="仿宋" w:eastAsia="仿宋" w:cs="仿宋"/>
          <w:b w:val="0"/>
          <w:sz w:val="32"/>
          <w:szCs w:val="32"/>
          <w:u w:val="none"/>
        </w:rPr>
      </w:pPr>
      <w:r>
        <w:rPr>
          <w:rFonts w:hint="eastAsia" w:ascii="仿宋" w:hAnsi="仿宋" w:eastAsia="仿宋" w:cs="仿宋"/>
          <w:b w:val="0"/>
          <w:sz w:val="32"/>
          <w:szCs w:val="32"/>
          <w:u w:val="none"/>
        </w:rPr>
        <w:t>城市绿化方面:提升县城绿化率，改善人居环境。加强管理，提高城市绿化率,提高城区绿地绿化质量, 城区公园、游园等绿地养护管理;</w:t>
      </w:r>
    </w:p>
    <w:p>
      <w:pPr>
        <w:spacing w:line="500" w:lineRule="exact"/>
        <w:ind w:firstLine="640" w:firstLineChars="200"/>
        <w:jc w:val="left"/>
        <w:outlineLvl w:val="9"/>
        <w:rPr>
          <w:rFonts w:hint="eastAsia" w:ascii="仿宋" w:hAnsi="仿宋" w:eastAsia="仿宋" w:cs="仿宋"/>
          <w:b w:val="0"/>
          <w:sz w:val="32"/>
          <w:szCs w:val="32"/>
          <w:u w:val="none"/>
        </w:rPr>
      </w:pPr>
      <w:r>
        <w:rPr>
          <w:rFonts w:hint="eastAsia" w:ascii="仿宋" w:hAnsi="仿宋" w:eastAsia="仿宋" w:cs="仿宋"/>
          <w:b w:val="0"/>
          <w:sz w:val="32"/>
          <w:szCs w:val="32"/>
          <w:u w:val="none"/>
        </w:rPr>
        <w:t>市政方面:市政公用设施建设与管理,加强管理提高县城承载能力加强城市市政基础设施的建设、维护与管理;</w:t>
      </w:r>
    </w:p>
    <w:p>
      <w:pPr>
        <w:spacing w:line="500" w:lineRule="exact"/>
        <w:ind w:firstLine="640" w:firstLineChars="200"/>
        <w:jc w:val="left"/>
        <w:outlineLvl w:val="9"/>
        <w:rPr>
          <w:rFonts w:hint="eastAsia" w:ascii="仿宋" w:hAnsi="仿宋" w:eastAsia="仿宋" w:cs="仿宋"/>
          <w:b w:val="0"/>
          <w:sz w:val="32"/>
          <w:szCs w:val="32"/>
          <w:u w:val="none"/>
        </w:rPr>
      </w:pPr>
      <w:r>
        <w:rPr>
          <w:rFonts w:hint="eastAsia" w:ascii="仿宋" w:hAnsi="仿宋" w:eastAsia="仿宋" w:cs="仿宋"/>
          <w:b w:val="0"/>
          <w:sz w:val="32"/>
          <w:szCs w:val="32"/>
          <w:u w:val="none"/>
        </w:rPr>
        <w:t>市容市貌方面:城市市容市貌管理, 城市市容市貌综合整治, 维护城区市容市貌，无乱占道、乱堆杂物、乱贴乱画、乱搭棚亭、乱设广告等方面的违规违章行为;集中行政处罚,维护城区市容市貌，环境卫生干净整洁，保证城区内无违规建筑.</w:t>
      </w:r>
    </w:p>
    <w:p>
      <w:pPr>
        <w:autoSpaceDE w:val="0"/>
        <w:autoSpaceDN w:val="0"/>
        <w:adjustRightInd w:val="0"/>
        <w:ind w:left="198" w:firstLine="643" w:firstLineChars="200"/>
        <w:jc w:val="left"/>
        <w:rPr>
          <w:rFonts w:hint="eastAsia" w:ascii="仿宋" w:hAnsi="仿宋" w:eastAsia="仿宋" w:cs="仿宋"/>
          <w:b/>
          <w:sz w:val="32"/>
          <w:szCs w:val="32"/>
        </w:rPr>
      </w:pPr>
      <w:r>
        <w:rPr>
          <w:rFonts w:hint="eastAsia" w:ascii="仿宋" w:hAnsi="仿宋" w:eastAsia="仿宋" w:cs="仿宋"/>
          <w:b/>
          <w:sz w:val="32"/>
          <w:szCs w:val="32"/>
        </w:rPr>
        <w:t>（三）工作保障措施</w:t>
      </w:r>
      <w:r>
        <w:fldChar w:fldCharType="begin"/>
      </w:r>
      <w:r>
        <w:rPr>
          <w:rFonts w:hint="eastAsia" w:ascii="仿宋" w:hAnsi="仿宋" w:eastAsia="仿宋" w:cs="仿宋"/>
          <w:b/>
          <w:sz w:val="32"/>
          <w:szCs w:val="32"/>
        </w:rPr>
        <w:instrText xml:space="preserve"> TC </w:instrText>
      </w:r>
      <w:bookmarkStart w:id="2" w:name="_Toc29484630"/>
      <w:r>
        <w:rPr>
          <w:rFonts w:hint="eastAsia" w:ascii="仿宋" w:hAnsi="仿宋" w:eastAsia="仿宋" w:cs="仿宋"/>
          <w:b/>
          <w:sz w:val="32"/>
          <w:szCs w:val="32"/>
        </w:rPr>
        <w:instrText xml:space="preserve">工作保障措施</w:instrText>
      </w:r>
      <w:bookmarkEnd w:id="2"/>
      <w:r>
        <w:rPr>
          <w:rFonts w:hint="eastAsia" w:ascii="仿宋" w:hAnsi="仿宋" w:eastAsia="仿宋" w:cs="仿宋"/>
          <w:b/>
          <w:sz w:val="32"/>
          <w:szCs w:val="32"/>
        </w:rPr>
        <w:instrText xml:space="preserve"> \f A \l 1 </w:instrText>
      </w:r>
      <w:r>
        <w:rPr>
          <w:rFonts w:hint="eastAsia" w:ascii="仿宋" w:hAnsi="仿宋" w:eastAsia="仿宋" w:cs="仿宋"/>
          <w:b/>
          <w:sz w:val="32"/>
          <w:szCs w:val="32"/>
        </w:rPr>
        <w:fldChar w:fldCharType="end"/>
      </w:r>
    </w:p>
    <w:p>
      <w:pPr>
        <w:spacing w:line="500" w:lineRule="exact"/>
        <w:ind w:firstLine="640" w:firstLineChars="200"/>
        <w:jc w:val="left"/>
        <w:outlineLvl w:val="9"/>
        <w:rPr>
          <w:rFonts w:hint="eastAsia" w:ascii="仿宋" w:hAnsi="仿宋" w:eastAsia="仿宋" w:cs="仿宋"/>
          <w:b w:val="0"/>
          <w:sz w:val="32"/>
          <w:szCs w:val="32"/>
          <w:u w:val="none"/>
        </w:rPr>
      </w:pPr>
      <w:r>
        <w:rPr>
          <w:rFonts w:hint="eastAsia" w:ascii="仿宋" w:hAnsi="仿宋" w:eastAsia="仿宋" w:cs="仿宋"/>
          <w:b w:val="0"/>
          <w:sz w:val="32"/>
          <w:szCs w:val="32"/>
          <w:u w:val="none"/>
        </w:rPr>
        <w:t>加强领导，卡死责任。各级领导干部要对照目标任务，对号入座，强化组织领导，严格实行“五个一”即一项工作，一个专班，一套人马，一线督导，一抓到底。分管领导对分管工作要靠前指挥、狠抓落实；各科室要全程参与，积极协助解决工作中的问题；各科室要建立“一把手”负责制，进一步细化实化任务目标，形成无缝隙责任链条。</w:t>
      </w:r>
    </w:p>
    <w:p>
      <w:pPr>
        <w:spacing w:line="500" w:lineRule="exact"/>
        <w:ind w:firstLine="640" w:firstLineChars="200"/>
        <w:jc w:val="left"/>
        <w:outlineLvl w:val="9"/>
        <w:rPr>
          <w:rFonts w:hint="eastAsia" w:ascii="仿宋" w:hAnsi="仿宋" w:eastAsia="仿宋" w:cs="仿宋"/>
          <w:b w:val="0"/>
          <w:sz w:val="32"/>
          <w:szCs w:val="32"/>
          <w:u w:val="none"/>
        </w:rPr>
      </w:pPr>
      <w:r>
        <w:rPr>
          <w:rFonts w:hint="eastAsia" w:ascii="仿宋" w:hAnsi="仿宋" w:eastAsia="仿宋" w:cs="仿宋"/>
          <w:b w:val="0"/>
          <w:sz w:val="32"/>
          <w:szCs w:val="32"/>
          <w:u w:val="none"/>
        </w:rPr>
        <w:t>协调联动，形成合力。要强化“四个意识”，加强沟通，协调联动，破除单位和部门利益的狭隘思想，形成合力，确保优质高效完成任务目标。要强化效能意识，克服等靠要思想，抢占工作先机。要开展分层次、多形式、精准化培训，加强职业教育，培育城市管理行业领军人才。</w:t>
      </w:r>
    </w:p>
    <w:p>
      <w:pPr>
        <w:spacing w:line="500" w:lineRule="exact"/>
        <w:ind w:firstLine="640" w:firstLineChars="200"/>
        <w:jc w:val="left"/>
        <w:outlineLvl w:val="9"/>
        <w:rPr>
          <w:rFonts w:hint="eastAsia" w:ascii="仿宋" w:hAnsi="仿宋" w:eastAsia="仿宋" w:cs="仿宋"/>
          <w:b w:val="0"/>
          <w:sz w:val="32"/>
          <w:szCs w:val="32"/>
          <w:u w:val="none"/>
        </w:rPr>
      </w:pPr>
      <w:r>
        <w:rPr>
          <w:rFonts w:hint="eastAsia" w:ascii="仿宋" w:hAnsi="仿宋" w:eastAsia="仿宋" w:cs="仿宋"/>
          <w:b w:val="0"/>
          <w:sz w:val="32"/>
          <w:szCs w:val="32"/>
          <w:u w:val="none"/>
        </w:rPr>
        <w:t>强化督查，强力推进。要坚持重点督查和专项督查相结合，坚持局领导分包督查、分管科室对口督查相结合，实行任务目标全程督导机制，实行每月排名通报、每季调度、半年小结、年终考评制度，完善任务分解、督导指导、现场调度、约谈后进等工作机制。</w:t>
      </w:r>
    </w:p>
    <w:p>
      <w:pPr>
        <w:spacing w:line="500" w:lineRule="exact"/>
        <w:ind w:firstLine="640" w:firstLineChars="200"/>
        <w:jc w:val="left"/>
        <w:outlineLvl w:val="9"/>
        <w:rPr>
          <w:rFonts w:hint="eastAsia" w:ascii="仿宋" w:hAnsi="仿宋" w:eastAsia="仿宋" w:cs="仿宋"/>
          <w:b w:val="0"/>
          <w:sz w:val="32"/>
          <w:szCs w:val="32"/>
          <w:u w:val="none"/>
        </w:rPr>
      </w:pPr>
      <w:r>
        <w:rPr>
          <w:rFonts w:hint="eastAsia" w:ascii="仿宋" w:hAnsi="仿宋" w:eastAsia="仿宋" w:cs="仿宋"/>
          <w:b w:val="0"/>
          <w:sz w:val="32"/>
          <w:szCs w:val="32"/>
          <w:u w:val="none"/>
        </w:rPr>
        <w:t>依法行政，全面加强。在城管系统开展以“提高执法公信力”为主题的“规范执法年”活动。深入推进行政执法公示、全过程记录和法制审核“三项制度”。强化行政复议监督，加大违法案件查处曝光力度。实行公开评议和定期通报制度。</w:t>
      </w:r>
    </w:p>
    <w:p>
      <w:pPr>
        <w:autoSpaceDE w:val="0"/>
        <w:autoSpaceDN w:val="0"/>
        <w:adjustRightInd w:val="0"/>
        <w:ind w:left="198" w:firstLine="640" w:firstLineChars="200"/>
        <w:jc w:val="left"/>
        <w:rPr>
          <w:rFonts w:ascii="Times New Roman" w:hAnsi="宋体"/>
          <w:sz w:val="52"/>
        </w:rPr>
      </w:pPr>
      <w:r>
        <w:rPr>
          <w:rFonts w:hint="eastAsia" w:ascii="仿宋" w:hAnsi="仿宋" w:eastAsia="仿宋" w:cs="仿宋"/>
          <w:b w:val="0"/>
          <w:sz w:val="32"/>
          <w:szCs w:val="32"/>
          <w:u w:val="none"/>
        </w:rPr>
        <w:t>宣传动员，营造氛围。要充分利用主流新闻媒体和新媒体，大力开展形式多样的宣传活动；要积极选树宣传先进典型和创新典型，营造创先争优浓厚氛围；要积极发动市民参与城市管理工作，进一步提高广大市民的文明意识和参与意识，努力营造全社会了解、支持、参与城市管理的良好氛围。</w:t>
      </w:r>
    </w:p>
    <w:p>
      <w:pPr>
        <w:rPr>
          <w:rFonts w:hint="eastAsia" w:ascii="Times New Roman" w:hAnsi="Times New Roman" w:eastAsia="方正仿宋_GBK"/>
          <w:b/>
          <w:sz w:val="32"/>
          <w:szCs w:val="32"/>
        </w:rPr>
      </w:pPr>
      <w:r>
        <w:rPr>
          <w:rFonts w:hint="eastAsia" w:ascii="Times New Roman" w:hAnsi="Times New Roman" w:eastAsia="方正仿宋_GBK"/>
          <w:b/>
          <w:sz w:val="32"/>
          <w:szCs w:val="32"/>
        </w:rPr>
        <w:t>第二部分：预算项目绩效目标：</w:t>
      </w:r>
    </w:p>
    <w:p>
      <w:pPr>
        <w:ind w:firstLine="560" w:firstLineChars="200"/>
        <w:jc w:val="left"/>
        <w:outlineLvl w:val="3"/>
        <w:rPr>
          <w:rFonts w:ascii="Times New Roman" w:hAnsi="宋体"/>
          <w:b/>
          <w:sz w:val="28"/>
        </w:rPr>
      </w:pPr>
      <w:bookmarkStart w:id="3" w:name="_Toc66068106"/>
      <w:r>
        <w:rPr>
          <w:rFonts w:hint="eastAsia" w:ascii="方正仿宋_GBK" w:eastAsia="方正仿宋_GBK"/>
          <w:b/>
          <w:sz w:val="28"/>
        </w:rPr>
        <w:t>1.城市基础设施配套费/城市公共设施维修维护费绩效目标表</w:t>
      </w:r>
      <w:bookmarkEnd w:id="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1、城市基础设施配套费/城市公共设施维修维护费绩效目标表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1305252101RLB8BF70IMC</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城市基础设施配套费</w:t>
            </w:r>
            <w:r>
              <w:rPr>
                <w:rFonts w:ascii="方正书宋_GBK" w:eastAsia="方正书宋_GBK"/>
              </w:rPr>
              <w:t>/</w:t>
            </w:r>
            <w:r>
              <w:rPr>
                <w:rFonts w:hint="eastAsia" w:ascii="方正书宋_GBK" w:eastAsia="方正书宋_GBK"/>
              </w:rPr>
              <w:t>城市公共设施维修维护费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城市公共设施维修维护费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4" w:name="_Toc66068107"/>
      <w:r>
        <w:rPr>
          <w:rFonts w:hint="eastAsia" w:ascii="方正仿宋_GBK" w:eastAsia="方正仿宋_GBK"/>
          <w:b/>
          <w:sz w:val="28"/>
        </w:rPr>
        <w:t>2.土地出让金/太行路、康庄路、唐尧街道路翻新工程绩效目标表</w:t>
      </w:r>
      <w:bookmarkEnd w:id="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2、土地出让金/太行路、康庄路、唐尧街道路翻新工程绩效目标表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bl>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130525211ERBZI7SE53LI</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太行路、康庄路、唐尧街道路翻新工程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100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太行路、康庄路、唐尧街道路翻新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ind w:firstLine="560" w:firstLineChars="200"/>
        <w:jc w:val="left"/>
        <w:outlineLvl w:val="3"/>
        <w:rPr>
          <w:rFonts w:ascii="Times New Roman" w:hAnsi="宋体"/>
          <w:b/>
          <w:sz w:val="28"/>
        </w:rPr>
      </w:pPr>
      <w:bookmarkStart w:id="5" w:name="_Toc66068108"/>
      <w:r>
        <w:rPr>
          <w:rFonts w:hint="eastAsia" w:ascii="方正仿宋_GBK" w:eastAsia="方正仿宋_GBK"/>
          <w:b/>
          <w:sz w:val="28"/>
        </w:rPr>
        <w:t>3.土地出让金/前期费用（金隆路绿道绿廊外侧道路建设，金隆路西延、尧山街道路及城乡结合部绿化，城区亮化改造，北甫路、昭庆街道路建设，城区街道老旧管网改造）绩效目标表</w:t>
      </w:r>
      <w:bookmarkEnd w:id="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3、土地出让金/前期费用（金隆路绿道绿廊外侧道路建设，金隆路西延、尧山街道路及城乡结合部绿化，城区亮化改造，北甫路、昭庆街道路建设，城区街道老旧管网改造）绩效目标表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130525211MB5Q4RVZ38GW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前期费用（金隆路绿道绿廊外侧道路建设，金隆路西延、尧山街道路及城乡结合部绿化，城区亮化改造，北甫路、昭庆街道路建设，城区街道老旧管网改造）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项目工程前期费用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6" w:name="_Toc66068109"/>
      <w:r>
        <w:rPr>
          <w:rFonts w:hint="eastAsia" w:ascii="方正仿宋_GBK" w:eastAsia="方正仿宋_GBK"/>
          <w:b/>
          <w:sz w:val="28"/>
        </w:rPr>
        <w:t>4.智慧路灯控制系统运行费绩效目标表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4、智慧路灯控制系统运行费绩效目标表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130525211SGTBY5N0BE7T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智慧路灯控制系统运行费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智慧路灯控制系统运行费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资金拨付及时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资金拨付及时</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资金拨付及时</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7" w:name="_Toc66068110"/>
      <w:r>
        <w:rPr>
          <w:rFonts w:hint="eastAsia" w:ascii="方正仿宋_GBK" w:eastAsia="方正仿宋_GBK"/>
          <w:b/>
          <w:sz w:val="28"/>
        </w:rPr>
        <w:t>5.拆违经费绩效目标表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5、拆违经费绩效目标表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1305252125GCCDK37C44Y</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拆违经费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23</w:t>
            </w:r>
            <w:r>
              <w:rPr>
                <w:rFonts w:hint="eastAsia" w:ascii="方正书宋_GBK" w:eastAsia="方正书宋_GBK"/>
                <w:lang w:val="en-US" w:eastAsia="zh-CN"/>
              </w:rPr>
              <w:t>.</w:t>
            </w:r>
            <w:r>
              <w:rPr>
                <w:rFonts w:ascii="方正书宋_GBK" w:eastAsia="方正书宋_GBK"/>
              </w:rPr>
              <w:t>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23</w:t>
            </w:r>
            <w:r>
              <w:rPr>
                <w:rFonts w:hint="eastAsia" w:ascii="方正书宋_GBK" w:eastAsia="方正书宋_GBK"/>
                <w:lang w:val="en-US" w:eastAsia="zh-CN"/>
              </w:rPr>
              <w:t>.</w:t>
            </w:r>
            <w:r>
              <w:rPr>
                <w:rFonts w:ascii="方正书宋_GBK" w:eastAsia="方正书宋_GBK"/>
              </w:rPr>
              <w:t>5</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拆违经费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8" w:name="_Toc66068111"/>
      <w:r>
        <w:rPr>
          <w:rFonts w:hint="eastAsia" w:ascii="方正仿宋_GBK" w:eastAsia="方正仿宋_GBK"/>
          <w:b/>
          <w:sz w:val="28"/>
        </w:rPr>
        <w:t>6.土地出让金/城乡环卫一体化项目一标段绩效目标表</w:t>
      </w:r>
      <w:bookmarkEnd w:id="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6、土地出让金/城乡环卫一体化项目一标段绩效目标表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130525213CWLKLBTY5SSN</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城乡环卫一体化项目一标段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1346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1346</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城乡环卫一体化项目一标段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9" w:name="_Toc66068112"/>
      <w:r>
        <w:rPr>
          <w:rFonts w:hint="eastAsia" w:ascii="方正仿宋_GBK" w:eastAsia="方正仿宋_GBK"/>
          <w:b/>
          <w:sz w:val="28"/>
        </w:rPr>
        <w:t>7.土地出让金/隆尧公园尾款绩效目标表</w:t>
      </w:r>
      <w:bookmarkEnd w:id="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7、土地出让金/隆尧公园尾款绩效目标表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130525213PCO0F6WOGYWV</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隆尧公园尾款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lang w:val="en-US" w:eastAsia="zh-CN"/>
              </w:rPr>
              <w:t>.</w:t>
            </w:r>
            <w:r>
              <w:rPr>
                <w:rFonts w:ascii="方正书宋_GBK" w:eastAsia="方正书宋_GBK"/>
              </w:rPr>
              <w:t>3093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lang w:val="en-US" w:eastAsia="zh-CN"/>
              </w:rPr>
              <w:t>.</w:t>
            </w:r>
            <w:r>
              <w:rPr>
                <w:rFonts w:ascii="方正书宋_GBK" w:eastAsia="方正书宋_GBK"/>
              </w:rPr>
              <w:t>3093</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隆尧公园尾款支付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10" w:name="_Toc66068113"/>
      <w:r>
        <w:rPr>
          <w:rFonts w:hint="eastAsia" w:ascii="方正仿宋_GBK" w:eastAsia="方正仿宋_GBK"/>
          <w:b/>
          <w:sz w:val="28"/>
        </w:rPr>
        <w:t>8.土地出让金/滏阳街与德仁路节点游园绩效目标表</w:t>
      </w:r>
      <w:bookmarkEnd w:id="1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8、土地出让金/滏阳街与德仁路节点游园绩效目标表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130525213WXP43LLANLRT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滏阳街与德仁路节点游园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滏阳街与德仁路节点游园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11" w:name="_Toc66068114"/>
      <w:r>
        <w:rPr>
          <w:rFonts w:hint="eastAsia" w:ascii="方正仿宋_GBK" w:eastAsia="方正仿宋_GBK"/>
          <w:b/>
          <w:sz w:val="28"/>
        </w:rPr>
        <w:t>9.土地出让金/2020-2021年度延长供热补贴绩效目标表</w:t>
      </w:r>
      <w:bookmarkEnd w:id="1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9、土地出让金/2020-2021年度延长供热补贴绩效目标表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130525214M96HD7WI3UBU</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/2020-2021</w:t>
            </w:r>
            <w:r>
              <w:rPr>
                <w:rFonts w:hint="eastAsia" w:ascii="方正书宋_GBK" w:eastAsia="方正书宋_GBK"/>
              </w:rPr>
              <w:t>年度延长供热补贴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64</w:t>
            </w:r>
            <w:r>
              <w:rPr>
                <w:rFonts w:hint="eastAsia" w:ascii="方正书宋_GBK" w:eastAsia="方正书宋_GBK"/>
                <w:lang w:val="en-US" w:eastAsia="zh-CN"/>
              </w:rPr>
              <w:t>.</w:t>
            </w:r>
            <w:r>
              <w:rPr>
                <w:rFonts w:ascii="方正书宋_GBK" w:eastAsia="方正书宋_GBK"/>
              </w:rPr>
              <w:t>6479</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64</w:t>
            </w:r>
            <w:r>
              <w:rPr>
                <w:rFonts w:hint="eastAsia" w:ascii="方正书宋_GBK" w:eastAsia="方正书宋_GBK"/>
                <w:lang w:val="en-US" w:eastAsia="zh-CN"/>
              </w:rPr>
              <w:t>.</w:t>
            </w:r>
            <w:r>
              <w:rPr>
                <w:rFonts w:ascii="方正书宋_GBK" w:eastAsia="方正书宋_GBK"/>
              </w:rPr>
              <w:t>6479</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2020-2021</w:t>
            </w:r>
            <w:r>
              <w:rPr>
                <w:rFonts w:hint="eastAsia" w:ascii="方正书宋_GBK" w:eastAsia="方正书宋_GBK"/>
              </w:rPr>
              <w:t>年度延长供热补贴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12" w:name="_Toc66068115"/>
      <w:r>
        <w:rPr>
          <w:rFonts w:hint="eastAsia" w:ascii="方正仿宋_GBK" w:eastAsia="方正仿宋_GBK"/>
          <w:b/>
          <w:sz w:val="28"/>
        </w:rPr>
        <w:t>10.土地出让金/迎宾广场提升改造工程绩效目标表</w:t>
      </w:r>
      <w:bookmarkEnd w:id="1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10、土地出让金/迎宾广场提升改造工程绩效目标表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130525215U5Q37LVDBGXH</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迎宾广场提升改造工程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迎宾广场提升改造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3" w:name="_Toc66068116"/>
      <w:r>
        <w:rPr>
          <w:rFonts w:hint="eastAsia" w:ascii="方正仿宋_GBK" w:eastAsia="方正仿宋_GBK"/>
          <w:b/>
          <w:sz w:val="28"/>
        </w:rPr>
        <w:t>11.土地出让金/项目前期费用（兴隆、东方垃圾填埋场中转站建设工程，背街小巷硬化工程，县城公厕建设工程，汦河水引水灌溉工程，2021年生活垃圾转运及处理项目）绩效目标表</w:t>
      </w:r>
      <w:bookmarkEnd w:id="1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11、土地出让金/项目前期费用（兴隆、东方垃圾填埋场中转站建设工程，背街小巷硬化工程，县城公厕建设工程，汦河水引水灌溉工程，2021年生活垃圾转运及处理项目）绩效目标表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130525217B8Z2R8MUS2SN</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项目前期费用（兴隆、东方垃圾填埋场中转站建设工程，背街小巷硬化工程，县城公厕建设工程，汦河水引水灌溉工程，</w:t>
            </w:r>
            <w:r>
              <w:rPr>
                <w:rFonts w:ascii="方正书宋_GBK" w:eastAsia="方正书宋_GBK"/>
              </w:rPr>
              <w:t>2021</w:t>
            </w:r>
            <w:r>
              <w:rPr>
                <w:rFonts w:hint="eastAsia" w:ascii="方正书宋_GBK" w:eastAsia="方正书宋_GBK"/>
              </w:rPr>
              <w:t>年生活垃圾转运及处理项目）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项目前期费用支付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资金及时支付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14" w:name="_Toc66068117"/>
      <w:r>
        <w:rPr>
          <w:rFonts w:hint="eastAsia" w:ascii="方正仿宋_GBK" w:eastAsia="方正仿宋_GBK"/>
          <w:b/>
          <w:sz w:val="28"/>
        </w:rPr>
        <w:t>12.土地出让金/环卫设备采购资金绩效目标表</w:t>
      </w:r>
      <w:bookmarkEnd w:id="1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12、土地出让金/环卫设备采购资金绩效目标表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130525217GPXMZ0BR6AIX</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环卫设备采购资金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890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890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资金用于环卫设备采购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资金拨付及时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车辆到位及时</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资金拨付及时</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车辆购置数量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车辆购置数量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54</w:t>
            </w:r>
            <w:r>
              <w:rPr>
                <w:rFonts w:hint="eastAsia" w:ascii="方正书宋_GBK" w:eastAsia="方正书宋_GBK"/>
              </w:rPr>
              <w:t>辆</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车辆质量标准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车辆质量标准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合格</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设备到位及时率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设备到位及时率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到位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每副车辆正式号牌成本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每副车辆正式号牌成本</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县委、县政府确定项目</w:t>
            </w:r>
          </w:p>
        </w:tc>
      </w:tr>
    </w:tbl>
    <w:p>
      <w:pPr>
        <w:spacing w:line="300" w:lineRule="exact"/>
        <w:jc w:val="left"/>
      </w:pPr>
    </w:p>
    <w:p>
      <w:pPr>
        <w:ind w:firstLine="560" w:firstLineChars="200"/>
        <w:jc w:val="left"/>
        <w:outlineLvl w:val="3"/>
        <w:rPr>
          <w:rFonts w:ascii="Times New Roman" w:hAnsi="宋体"/>
          <w:b/>
          <w:sz w:val="28"/>
        </w:rPr>
      </w:pPr>
      <w:bookmarkStart w:id="15" w:name="_Toc66068118"/>
      <w:r>
        <w:rPr>
          <w:rFonts w:hint="eastAsia" w:ascii="方正仿宋_GBK" w:eastAsia="方正仿宋_GBK"/>
          <w:b/>
          <w:sz w:val="28"/>
        </w:rPr>
        <w:t>13.路灯杆微雾运营费绩效目标表</w:t>
      </w:r>
      <w:bookmarkEnd w:id="1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13、路灯杆微雾运营费绩效目标表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1305252181RGVL4U3K1Z1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路灯杆微雾运营费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36</w:t>
            </w:r>
            <w:r>
              <w:rPr>
                <w:rFonts w:hint="eastAsia" w:ascii="方正书宋_GBK" w:eastAsia="方正书宋_GBK"/>
                <w:lang w:val="en-US" w:eastAsia="zh-CN"/>
              </w:rPr>
              <w:t>.</w:t>
            </w:r>
            <w:r>
              <w:rPr>
                <w:rFonts w:ascii="方正书宋_GBK" w:eastAsia="方正书宋_GBK"/>
              </w:rPr>
              <w:t>88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36</w:t>
            </w:r>
            <w:r>
              <w:rPr>
                <w:rFonts w:hint="eastAsia" w:ascii="方正书宋_GBK" w:eastAsia="方正书宋_GBK"/>
                <w:lang w:val="en-US" w:eastAsia="zh-CN"/>
              </w:rPr>
              <w:t>.</w:t>
            </w:r>
            <w:r>
              <w:rPr>
                <w:rFonts w:ascii="方正书宋_GBK" w:eastAsia="方正书宋_GBK"/>
              </w:rPr>
              <w:t>88</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路灯杆微雾运营费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16" w:name="_Toc66068119"/>
      <w:r>
        <w:rPr>
          <w:rFonts w:hint="eastAsia" w:ascii="方正仿宋_GBK" w:eastAsia="方正仿宋_GBK"/>
          <w:b/>
          <w:sz w:val="28"/>
        </w:rPr>
        <w:t>14.土地出让金/数字中心指挥平台运行升级系统绩效目标表</w:t>
      </w:r>
      <w:bookmarkEnd w:id="1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14、土地出让金/数字中心指挥平台运行升级系统绩效目标表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130525218A0Y2TT62QP1W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数字中心指挥平台运行升级系统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数字中心指挥平台运行升级系统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17" w:name="_Toc66068120"/>
      <w:r>
        <w:rPr>
          <w:rFonts w:hint="eastAsia" w:ascii="方正仿宋_GBK" w:eastAsia="方正仿宋_GBK"/>
          <w:b/>
          <w:sz w:val="28"/>
        </w:rPr>
        <w:t>15.执法设备购置绩效目标表</w:t>
      </w:r>
      <w:bookmarkEnd w:id="1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15、执法设备购置绩效目标表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13052521B0W8CKPM1GASK</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执法设备购置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4</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购买城管执法设备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资金拨付及时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资金拨付及时</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资金拨付及时</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设备购买数量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设备足量购买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设备质量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设备质量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资金拨付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资金拨付</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项目预算成本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设备正常使用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设备正常使用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18" w:name="_Toc66068121"/>
      <w:r>
        <w:rPr>
          <w:rFonts w:hint="eastAsia" w:ascii="方正仿宋_GBK" w:eastAsia="方正仿宋_GBK"/>
          <w:b/>
          <w:sz w:val="28"/>
        </w:rPr>
        <w:t>16.土地出让金/重点路段节点亮化提升工程二标段绩效目标表</w:t>
      </w:r>
      <w:bookmarkEnd w:id="1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16、土地出让金/重点路段节点亮化提升工程二标段绩效目标表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13052521BG7QHSGA3EZIC</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重点路段节点亮化提升工程二标段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重点路段节点亮化提升工程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19" w:name="_Toc66068122"/>
      <w:r>
        <w:rPr>
          <w:rFonts w:hint="eastAsia" w:ascii="方正仿宋_GBK" w:eastAsia="方正仿宋_GBK"/>
          <w:b/>
          <w:sz w:val="28"/>
        </w:rPr>
        <w:t>17.土地出让金/2020年县城公厕建设工程绩效目标表</w:t>
      </w:r>
      <w:bookmarkEnd w:id="1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17、土地出让金/2020年县城公厕建设工程绩效目标表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13052521BXXL81QNNTCAS</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/2020</w:t>
            </w:r>
            <w:r>
              <w:rPr>
                <w:rFonts w:hint="eastAsia" w:ascii="方正书宋_GBK" w:eastAsia="方正书宋_GBK"/>
              </w:rPr>
              <w:t>年县城公厕建设工程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县城公车建设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合同规定时间内完成</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完成工作任务</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完成工作任务</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项目资金是否超预算</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受益群众人口数量</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4000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20" w:name="_Toc66068123"/>
      <w:r>
        <w:rPr>
          <w:rFonts w:hint="eastAsia" w:ascii="方正仿宋_GBK" w:eastAsia="方正仿宋_GBK"/>
          <w:b/>
          <w:sz w:val="28"/>
        </w:rPr>
        <w:t>18.土地出让金/2020年县城主要街道管网清淤工程绩效目标表</w:t>
      </w:r>
      <w:bookmarkEnd w:id="2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18、土地出让金/2020年县城主要街道管网清淤工程绩效目标表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13052521CEPORMQE9RUPH</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/2020</w:t>
            </w:r>
            <w:r>
              <w:rPr>
                <w:rFonts w:hint="eastAsia" w:ascii="方正书宋_GBK" w:eastAsia="方正书宋_GBK"/>
              </w:rPr>
              <w:t>年县城主要街道管网清淤工程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23</w:t>
            </w:r>
            <w:r>
              <w:rPr>
                <w:rFonts w:hint="eastAsia" w:ascii="方正书宋_GBK" w:eastAsia="方正书宋_GBK"/>
                <w:lang w:val="en-US" w:eastAsia="zh-CN"/>
              </w:rPr>
              <w:t>.</w:t>
            </w:r>
            <w:r>
              <w:rPr>
                <w:rFonts w:ascii="方正书宋_GBK" w:eastAsia="方正书宋_GBK"/>
              </w:rPr>
              <w:t>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23</w:t>
            </w:r>
            <w:r>
              <w:rPr>
                <w:rFonts w:hint="eastAsia" w:ascii="方正书宋_GBK" w:eastAsia="方正书宋_GBK"/>
                <w:lang w:val="en-US" w:eastAsia="zh-CN"/>
              </w:rPr>
              <w:t>.</w:t>
            </w:r>
            <w:r>
              <w:rPr>
                <w:rFonts w:ascii="方正书宋_GBK" w:eastAsia="方正书宋_GBK"/>
              </w:rPr>
              <w:t>8</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用于主要街道管网清淤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资金拨付及时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资金拨付及时</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资金拨付及时</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21" w:name="_Toc66068124"/>
      <w:r>
        <w:rPr>
          <w:rFonts w:hint="eastAsia" w:ascii="方正仿宋_GBK" w:eastAsia="方正仿宋_GBK"/>
          <w:b/>
          <w:sz w:val="28"/>
        </w:rPr>
        <w:t>19.土地出让金/公益广告设置项目（B包）绩效目标表</w:t>
      </w:r>
      <w:bookmarkEnd w:id="2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19、土地出让金/公益广告设置项目（B包）绩效目标表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13052521DLKIOSSY3C9FE</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公益广告设置项目（</w:t>
            </w:r>
            <w:r>
              <w:rPr>
                <w:rFonts w:ascii="方正书宋_GBK" w:eastAsia="方正书宋_GBK"/>
              </w:rPr>
              <w:t>B</w:t>
            </w:r>
            <w:r>
              <w:rPr>
                <w:rFonts w:hint="eastAsia" w:ascii="方正书宋_GBK" w:eastAsia="方正书宋_GBK"/>
              </w:rPr>
              <w:t>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35</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公益广告设置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22" w:name="_Toc66068125"/>
      <w:r>
        <w:rPr>
          <w:rFonts w:hint="eastAsia" w:ascii="方正仿宋_GBK" w:eastAsia="方正仿宋_GBK"/>
          <w:b/>
          <w:sz w:val="28"/>
        </w:rPr>
        <w:t>20.退役军人专岗绩效目标表</w:t>
      </w:r>
      <w:bookmarkEnd w:id="2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20、退役军人专岗绩效目标表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13052521F6FN2PTSPZ90I</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退役军人专岗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lang w:val="en-US" w:eastAsia="zh-CN"/>
              </w:rPr>
              <w:t>.</w:t>
            </w:r>
            <w:r>
              <w:rPr>
                <w:rFonts w:ascii="方正书宋_GBK" w:eastAsia="方正书宋_GBK"/>
              </w:rPr>
              <w:t>2729</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lang w:val="en-US" w:eastAsia="zh-CN"/>
              </w:rPr>
              <w:t>.</w:t>
            </w:r>
            <w:r>
              <w:rPr>
                <w:rFonts w:ascii="方正书宋_GBK" w:eastAsia="方正书宋_GBK"/>
              </w:rPr>
              <w:t>2729</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退役军人专岗人员费用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23" w:name="_Toc66068126"/>
      <w:r>
        <w:rPr>
          <w:rFonts w:hint="eastAsia" w:ascii="方正仿宋_GBK" w:eastAsia="方正仿宋_GBK"/>
          <w:b/>
          <w:sz w:val="28"/>
        </w:rPr>
        <w:t>21.执法执勤车辆运行维护费绩效目标表</w:t>
      </w:r>
      <w:bookmarkEnd w:id="2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21、执法执勤车辆运行维护费绩效目标表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13052521FGZQA7PP7D2FW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执法执勤车辆运行维护费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24</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执法执勤车辆运行维护费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受益人员满意度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24" w:name="_Toc66068127"/>
      <w:r>
        <w:rPr>
          <w:rFonts w:hint="eastAsia" w:ascii="方正仿宋_GBK" w:eastAsia="方正仿宋_GBK"/>
          <w:b/>
          <w:sz w:val="28"/>
        </w:rPr>
        <w:t>22.土地出让金/唐尧公园及公园斜路提升改造绩效目标表</w:t>
      </w:r>
      <w:bookmarkEnd w:id="2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22、土地出让金/唐尧公园及公园斜路提升改造绩效目标表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13052521FLPZ1S7BTIVDY</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唐尧公园及公园斜路提升改造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唐尧公园及公园斜路提升改造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25" w:name="_Toc66068128"/>
      <w:r>
        <w:rPr>
          <w:rFonts w:hint="eastAsia" w:ascii="方正仿宋_GBK" w:eastAsia="方正仿宋_GBK"/>
          <w:b/>
          <w:sz w:val="28"/>
        </w:rPr>
        <w:t>23.土地出让金/荣鑫热力供热季补贴绩效目标表</w:t>
      </w:r>
      <w:bookmarkEnd w:id="2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23、土地出让金/荣鑫热力供热季补贴绩效目标表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13052521FN7BOKKCQGR5A</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荣鑫热力供热季补贴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为确保人民群众供热不受影响，确保管网安全运行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资金拨付及时，群众供热不受影响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资金拨付及时，群众供热不受影响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资金拨付及时，群众供热不受影响</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取暖覆盖面积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取暖覆盖面积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取暖温度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取暖温度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w:t>
            </w:r>
            <w:r>
              <w:rPr>
                <w:rFonts w:hint="eastAsia" w:ascii="方正书宋_GBK" w:eastAsia="方正书宋_GBK"/>
              </w:rPr>
              <w:t>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供暖周期</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供暖周期</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120</w:t>
            </w:r>
            <w:r>
              <w:rPr>
                <w:rFonts w:hint="eastAsia" w:ascii="方正书宋_GBK" w:eastAsia="方正书宋_GBK"/>
              </w:rPr>
              <w:t>天</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按预算资金完成率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社会服务能力提升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补助所带来的单位服务社会能力提升情况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bl>
    <w:p>
      <w:pPr>
        <w:spacing w:line="300" w:lineRule="exact"/>
        <w:jc w:val="left"/>
      </w:pPr>
    </w:p>
    <w:p>
      <w:pPr>
        <w:ind w:firstLine="560" w:firstLineChars="200"/>
        <w:jc w:val="left"/>
        <w:outlineLvl w:val="3"/>
        <w:rPr>
          <w:rFonts w:ascii="Times New Roman" w:hAnsi="宋体"/>
          <w:b/>
          <w:sz w:val="28"/>
        </w:rPr>
      </w:pPr>
      <w:bookmarkStart w:id="26" w:name="_Toc66068129"/>
      <w:r>
        <w:rPr>
          <w:rFonts w:hint="eastAsia" w:ascii="方正仿宋_GBK" w:eastAsia="方正仿宋_GBK"/>
          <w:b/>
          <w:sz w:val="28"/>
        </w:rPr>
        <w:t>24.土地出让金/城乡环卫一体化项目二标段绩效目标表</w:t>
      </w:r>
      <w:bookmarkEnd w:id="2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24、土地出让金/城乡环卫一体化项目二标段绩效目标表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13052521FPZL5ODRT6AIH</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城乡环卫一体化项目二标段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1013</w:t>
            </w:r>
            <w:r>
              <w:rPr>
                <w:rFonts w:hint="eastAsia" w:ascii="方正书宋_GBK" w:eastAsia="方正书宋_GBK"/>
                <w:lang w:val="en-US" w:eastAsia="zh-CN"/>
              </w:rPr>
              <w:t>.</w:t>
            </w:r>
            <w:r>
              <w:rPr>
                <w:rFonts w:ascii="方正书宋_GBK" w:eastAsia="方正书宋_GBK"/>
              </w:rPr>
              <w:t>83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1013</w:t>
            </w:r>
            <w:r>
              <w:rPr>
                <w:rFonts w:hint="eastAsia" w:ascii="方正书宋_GBK" w:eastAsia="方正书宋_GBK"/>
                <w:lang w:val="en-US" w:eastAsia="zh-CN"/>
              </w:rPr>
              <w:t>.</w:t>
            </w:r>
            <w:r>
              <w:rPr>
                <w:rFonts w:ascii="方正书宋_GBK" w:eastAsia="方正书宋_GBK"/>
              </w:rPr>
              <w:t>83</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城乡环卫一体化项目二标段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27" w:name="_Toc66068130"/>
      <w:r>
        <w:rPr>
          <w:rFonts w:hint="eastAsia" w:ascii="方正仿宋_GBK" w:eastAsia="方正仿宋_GBK"/>
          <w:b/>
          <w:sz w:val="28"/>
        </w:rPr>
        <w:t>25.创建省级节水型城市经费绩效目标表</w:t>
      </w:r>
      <w:bookmarkEnd w:id="2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25、创建省级节水型城市经费绩效目标表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13052521FUTKZI4OWUV5Y</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创建省级节水型城市经费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创建省级节水型城市经费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28" w:name="_Toc66068131"/>
      <w:r>
        <w:rPr>
          <w:rFonts w:hint="eastAsia" w:ascii="方正仿宋_GBK" w:eastAsia="方正仿宋_GBK"/>
          <w:b/>
          <w:sz w:val="28"/>
        </w:rPr>
        <w:t>26.大气环境治理运行维护费绩效目标表</w:t>
      </w:r>
      <w:bookmarkEnd w:id="2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26、大气环境治理运行维护费绩效目标表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13052521G968RYUM50HOA</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大气环境治理运行维护费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大气环境治理雾炮运行维护费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受益人员满意度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29" w:name="_Toc66068132"/>
      <w:r>
        <w:rPr>
          <w:rFonts w:hint="eastAsia" w:ascii="方正仿宋_GBK" w:eastAsia="方正仿宋_GBK"/>
          <w:b/>
          <w:sz w:val="28"/>
        </w:rPr>
        <w:t>27.土地出让金/金隆路西口景观提升改造工程绩效目标表</w:t>
      </w:r>
      <w:bookmarkEnd w:id="2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27、土地出让金/金隆路西口景观提升改造工程绩效目标表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13052521GIMATQTVWAC2Y</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金隆路西口景观提升改造工程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57</w:t>
            </w:r>
            <w:r>
              <w:rPr>
                <w:rFonts w:hint="eastAsia" w:ascii="方正书宋_GBK" w:eastAsia="方正书宋_GBK"/>
                <w:lang w:val="en-US" w:eastAsia="zh-CN"/>
              </w:rPr>
              <w:t>.</w:t>
            </w:r>
            <w:r>
              <w:rPr>
                <w:rFonts w:ascii="方正书宋_GBK" w:eastAsia="方正书宋_GBK"/>
              </w:rPr>
              <w:t>0495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57</w:t>
            </w:r>
            <w:r>
              <w:rPr>
                <w:rFonts w:hint="eastAsia" w:ascii="方正书宋_GBK" w:eastAsia="方正书宋_GBK"/>
                <w:lang w:val="en-US" w:eastAsia="zh-CN"/>
              </w:rPr>
              <w:t>.</w:t>
            </w:r>
            <w:r>
              <w:rPr>
                <w:rFonts w:ascii="方正书宋_GBK" w:eastAsia="方正书宋_GBK"/>
              </w:rPr>
              <w:t>0495</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用于金隆路西口景观提升改造工程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30" w:name="_Toc66068133"/>
      <w:r>
        <w:rPr>
          <w:rFonts w:hint="eastAsia" w:ascii="方正仿宋_GBK" w:eastAsia="方正仿宋_GBK"/>
          <w:b/>
          <w:sz w:val="28"/>
        </w:rPr>
        <w:t>28.土地出让金/垃圾中转站占地补偿绩效目标表</w:t>
      </w:r>
      <w:bookmarkEnd w:id="3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28、土地出让金/垃圾中转站占地补偿绩效目标表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13052521GUS736AGE9KGR</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垃圾中转站占地补偿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lang w:val="en-US" w:eastAsia="zh-CN"/>
              </w:rPr>
              <w:t>.</w:t>
            </w:r>
            <w:r>
              <w:rPr>
                <w:rFonts w:ascii="方正书宋_GBK" w:eastAsia="方正书宋_GBK"/>
              </w:rPr>
              <w:t>3714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lang w:val="en-US" w:eastAsia="zh-CN"/>
              </w:rPr>
              <w:t>.</w:t>
            </w:r>
            <w:r>
              <w:rPr>
                <w:rFonts w:ascii="方正书宋_GBK" w:eastAsia="方正书宋_GBK"/>
              </w:rPr>
              <w:t>3714</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支付垃圾中转站占地补偿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达标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验收合格率（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工程验收合格率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合格</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按时完成项目任务及资金支付</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控制总成本不超预算　</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控制总成本不超预算</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提高基本公共卫生服务比列</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31" w:name="_Toc66068134"/>
      <w:r>
        <w:rPr>
          <w:rFonts w:hint="eastAsia" w:ascii="方正仿宋_GBK" w:eastAsia="方正仿宋_GBK"/>
          <w:b/>
          <w:sz w:val="28"/>
        </w:rPr>
        <w:t>29.土地出让金/县城移动公厕采购项目（A包）绩效目标表</w:t>
      </w:r>
      <w:bookmarkEnd w:id="3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29、土地出让金/县城移动公厕采购项目（A包）绩效目标表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13052521HM2Y9RZENAKX4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县城移动公厕采购项目（</w:t>
            </w:r>
            <w:r>
              <w:rPr>
                <w:rFonts w:ascii="方正书宋_GBK" w:eastAsia="方正书宋_GBK"/>
              </w:rPr>
              <w:t>A</w:t>
            </w:r>
            <w:r>
              <w:rPr>
                <w:rFonts w:hint="eastAsia" w:ascii="方正书宋_GBK" w:eastAsia="方正书宋_GBK"/>
              </w:rPr>
              <w:t>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51</w:t>
            </w:r>
            <w:r>
              <w:rPr>
                <w:rFonts w:hint="eastAsia" w:ascii="方正书宋_GBK" w:eastAsia="方正书宋_GBK"/>
                <w:lang w:val="en-US" w:eastAsia="zh-CN"/>
              </w:rPr>
              <w:t>.</w:t>
            </w:r>
            <w:r>
              <w:rPr>
                <w:rFonts w:ascii="方正书宋_GBK" w:eastAsia="方正书宋_GBK"/>
              </w:rPr>
              <w:t>576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51</w:t>
            </w:r>
            <w:r>
              <w:rPr>
                <w:rFonts w:hint="eastAsia" w:ascii="方正书宋_GBK" w:eastAsia="方正书宋_GBK"/>
                <w:lang w:val="en-US" w:eastAsia="zh-CN"/>
              </w:rPr>
              <w:t>.</w:t>
            </w:r>
            <w:r>
              <w:rPr>
                <w:rFonts w:ascii="方正书宋_GBK" w:eastAsia="方正书宋_GBK"/>
              </w:rPr>
              <w:t>576</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县城移动公厕采购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32" w:name="_Toc66068135"/>
      <w:r>
        <w:rPr>
          <w:rFonts w:hint="eastAsia" w:ascii="方正仿宋_GBK" w:eastAsia="方正仿宋_GBK"/>
          <w:b/>
          <w:sz w:val="28"/>
        </w:rPr>
        <w:t>30.土地出让金/2020年市、县供热平台联网项目绩效目标表</w:t>
      </w:r>
      <w:bookmarkEnd w:id="3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30、土地出让金/2020年市、县供热平台联网项目绩效目标表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13052521KA76ZAWY6T2YX</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/2020</w:t>
            </w:r>
            <w:r>
              <w:rPr>
                <w:rFonts w:hint="eastAsia" w:ascii="方正书宋_GBK" w:eastAsia="方正书宋_GBK"/>
              </w:rPr>
              <w:t>年市、县供热平台联网项目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32</w:t>
            </w:r>
            <w:r>
              <w:rPr>
                <w:rFonts w:hint="eastAsia" w:ascii="方正书宋_GBK" w:eastAsia="方正书宋_GBK"/>
                <w:lang w:val="en-US" w:eastAsia="zh-CN"/>
              </w:rPr>
              <w:t>.</w:t>
            </w:r>
            <w:r>
              <w:rPr>
                <w:rFonts w:ascii="方正书宋_GBK" w:eastAsia="方正书宋_GBK"/>
              </w:rPr>
              <w:t>2736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32</w:t>
            </w:r>
            <w:r>
              <w:rPr>
                <w:rFonts w:hint="eastAsia" w:ascii="方正书宋_GBK" w:eastAsia="方正书宋_GBK"/>
                <w:lang w:val="en-US" w:eastAsia="zh-CN"/>
              </w:rPr>
              <w:t>.</w:t>
            </w:r>
            <w:r>
              <w:rPr>
                <w:rFonts w:ascii="方正书宋_GBK" w:eastAsia="方正书宋_GBK"/>
              </w:rPr>
              <w:t>2736</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年市、县供热平台联网项目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33" w:name="_Toc66068136"/>
      <w:r>
        <w:rPr>
          <w:rFonts w:hint="eastAsia" w:ascii="方正仿宋_GBK" w:eastAsia="方正仿宋_GBK"/>
          <w:b/>
          <w:sz w:val="28"/>
        </w:rPr>
        <w:t>31.城管执法制式服装绩效目标表</w:t>
      </w:r>
      <w:bookmarkEnd w:id="3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31、城管执法制式服装绩效目标表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13052521L5UD7PGMQFKUL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城管执法制式服装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lang w:val="en-US" w:eastAsia="zh-CN"/>
              </w:rPr>
              <w:t>.</w:t>
            </w:r>
            <w:r>
              <w:rPr>
                <w:rFonts w:ascii="方正书宋_GBK" w:eastAsia="方正书宋_GBK"/>
              </w:rPr>
              <w:t>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lang w:val="en-US" w:eastAsia="zh-CN"/>
              </w:rPr>
              <w:t>.</w:t>
            </w:r>
            <w:r>
              <w:rPr>
                <w:rFonts w:ascii="方正书宋_GBK" w:eastAsia="方正书宋_GBK"/>
              </w:rPr>
              <w:t>5</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购买执法制式服装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购置服装数量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购置服装数量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足量</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衣服质量达标率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衣服质量达标率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达标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预算不超标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预算不超标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不超标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可持续性服务</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34" w:name="_Toc66068137"/>
      <w:r>
        <w:rPr>
          <w:rFonts w:hint="eastAsia" w:ascii="方正仿宋_GBK" w:eastAsia="方正仿宋_GBK"/>
          <w:b/>
          <w:sz w:val="28"/>
        </w:rPr>
        <w:t>32.土地出让金/工程项目尾款绩效目标表</w:t>
      </w:r>
      <w:bookmarkEnd w:id="3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32、土地出让金/工程项目尾款绩效目标表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13052521M7QY5XCSEG460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工程项目尾款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lang w:val="en-US" w:eastAsia="zh-CN"/>
              </w:rPr>
              <w:t>.</w:t>
            </w:r>
            <w:r>
              <w:rPr>
                <w:rFonts w:ascii="方正书宋_GBK" w:eastAsia="方正书宋_GBK"/>
              </w:rPr>
              <w:t>5276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lang w:val="en-US" w:eastAsia="zh-CN"/>
              </w:rPr>
              <w:t>.</w:t>
            </w:r>
            <w:r>
              <w:rPr>
                <w:rFonts w:ascii="方正书宋_GBK" w:eastAsia="方正书宋_GBK"/>
              </w:rPr>
              <w:t>5276</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工程项目尾款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资金及时支付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35" w:name="_Toc66068138"/>
      <w:r>
        <w:rPr>
          <w:rFonts w:hint="eastAsia" w:ascii="方正仿宋_GBK" w:eastAsia="方正仿宋_GBK"/>
          <w:b/>
          <w:sz w:val="28"/>
        </w:rPr>
        <w:t>33.城市基础设施配套费/东方垃圾处理厂运营费绩效目标表</w:t>
      </w:r>
      <w:bookmarkEnd w:id="3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33、城市基础设施配套费/东方垃圾处理厂运营费绩效目标表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13052521MB88RQYP2NWAA</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城市基础设施配套费</w:t>
            </w:r>
            <w:r>
              <w:rPr>
                <w:rFonts w:ascii="方正书宋_GBK" w:eastAsia="方正书宋_GBK"/>
              </w:rPr>
              <w:t>/</w:t>
            </w:r>
            <w:r>
              <w:rPr>
                <w:rFonts w:hint="eastAsia" w:ascii="方正书宋_GBK" w:eastAsia="方正书宋_GBK"/>
              </w:rPr>
              <w:t>东方垃圾处理厂运营费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确保东方垃圾厂正常运转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资金拨付及时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资金拨付及时</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企业正常运转</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支持企业数量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支持企业数量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垃圾设备质量标准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垃圾设备质量标准</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垃圾处理完成及时率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垃圾处理完成及时率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36" w:name="_Toc66068139"/>
      <w:r>
        <w:rPr>
          <w:rFonts w:hint="eastAsia" w:ascii="方正仿宋_GBK" w:eastAsia="方正仿宋_GBK"/>
          <w:b/>
          <w:sz w:val="28"/>
        </w:rPr>
        <w:t>34.土地出让金/站前广场提升改造工程绩效目标表</w:t>
      </w:r>
      <w:bookmarkEnd w:id="3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34、土地出让金/站前广场提升改造工程绩效目标表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13052521MC39W2MB0NPSU</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站前广场提升改造工程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124</w:t>
            </w:r>
            <w:r>
              <w:rPr>
                <w:rFonts w:hint="eastAsia" w:ascii="方正书宋_GBK" w:eastAsia="方正书宋_GBK"/>
                <w:lang w:val="en-US" w:eastAsia="zh-CN"/>
              </w:rPr>
              <w:t>.</w:t>
            </w:r>
            <w:r>
              <w:rPr>
                <w:rFonts w:ascii="方正书宋_GBK" w:eastAsia="方正书宋_GBK"/>
              </w:rPr>
              <w:t>1404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124</w:t>
            </w:r>
            <w:r>
              <w:rPr>
                <w:rFonts w:hint="eastAsia" w:ascii="方正书宋_GBK" w:eastAsia="方正书宋_GBK"/>
                <w:lang w:val="en-US" w:eastAsia="zh-CN"/>
              </w:rPr>
              <w:t>.</w:t>
            </w:r>
            <w:r>
              <w:rPr>
                <w:rFonts w:ascii="方正书宋_GBK" w:eastAsia="方正书宋_GBK"/>
              </w:rPr>
              <w:t>1404</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用于站前广场提升改造工程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37" w:name="_Toc66068140"/>
      <w:r>
        <w:rPr>
          <w:rFonts w:hint="eastAsia" w:ascii="方正仿宋_GBK" w:eastAsia="方正仿宋_GBK"/>
          <w:b/>
          <w:sz w:val="28"/>
        </w:rPr>
        <w:t>35.县城餐厨垃圾集中处置绩效目标表</w:t>
      </w:r>
      <w:bookmarkEnd w:id="3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35、县城餐厨垃圾集中处置绩效目标表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13052521MCZT2Z949NFXN</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县城餐厨垃圾集中处置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37</w:t>
            </w:r>
            <w:r>
              <w:rPr>
                <w:rFonts w:hint="eastAsia" w:ascii="方正书宋_GBK" w:eastAsia="方正书宋_GBK"/>
                <w:lang w:val="en-US" w:eastAsia="zh-CN"/>
              </w:rPr>
              <w:t>.</w:t>
            </w:r>
            <w:r>
              <w:rPr>
                <w:rFonts w:ascii="方正书宋_GBK" w:eastAsia="方正书宋_GBK"/>
              </w:rPr>
              <w:t>5572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37</w:t>
            </w:r>
            <w:r>
              <w:rPr>
                <w:rFonts w:hint="eastAsia" w:ascii="方正书宋_GBK" w:eastAsia="方正书宋_GBK"/>
                <w:lang w:val="en-US" w:eastAsia="zh-CN"/>
              </w:rPr>
              <w:t>.</w:t>
            </w:r>
            <w:r>
              <w:rPr>
                <w:rFonts w:ascii="方正书宋_GBK" w:eastAsia="方正书宋_GBK"/>
              </w:rPr>
              <w:t>5572</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县城餐厨垃圾集中处置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38" w:name="_Toc66068141"/>
      <w:r>
        <w:rPr>
          <w:rFonts w:hint="eastAsia" w:ascii="方正仿宋_GBK" w:eastAsia="方正仿宋_GBK"/>
          <w:b/>
          <w:sz w:val="28"/>
        </w:rPr>
        <w:t>36.土地出让金/农村生活垃圾分类试点运营费绩效目标表</w:t>
      </w:r>
      <w:bookmarkEnd w:id="3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36、土地出让金/农村生活垃圾分类试点运营费绩效目标表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13052521MPXU7ZDCOTI7O</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农村生活垃圾分类试点运营费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用于农村生活垃圾分类试点运营费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39" w:name="_Toc66068142"/>
      <w:r>
        <w:rPr>
          <w:rFonts w:hint="eastAsia" w:ascii="方正仿宋_GBK" w:eastAsia="方正仿宋_GBK"/>
          <w:b/>
          <w:sz w:val="28"/>
        </w:rPr>
        <w:t>37.土地出让金/招子鼓雕塑提升改造工程绩效目标表</w:t>
      </w:r>
      <w:bookmarkEnd w:id="3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37、土地出让金/招子鼓雕塑提升改造工程绩效目标表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13052521MV1WE2L9608BX</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招子鼓雕塑提升改造工程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招子鼓雕塑提升改造工程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40" w:name="_Toc66068143"/>
      <w:r>
        <w:rPr>
          <w:rFonts w:hint="eastAsia" w:ascii="方正仿宋_GBK" w:eastAsia="方正仿宋_GBK"/>
          <w:b/>
          <w:sz w:val="28"/>
        </w:rPr>
        <w:t>38.办案补助/自支人员工资及社保费绩效目标表</w:t>
      </w:r>
      <w:bookmarkEnd w:id="4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38、办案补助/自支人员工资及社保费绩效目标表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13052521MWY5TK89KFQYV</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自支人员工资及社保费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1038</w:t>
            </w:r>
            <w:r>
              <w:rPr>
                <w:rFonts w:hint="eastAsia" w:ascii="方正书宋_GBK" w:eastAsia="方正书宋_GBK"/>
                <w:lang w:val="en-US" w:eastAsia="zh-CN"/>
              </w:rPr>
              <w:t>.</w:t>
            </w:r>
            <w:r>
              <w:rPr>
                <w:rFonts w:ascii="方正书宋_GBK" w:eastAsia="方正书宋_GBK"/>
              </w:rPr>
              <w:t>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1038</w:t>
            </w:r>
            <w:r>
              <w:rPr>
                <w:rFonts w:hint="eastAsia" w:ascii="方正书宋_GBK" w:eastAsia="方正书宋_GBK"/>
                <w:lang w:val="en-US" w:eastAsia="zh-CN"/>
              </w:rPr>
              <w:t>.</w:t>
            </w:r>
            <w:r>
              <w:rPr>
                <w:rFonts w:ascii="方正书宋_GBK" w:eastAsia="方正书宋_GBK"/>
              </w:rPr>
              <w:t>4</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用于自收自支人员工资及社保费用支出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及时发放人员工资及社保</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及时发放人员工资及社保</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及时发放人员工资及社保</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资金到位率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资金是否到位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准时</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经费发放是否及时</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人均发放水平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人均发放水平</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人均发放水平</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发放准确性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经济发放是否准确</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准确</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保证工作正常进行</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保证工作正常进行</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保证工作正常进行</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工作持续性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各项工作持续高效</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各项工作持续高效</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服务对象满意度占比</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服务对象是否满意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县委、县政府确定项目</w:t>
            </w:r>
          </w:p>
        </w:tc>
      </w:tr>
    </w:tbl>
    <w:p>
      <w:pPr>
        <w:spacing w:line="300" w:lineRule="exact"/>
        <w:jc w:val="left"/>
      </w:pPr>
    </w:p>
    <w:p>
      <w:pPr>
        <w:ind w:firstLine="560" w:firstLineChars="200"/>
        <w:jc w:val="left"/>
        <w:outlineLvl w:val="3"/>
        <w:rPr>
          <w:rFonts w:ascii="Times New Roman" w:hAnsi="宋体"/>
          <w:b/>
          <w:sz w:val="28"/>
        </w:rPr>
      </w:pPr>
      <w:bookmarkStart w:id="41" w:name="_Toc66068144"/>
      <w:r>
        <w:rPr>
          <w:rFonts w:hint="eastAsia" w:ascii="方正仿宋_GBK" w:eastAsia="方正仿宋_GBK"/>
          <w:b/>
          <w:sz w:val="28"/>
        </w:rPr>
        <w:t>39.土地出让金/2020年城乡智慧环卫系统绩效目标表</w:t>
      </w:r>
      <w:bookmarkEnd w:id="4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39、土地出让金/2020年城乡智慧环卫系统绩效目标表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13052521N3OX95CDC6NT7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/2020</w:t>
            </w:r>
            <w:r>
              <w:rPr>
                <w:rFonts w:hint="eastAsia" w:ascii="方正书宋_GBK" w:eastAsia="方正书宋_GBK"/>
              </w:rPr>
              <w:t>年城乡智慧环卫系统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年城乡智慧环卫系统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42" w:name="_Toc66068145"/>
      <w:r>
        <w:rPr>
          <w:rFonts w:hint="eastAsia" w:ascii="方正仿宋_GBK" w:eastAsia="方正仿宋_GBK"/>
          <w:b/>
          <w:sz w:val="28"/>
        </w:rPr>
        <w:t>40.土地出让金/果皮箱采购项目（C包）绩效目标表</w:t>
      </w:r>
      <w:bookmarkEnd w:id="4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40、土地出让金/果皮箱采购项目（C包）绩效目标表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13052521OB0RHHD0WK6W9</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果皮箱采购项目（</w:t>
            </w:r>
            <w:r>
              <w:rPr>
                <w:rFonts w:ascii="方正书宋_GBK" w:eastAsia="方正书宋_GBK"/>
              </w:rPr>
              <w:t>C</w:t>
            </w:r>
            <w:r>
              <w:rPr>
                <w:rFonts w:hint="eastAsia" w:ascii="方正书宋_GBK" w:eastAsia="方正书宋_GBK"/>
              </w:rPr>
              <w:t>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48</w:t>
            </w:r>
            <w:r>
              <w:rPr>
                <w:rFonts w:hint="eastAsia" w:ascii="方正书宋_GBK" w:eastAsia="方正书宋_GBK"/>
                <w:lang w:val="en-US" w:eastAsia="zh-CN"/>
              </w:rPr>
              <w:t>.</w:t>
            </w:r>
            <w:r>
              <w:rPr>
                <w:rFonts w:ascii="方正书宋_GBK" w:eastAsia="方正书宋_GBK"/>
              </w:rPr>
              <w:t>25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48</w:t>
            </w:r>
            <w:r>
              <w:rPr>
                <w:rFonts w:hint="eastAsia" w:ascii="方正书宋_GBK" w:eastAsia="方正书宋_GBK"/>
                <w:lang w:val="en-US" w:eastAsia="zh-CN"/>
              </w:rPr>
              <w:t>.</w:t>
            </w:r>
            <w:r>
              <w:rPr>
                <w:rFonts w:ascii="方正书宋_GBK" w:eastAsia="方正书宋_GBK"/>
              </w:rPr>
              <w:t>25</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果皮箱购置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资金及时支付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43" w:name="_Toc66068146"/>
      <w:r>
        <w:rPr>
          <w:rFonts w:hint="eastAsia" w:ascii="方正仿宋_GBK" w:eastAsia="方正仿宋_GBK"/>
          <w:b/>
          <w:sz w:val="28"/>
        </w:rPr>
        <w:t>41.土地出让金/新能源多功能抑尘车等车辆采购二标段绩效目标表</w:t>
      </w:r>
      <w:bookmarkEnd w:id="4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41、土地出让金/新能源多功能抑尘车等车辆采购二标段绩效目标表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13052521OLF2DBDM88A18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新能源多功能抑尘车等车辆采购二标段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37</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购买多功能抑尘车辆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车辆及时购买</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资金拨付及时</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资金拨付及时</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资金发放及时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及时发放</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工程验收合格率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合格</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完成采购</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按合同时间完成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不超预算</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很大</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44" w:name="_Toc66068147"/>
      <w:r>
        <w:rPr>
          <w:rFonts w:hint="eastAsia" w:ascii="方正仿宋_GBK" w:eastAsia="方正仿宋_GBK"/>
          <w:b/>
          <w:sz w:val="28"/>
        </w:rPr>
        <w:t>42.土地出让金/县城街巷硬化工程一期绩效目标表</w:t>
      </w:r>
      <w:bookmarkEnd w:id="4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42、土地出让金/县城街巷硬化工程一期绩效目标表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13052521PYVMVPYCBLNOZ</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县城街巷硬化工程一期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w:t>
            </w:r>
            <w:r>
              <w:rPr>
                <w:rFonts w:hint="eastAsia" w:ascii="方正书宋_GBK" w:eastAsia="方正书宋_GBK"/>
                <w:lang w:val="en-US" w:eastAsia="zh-CN"/>
              </w:rPr>
              <w:t>.</w:t>
            </w:r>
            <w:r>
              <w:rPr>
                <w:rFonts w:ascii="方正书宋_GBK" w:eastAsia="方正书宋_GBK"/>
              </w:rPr>
              <w:t>1366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w:t>
            </w:r>
            <w:r>
              <w:rPr>
                <w:rFonts w:hint="eastAsia" w:ascii="方正书宋_GBK" w:eastAsia="方正书宋_GBK"/>
                <w:lang w:val="en-US" w:eastAsia="zh-CN"/>
              </w:rPr>
              <w:t>.</w:t>
            </w:r>
            <w:r>
              <w:rPr>
                <w:rFonts w:ascii="方正书宋_GBK" w:eastAsia="方正书宋_GBK"/>
              </w:rPr>
              <w:t>1366</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县城街巷硬化工程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45" w:name="_Toc66068148"/>
      <w:r>
        <w:rPr>
          <w:rFonts w:hint="eastAsia" w:ascii="方正仿宋_GBK" w:eastAsia="方正仿宋_GBK"/>
          <w:b/>
          <w:sz w:val="28"/>
        </w:rPr>
        <w:t>43.土地出让金/城区环卫一体化项目绩效目标表</w:t>
      </w:r>
      <w:bookmarkEnd w:id="4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43、土地出让金/城区环卫一体化项目绩效目标表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13052521QFGG2CDO1EUBM</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城区环卫一体化项目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720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720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城区环卫一体化项目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46" w:name="_Toc66068149"/>
      <w:r>
        <w:rPr>
          <w:rFonts w:hint="eastAsia" w:ascii="方正仿宋_GBK" w:eastAsia="方正仿宋_GBK"/>
          <w:b/>
          <w:sz w:val="28"/>
        </w:rPr>
        <w:t>44.土地出让金/零星工程绩效目标表</w:t>
      </w:r>
      <w:bookmarkEnd w:id="4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44、土地出让金/零星工程绩效目标表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13052521QGXRNK6DSG4TZ</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零星工程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零星工程支出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资金及时支付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47" w:name="_Toc66068150"/>
      <w:r>
        <w:rPr>
          <w:rFonts w:hint="eastAsia" w:ascii="方正仿宋_GBK" w:eastAsia="方正仿宋_GBK"/>
          <w:b/>
          <w:sz w:val="28"/>
        </w:rPr>
        <w:t>45.城市基础设施配套费/路灯电费绩效目标表</w:t>
      </w:r>
      <w:bookmarkEnd w:id="4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45、城市基础设施配套费/路灯电费绩效目标表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13052521SLL66WB08ZEFH</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城市基础设施配套费</w:t>
            </w:r>
            <w:r>
              <w:rPr>
                <w:rFonts w:ascii="方正书宋_GBK" w:eastAsia="方正书宋_GBK"/>
              </w:rPr>
              <w:t>/</w:t>
            </w:r>
            <w:r>
              <w:rPr>
                <w:rFonts w:hint="eastAsia" w:ascii="方正书宋_GBK" w:eastAsia="方正书宋_GBK"/>
              </w:rPr>
              <w:t>路灯电费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用于县城区域内路灯照明电费支出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确保县城亮灯率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确保县城亮灯率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确保县城亮灯率</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县城路灯亮灯率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县城路灯亮灯率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设施完好率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设施完好率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设施完好率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设备维修及时率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设备维修及时率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设备维修及时率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维修预算节支率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维修预算节支率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维修预算节支率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县城主要街道亮灯率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县城主要街道亮灯情况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县城主要街道亮灯情况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群众满意数量占总数的比例</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县委、县政府确定项目</w:t>
            </w:r>
          </w:p>
        </w:tc>
      </w:tr>
    </w:tbl>
    <w:p>
      <w:pPr>
        <w:spacing w:line="300" w:lineRule="exact"/>
        <w:jc w:val="left"/>
      </w:pPr>
    </w:p>
    <w:p>
      <w:pPr>
        <w:ind w:firstLine="560" w:firstLineChars="200"/>
        <w:jc w:val="left"/>
        <w:outlineLvl w:val="3"/>
        <w:rPr>
          <w:rFonts w:ascii="Times New Roman" w:hAnsi="宋体"/>
          <w:b/>
          <w:sz w:val="28"/>
        </w:rPr>
      </w:pPr>
      <w:bookmarkStart w:id="48" w:name="_Toc66068151"/>
      <w:r>
        <w:rPr>
          <w:rFonts w:hint="eastAsia" w:ascii="方正仿宋_GBK" w:eastAsia="方正仿宋_GBK"/>
          <w:b/>
          <w:sz w:val="28"/>
        </w:rPr>
        <w:t>46.土地出让金/县城绿化中水利用技改工程绩效目标表</w:t>
      </w:r>
      <w:bookmarkEnd w:id="4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46、土地出让金/县城绿化中水利用技改工程绩效目标表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13052521T1CZ578OLHGTN</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县城绿化中水利用技改工程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0.</w:t>
            </w:r>
            <w:r>
              <w:rPr>
                <w:rFonts w:ascii="方正书宋_GBK" w:eastAsia="方正书宋_GBK"/>
              </w:rPr>
              <w:t>9086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0.</w:t>
            </w:r>
            <w:r>
              <w:rPr>
                <w:rFonts w:ascii="方正书宋_GBK" w:eastAsia="方正书宋_GBK"/>
              </w:rPr>
              <w:t>9086</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用于县城绿化中水利用技改工程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工程按时完工，资金及时支付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工程按时完工，资金及时支付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工程按时完工，资金及时支付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依据上级要求和计划，完成工作要点</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实物工作量完成率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实物工作量完成率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经费支出</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严格按规定支出，不超标准、不超预算</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按照预算指标完成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通过科学编制预算，严格遵守各项规章制度，提高财政资金的使用效率，做到节俭高效。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受益群体的满意度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受益群体的满意度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49" w:name="_Toc66068152"/>
      <w:r>
        <w:rPr>
          <w:rFonts w:hint="eastAsia" w:ascii="方正仿宋_GBK" w:eastAsia="方正仿宋_GBK"/>
          <w:b/>
          <w:sz w:val="28"/>
        </w:rPr>
        <w:t>47.城市基础设施配套费/迎接省级园林县城复查验收费用绩效目标表</w:t>
      </w:r>
      <w:bookmarkEnd w:id="4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47、城市基础设施配套费/迎接省级园林县城复查验收费用绩效目标表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13052521THG56280ZMTF2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城市基础设施配套费</w:t>
            </w:r>
            <w:r>
              <w:rPr>
                <w:rFonts w:ascii="方正书宋_GBK" w:eastAsia="方正书宋_GBK"/>
              </w:rPr>
              <w:t>/</w:t>
            </w:r>
            <w:r>
              <w:rPr>
                <w:rFonts w:hint="eastAsia" w:ascii="方正书宋_GBK" w:eastAsia="方正书宋_GBK"/>
              </w:rPr>
              <w:t>迎接省级园林县城复查验收费用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迎接省级园林县城复检费用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50" w:name="_Toc66068153"/>
      <w:r>
        <w:rPr>
          <w:rFonts w:hint="eastAsia" w:ascii="方正仿宋_GBK" w:eastAsia="方正仿宋_GBK"/>
          <w:b/>
          <w:sz w:val="28"/>
        </w:rPr>
        <w:t>48.土地出让金/环卫设备购置绩效目标表</w:t>
      </w:r>
      <w:bookmarkEnd w:id="5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48、土地出让金/环卫设备购置绩效目标表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13052521UYCPY3O1G7G0X</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环卫设备购置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322</w:t>
            </w:r>
            <w:r>
              <w:rPr>
                <w:rFonts w:hint="eastAsia" w:ascii="方正书宋_GBK" w:eastAsia="方正书宋_GBK"/>
                <w:lang w:val="en-US" w:eastAsia="zh-CN"/>
              </w:rPr>
              <w:t>.</w:t>
            </w:r>
            <w:r>
              <w:rPr>
                <w:rFonts w:ascii="方正书宋_GBK" w:eastAsia="方正书宋_GBK"/>
              </w:rPr>
              <w:t>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322</w:t>
            </w:r>
            <w:r>
              <w:rPr>
                <w:rFonts w:hint="eastAsia" w:ascii="方正书宋_GBK" w:eastAsia="方正书宋_GBK"/>
                <w:lang w:val="en-US" w:eastAsia="zh-CN"/>
              </w:rPr>
              <w:t>.</w:t>
            </w:r>
            <w:r>
              <w:rPr>
                <w:rFonts w:ascii="方正书宋_GBK" w:eastAsia="方正书宋_GBK"/>
              </w:rPr>
              <w:t>1</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环卫设备采购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车辆到位及时</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资金拨付及时</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车辆购置数量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车辆购置数量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54</w:t>
            </w:r>
            <w:r>
              <w:rPr>
                <w:rFonts w:hint="eastAsia" w:ascii="方正书宋_GBK" w:eastAsia="方正书宋_GBK"/>
              </w:rPr>
              <w:t>辆</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车辆质量标准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车辆质量标准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合格</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设备到位及时率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设备到位及时率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到位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每幅车牌成本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每幅车牌成本</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服务对象满意数量占总数量的比例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51" w:name="_Toc66068154"/>
      <w:r>
        <w:rPr>
          <w:rFonts w:hint="eastAsia" w:ascii="方正仿宋_GBK" w:eastAsia="方正仿宋_GBK"/>
          <w:b/>
          <w:sz w:val="28"/>
        </w:rPr>
        <w:t>49.办案补助/办公经费绩效目标表</w:t>
      </w:r>
      <w:bookmarkEnd w:id="5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49、办案补助/办公经费绩效目标表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13052521VCA6ASQCL23X6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 xml:space="preserve"> </w:t>
            </w:r>
            <w:r>
              <w:rPr>
                <w:rFonts w:hint="eastAsia" w:ascii="方正书宋_GBK" w:eastAsia="方正书宋_GBK"/>
              </w:rPr>
              <w:t>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项目工程完工情况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项目工程完工情况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52" w:name="_Toc66068155"/>
      <w:r>
        <w:rPr>
          <w:rFonts w:hint="eastAsia" w:ascii="方正仿宋_GBK" w:eastAsia="方正仿宋_GBK"/>
          <w:b/>
          <w:sz w:val="28"/>
        </w:rPr>
        <w:t>50.土地出让金/新能源多功能抑尘车等车辆采购一标段绩效目标表</w:t>
      </w:r>
      <w:bookmarkEnd w:id="5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50、土地出让金/新能源多功能抑尘车等车辆采购一标段绩效目标表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13052521W4FKXZPN4KGWR</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新能源多功能抑尘车等车辆采购一标段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63</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购买新能源抑尘车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车辆及时购买</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资金拨付及时</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资金拨付及时</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资金发放及时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及时发放</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工程验收合格率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合格</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完成采购</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按合同时间完成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不超预算</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很大</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53" w:name="_Toc66068156"/>
      <w:r>
        <w:rPr>
          <w:rFonts w:hint="eastAsia" w:ascii="方正仿宋_GBK" w:eastAsia="方正仿宋_GBK"/>
          <w:b/>
          <w:sz w:val="28"/>
        </w:rPr>
        <w:t>51.城市基础设施配套费/城区绿化养护绩效目标表</w:t>
      </w:r>
      <w:bookmarkEnd w:id="5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51、城市基础设施配套费/城区绿化养护绩效目标表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13052521X70VYQ1VZ7UV2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城市基础设施配套费</w:t>
            </w:r>
            <w:r>
              <w:rPr>
                <w:rFonts w:ascii="方正书宋_GBK" w:eastAsia="方正书宋_GBK"/>
              </w:rPr>
              <w:t>/</w:t>
            </w:r>
            <w:r>
              <w:rPr>
                <w:rFonts w:hint="eastAsia" w:ascii="方正书宋_GBK" w:eastAsia="方正书宋_GBK"/>
              </w:rPr>
              <w:t>城区绿化养护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城区绿化养护费用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54" w:name="_Toc66068157"/>
      <w:r>
        <w:rPr>
          <w:rFonts w:hint="eastAsia" w:ascii="方正仿宋_GBK" w:eastAsia="方正仿宋_GBK"/>
          <w:b/>
          <w:sz w:val="28"/>
        </w:rPr>
        <w:t>52.土地出让金/金隆路便道拆除铺装廊道绩效目标表</w:t>
      </w:r>
      <w:bookmarkEnd w:id="5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52、土地出让金/金隆路便道拆除铺装廊道绩效目标表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13052521XSUGMSK2HGEVG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金隆路便道拆除铺装廊道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lang w:val="en-US" w:eastAsia="zh-CN"/>
              </w:rPr>
              <w:t>.</w:t>
            </w:r>
            <w:r>
              <w:rPr>
                <w:rFonts w:ascii="方正书宋_GBK" w:eastAsia="方正书宋_GBK"/>
              </w:rPr>
              <w:t>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lang w:val="en-US" w:eastAsia="zh-CN"/>
              </w:rPr>
              <w:t>.</w:t>
            </w:r>
            <w:r>
              <w:rPr>
                <w:rFonts w:ascii="方正书宋_GBK" w:eastAsia="方正书宋_GBK"/>
              </w:rPr>
              <w:t>7</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金隆路便道拆除铺装廊道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55" w:name="_Toc66068158"/>
      <w:r>
        <w:rPr>
          <w:rFonts w:hint="eastAsia" w:ascii="方正仿宋_GBK" w:eastAsia="方正仿宋_GBK"/>
          <w:b/>
          <w:sz w:val="28"/>
        </w:rPr>
        <w:t>53.土地出让金/双碑乡环卫一体化示范项目绩效目标表</w:t>
      </w:r>
      <w:bookmarkEnd w:id="5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53、土地出让金/双碑乡环卫一体化示范项目绩效目标表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13052521YOGTQE1AHBKZZ</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双碑乡环卫一体化示范项目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105</w:t>
            </w:r>
            <w:r>
              <w:rPr>
                <w:rFonts w:hint="eastAsia" w:ascii="方正书宋_GBK" w:eastAsia="方正书宋_GBK"/>
                <w:lang w:val="en-US" w:eastAsia="zh-CN"/>
              </w:rPr>
              <w:t>.</w:t>
            </w:r>
            <w:r>
              <w:rPr>
                <w:rFonts w:ascii="方正书宋_GBK" w:eastAsia="方正书宋_GBK"/>
              </w:rPr>
              <w:t>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105</w:t>
            </w:r>
            <w:r>
              <w:rPr>
                <w:rFonts w:hint="eastAsia" w:ascii="方正书宋_GBK" w:eastAsia="方正书宋_GBK"/>
                <w:lang w:val="en-US" w:eastAsia="zh-CN"/>
              </w:rPr>
              <w:t>.</w:t>
            </w:r>
            <w:r>
              <w:rPr>
                <w:rFonts w:ascii="方正书宋_GBK" w:eastAsia="方正书宋_GBK"/>
              </w:rPr>
              <w:t>6</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双碑乡环卫一体化示范项目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资金及时拨付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资金及时拨付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项目工程量清单完成率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工程质量合格率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工程全部目标及时完成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工程全部目标及时完成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spacing w:line="300" w:lineRule="exact"/>
        <w:jc w:val="left"/>
      </w:pPr>
    </w:p>
    <w:p>
      <w:pPr>
        <w:ind w:firstLine="560" w:firstLineChars="200"/>
        <w:jc w:val="left"/>
        <w:outlineLvl w:val="3"/>
        <w:rPr>
          <w:rFonts w:ascii="Times New Roman" w:hAnsi="宋体"/>
          <w:b/>
          <w:sz w:val="28"/>
        </w:rPr>
      </w:pPr>
      <w:bookmarkStart w:id="56" w:name="_Toc66068159"/>
      <w:r>
        <w:rPr>
          <w:rFonts w:hint="eastAsia" w:ascii="方正仿宋_GBK" w:eastAsia="方正仿宋_GBK"/>
          <w:b/>
          <w:sz w:val="28"/>
        </w:rPr>
        <w:t>54.城市基础设施配套费/兴隆垃圾处理场运营费绩效目标表</w:t>
      </w:r>
      <w:bookmarkEnd w:id="5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54、城市基础设施配套费/兴隆垃圾处理场运营费绩效目标表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506001</w:t>
            </w:r>
            <w:r>
              <w:rPr>
                <w:rFonts w:hint="eastAsia" w:ascii="方正书宋_GBK" w:eastAsia="方正书宋_GBK"/>
                <w:b/>
              </w:rPr>
              <w:t>隆尧县城市管理综合行政执法局本级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13052521YT7P1APPC1GG4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城市基础设施配套费</w:t>
            </w:r>
            <w:r>
              <w:rPr>
                <w:rFonts w:ascii="方正书宋_GBK" w:eastAsia="方正书宋_GBK"/>
              </w:rPr>
              <w:t>/</w:t>
            </w:r>
            <w:r>
              <w:rPr>
                <w:rFonts w:hint="eastAsia" w:ascii="方正书宋_GBK" w:eastAsia="方正书宋_GBK"/>
              </w:rPr>
              <w:t>兴隆垃圾处理场运营费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拨付资金补贴兴隆垃圾处理场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资金拨付及时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资金拨付及时</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企业正常运转</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支持企业数量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支持企业数量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垃圾设备质量标准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垃圾设备质量标准</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垃圾处理完成及时率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垃圾处理完成及时率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项目实际支出是否控制在预算内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生态环境质量改善</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有效改善我县生态环境</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县委、县政府要求</w:t>
            </w:r>
          </w:p>
        </w:tc>
      </w:tr>
    </w:tbl>
    <w:p>
      <w:pPr>
        <w:autoSpaceDE w:val="0"/>
        <w:autoSpaceDN w:val="0"/>
        <w:adjustRightInd w:val="0"/>
        <w:jc w:val="left"/>
        <w:rPr>
          <w:rFonts w:hint="eastAsia" w:ascii="黑体" w:hAnsi="黑体" w:eastAsia="黑体"/>
          <w:sz w:val="32"/>
          <w:szCs w:val="32"/>
        </w:rPr>
      </w:pPr>
    </w:p>
    <w:p>
      <w:pPr>
        <w:autoSpaceDE w:val="0"/>
        <w:autoSpaceDN w:val="0"/>
        <w:adjustRightInd w:val="0"/>
        <w:jc w:val="left"/>
        <w:rPr>
          <w:rFonts w:ascii="黑体" w:hAnsi="黑体" w:eastAsia="黑体"/>
          <w:sz w:val="32"/>
          <w:szCs w:val="32"/>
        </w:rPr>
      </w:pPr>
      <w:r>
        <w:rPr>
          <w:rFonts w:hint="eastAsia" w:ascii="黑体" w:hAnsi="黑体" w:eastAsia="黑体"/>
          <w:sz w:val="32"/>
          <w:szCs w:val="32"/>
        </w:rPr>
        <w:t>六、政府采购预算情况</w:t>
      </w:r>
    </w:p>
    <w:p>
      <w:pPr>
        <w:ind w:firstLine="640" w:firstLineChars="200"/>
        <w:outlineLvl w:val="1"/>
        <w:rPr>
          <w:rFonts w:ascii="Times New Roman" w:hAnsi="Times New Roman" w:eastAsia="方正仿宋_GBK"/>
          <w:sz w:val="32"/>
          <w:szCs w:val="24"/>
        </w:rPr>
      </w:pPr>
      <w:bookmarkStart w:id="57" w:name="_Toc471398468"/>
      <w:r>
        <w:rPr>
          <w:rFonts w:ascii="Times New Roman" w:hAnsi="Times New Roman" w:eastAsia="方正仿宋_GBK"/>
          <w:sz w:val="32"/>
          <w:szCs w:val="24"/>
        </w:rPr>
        <w:t>2021</w:t>
      </w:r>
      <w:r>
        <w:rPr>
          <w:rFonts w:hint="eastAsia" w:ascii="Times New Roman" w:hAnsi="Times New Roman" w:eastAsia="方正仿宋_GBK"/>
          <w:sz w:val="32"/>
          <w:szCs w:val="24"/>
        </w:rPr>
        <w:t>年，我</w:t>
      </w:r>
      <w:r>
        <w:rPr>
          <w:rFonts w:hint="eastAsia" w:ascii="Times New Roman" w:hAnsi="Times New Roman" w:eastAsia="方正仿宋_GBK"/>
          <w:sz w:val="32"/>
          <w:szCs w:val="24"/>
          <w:lang w:eastAsia="zh-CN"/>
        </w:rPr>
        <w:t>单位</w:t>
      </w:r>
      <w:r>
        <w:rPr>
          <w:rFonts w:hint="eastAsia" w:ascii="Times New Roman" w:hAnsi="Times New Roman" w:eastAsia="方正仿宋_GBK"/>
          <w:sz w:val="32"/>
          <w:szCs w:val="24"/>
        </w:rPr>
        <w:t>安排政府采购预算</w:t>
      </w:r>
      <w:r>
        <w:rPr>
          <w:rFonts w:hint="eastAsia" w:ascii="Times New Roman" w:hAnsi="Times New Roman" w:eastAsia="方正仿宋_GBK"/>
          <w:sz w:val="32"/>
          <w:szCs w:val="24"/>
          <w:lang w:val="en-US" w:eastAsia="zh-CN"/>
        </w:rPr>
        <w:t>1092</w:t>
      </w:r>
      <w:r>
        <w:rPr>
          <w:rFonts w:hint="eastAsia" w:ascii="Times New Roman" w:hAnsi="Times New Roman" w:eastAsia="方正仿宋_GBK"/>
          <w:sz w:val="32"/>
          <w:szCs w:val="24"/>
        </w:rPr>
        <w:t>万元。具体内容见下表。</w:t>
      </w:r>
      <w:bookmarkStart w:id="58" w:name="_Toc64379203"/>
    </w:p>
    <w:p>
      <w:pPr>
        <w:widowControl/>
        <w:jc w:val="center"/>
        <w:rPr>
          <w:rFonts w:ascii="宋体" w:cs="宋体"/>
          <w:b/>
          <w:bCs/>
          <w:kern w:val="0"/>
          <w:sz w:val="32"/>
          <w:szCs w:val="32"/>
        </w:rPr>
      </w:pPr>
      <w:r>
        <w:rPr>
          <w:rFonts w:hint="eastAsia" w:ascii="宋体" w:hAnsi="宋体" w:cs="宋体"/>
          <w:b/>
          <w:bCs/>
          <w:kern w:val="0"/>
          <w:sz w:val="32"/>
          <w:szCs w:val="32"/>
        </w:rPr>
        <w:t>部门政府采购预算</w:t>
      </w:r>
      <w:bookmarkEnd w:id="58"/>
    </w:p>
    <w:tbl>
      <w:tblPr>
        <w:tblStyle w:val="10"/>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小标宋_GBK" w:eastAsia="方正小标宋_GBK"/>
                <w:sz w:val="24"/>
              </w:rPr>
            </w:pPr>
            <w:r>
              <w:rPr>
                <w:rFonts w:ascii="方正小标宋_GBK" w:eastAsia="方正小标宋_GBK"/>
                <w:sz w:val="24"/>
              </w:rPr>
              <w:t>506</w:t>
            </w:r>
            <w:r>
              <w:rPr>
                <w:rFonts w:hint="eastAsia" w:ascii="方正小标宋_GBK" w:eastAsia="方正小标宋_GBK"/>
                <w:sz w:val="24"/>
              </w:rPr>
              <w:t>隆尧县城市管理综合行政执法局</w:t>
            </w:r>
          </w:p>
        </w:tc>
        <w:tc>
          <w:tcPr>
            <w:tcW w:w="6804"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sz w:val="24"/>
                <w:lang w:eastAsia="zh-CN"/>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noWrap w:val="0"/>
            <w:vAlign w:val="center"/>
          </w:tcPr>
          <w:p>
            <w:pPr>
              <w:spacing w:line="300" w:lineRule="exact"/>
              <w:jc w:val="left"/>
              <w:outlineLvl w:val="1"/>
              <w:rPr>
                <w:rFonts w:ascii="Times New Roman" w:eastAsia="方正仿宋_GBK"/>
                <w:sz w:val="28"/>
              </w:rPr>
            </w:pPr>
          </w:p>
        </w:tc>
        <w:tc>
          <w:tcPr>
            <w:tcW w:w="1531" w:type="dxa"/>
            <w:vMerge w:val="continue"/>
            <w:shd w:val="clear" w:color="auto" w:fill="auto"/>
            <w:noWrap w:val="0"/>
            <w:vAlign w:val="center"/>
          </w:tcPr>
          <w:p>
            <w:pPr>
              <w:spacing w:line="300" w:lineRule="exact"/>
              <w:jc w:val="left"/>
              <w:outlineLvl w:val="1"/>
              <w:rPr>
                <w:rFonts w:ascii="Times New Roman" w:eastAsia="方正仿宋_GBK"/>
                <w:sz w:val="28"/>
              </w:rPr>
            </w:pPr>
          </w:p>
        </w:tc>
        <w:tc>
          <w:tcPr>
            <w:tcW w:w="709" w:type="dxa"/>
            <w:vMerge w:val="continue"/>
            <w:shd w:val="clear" w:color="auto" w:fill="auto"/>
            <w:noWrap w:val="0"/>
            <w:vAlign w:val="center"/>
          </w:tcPr>
          <w:p>
            <w:pPr>
              <w:spacing w:line="300" w:lineRule="exact"/>
              <w:jc w:val="left"/>
              <w:outlineLvl w:val="1"/>
              <w:rPr>
                <w:rFonts w:ascii="Times New Roman" w:eastAsia="方正仿宋_GBK"/>
                <w:sz w:val="28"/>
              </w:rPr>
            </w:pPr>
          </w:p>
        </w:tc>
        <w:tc>
          <w:tcPr>
            <w:tcW w:w="907" w:type="dxa"/>
            <w:vMerge w:val="continue"/>
            <w:shd w:val="clear" w:color="auto" w:fill="auto"/>
            <w:noWrap w:val="0"/>
            <w:vAlign w:val="center"/>
          </w:tcPr>
          <w:p>
            <w:pPr>
              <w:spacing w:line="300" w:lineRule="exact"/>
              <w:jc w:val="left"/>
              <w:outlineLvl w:val="1"/>
              <w:rPr>
                <w:rFonts w:ascii="Times New Roman" w:eastAsia="方正仿宋_GBK"/>
                <w:sz w:val="28"/>
              </w:rPr>
            </w:pPr>
          </w:p>
        </w:tc>
        <w:tc>
          <w:tcPr>
            <w:tcW w:w="907" w:type="dxa"/>
            <w:vMerge w:val="continue"/>
            <w:shd w:val="clear" w:color="auto" w:fill="auto"/>
            <w:noWrap w:val="0"/>
            <w:vAlign w:val="center"/>
          </w:tcPr>
          <w:p>
            <w:pPr>
              <w:spacing w:line="300" w:lineRule="exact"/>
              <w:jc w:val="left"/>
              <w:outlineLvl w:val="1"/>
              <w:rPr>
                <w:rFonts w:ascii="Times New Roman" w:eastAsia="方正仿宋_GBK"/>
                <w:sz w:val="28"/>
              </w:rPr>
            </w:pP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noWrap w:val="0"/>
            <w:vAlign w:val="center"/>
          </w:tcPr>
          <w:p>
            <w:pPr>
              <w:spacing w:line="300" w:lineRule="exact"/>
              <w:jc w:val="right"/>
              <w:rPr>
                <w:rFonts w:ascii="方正书宋_GBK" w:eastAsia="方正书宋_GBK"/>
                <w:b/>
              </w:rPr>
            </w:pPr>
          </w:p>
        </w:tc>
        <w:tc>
          <w:tcPr>
            <w:tcW w:w="1531" w:type="dxa"/>
            <w:shd w:val="clear" w:color="auto" w:fill="auto"/>
            <w:noWrap w:val="0"/>
            <w:vAlign w:val="center"/>
          </w:tcPr>
          <w:p>
            <w:pPr>
              <w:spacing w:line="300" w:lineRule="exact"/>
              <w:jc w:val="left"/>
              <w:rPr>
                <w:rFonts w:ascii="方正书宋_GBK" w:eastAsia="方正书宋_GBK"/>
                <w:b/>
              </w:rPr>
            </w:pPr>
          </w:p>
        </w:tc>
        <w:tc>
          <w:tcPr>
            <w:tcW w:w="1531" w:type="dxa"/>
            <w:shd w:val="clear" w:color="auto" w:fill="auto"/>
            <w:noWrap w:val="0"/>
            <w:vAlign w:val="center"/>
          </w:tcPr>
          <w:p>
            <w:pPr>
              <w:spacing w:line="300" w:lineRule="exact"/>
              <w:jc w:val="left"/>
              <w:rPr>
                <w:rFonts w:ascii="方正书宋_GBK" w:eastAsia="方正书宋_GBK"/>
                <w:b/>
              </w:rPr>
            </w:pPr>
          </w:p>
        </w:tc>
        <w:tc>
          <w:tcPr>
            <w:tcW w:w="709" w:type="dxa"/>
            <w:shd w:val="clear" w:color="auto" w:fill="auto"/>
            <w:noWrap w:val="0"/>
            <w:vAlign w:val="center"/>
          </w:tcPr>
          <w:p>
            <w:pPr>
              <w:spacing w:line="300" w:lineRule="exact"/>
              <w:jc w:val="center"/>
              <w:rPr>
                <w:rFonts w:ascii="方正书宋_GBK" w:eastAsia="方正书宋_GBK"/>
                <w:b/>
              </w:rPr>
            </w:pPr>
          </w:p>
        </w:tc>
        <w:tc>
          <w:tcPr>
            <w:tcW w:w="907" w:type="dxa"/>
            <w:shd w:val="clear" w:color="auto" w:fill="auto"/>
            <w:noWrap w:val="0"/>
            <w:vAlign w:val="center"/>
          </w:tcPr>
          <w:p>
            <w:pPr>
              <w:spacing w:line="300" w:lineRule="exact"/>
              <w:jc w:val="right"/>
              <w:rPr>
                <w:rFonts w:ascii="方正书宋_GBK" w:eastAsia="方正书宋_GBK"/>
                <w:b/>
              </w:rPr>
            </w:pPr>
          </w:p>
        </w:tc>
        <w:tc>
          <w:tcPr>
            <w:tcW w:w="907" w:type="dxa"/>
            <w:shd w:val="clear" w:color="auto" w:fill="auto"/>
            <w:noWrap w:val="0"/>
            <w:vAlign w:val="center"/>
          </w:tcPr>
          <w:p>
            <w:pPr>
              <w:spacing w:line="300" w:lineRule="exact"/>
              <w:jc w:val="right"/>
              <w:rPr>
                <w:rFonts w:ascii="方正书宋_GBK" w:eastAsia="方正书宋_GBK"/>
                <w:b/>
              </w:rPr>
            </w:pPr>
          </w:p>
        </w:tc>
        <w:tc>
          <w:tcPr>
            <w:tcW w:w="1134"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1092.00</w:t>
            </w:r>
          </w:p>
        </w:tc>
        <w:tc>
          <w:tcPr>
            <w:tcW w:w="1134"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2</w:t>
            </w:r>
          </w:p>
        </w:tc>
        <w:tc>
          <w:tcPr>
            <w:tcW w:w="1134"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1090</w:t>
            </w:r>
          </w:p>
        </w:tc>
        <w:tc>
          <w:tcPr>
            <w:tcW w:w="1134" w:type="dxa"/>
            <w:shd w:val="clear" w:color="auto" w:fill="auto"/>
            <w:noWrap w:val="0"/>
            <w:vAlign w:val="center"/>
          </w:tcPr>
          <w:p>
            <w:pPr>
              <w:spacing w:line="300" w:lineRule="exact"/>
              <w:jc w:val="right"/>
              <w:rPr>
                <w:rFonts w:ascii="方正书宋_GBK" w:eastAsia="方正书宋_GBK"/>
                <w:b/>
              </w:rPr>
            </w:pPr>
          </w:p>
        </w:tc>
        <w:tc>
          <w:tcPr>
            <w:tcW w:w="1134" w:type="dxa"/>
            <w:shd w:val="clear" w:color="auto" w:fill="auto"/>
            <w:noWrap w:val="0"/>
            <w:vAlign w:val="center"/>
          </w:tcPr>
          <w:p>
            <w:pPr>
              <w:spacing w:line="300" w:lineRule="exact"/>
              <w:jc w:val="right"/>
              <w:rPr>
                <w:rFonts w:ascii="方正书宋_GBK" w:eastAsia="方正书宋_GBK"/>
                <w:b/>
              </w:rPr>
            </w:pPr>
          </w:p>
        </w:tc>
        <w:tc>
          <w:tcPr>
            <w:tcW w:w="1134" w:type="dxa"/>
            <w:shd w:val="clear" w:color="auto" w:fill="auto"/>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center"/>
              <w:rPr>
                <w:rFonts w:hint="eastAsia" w:ascii="方正书宋_GBK" w:eastAsia="方正书宋_GBK"/>
                <w:b/>
              </w:rPr>
            </w:pPr>
            <w:r>
              <w:rPr>
                <w:rFonts w:hint="eastAsia" w:ascii="方正书宋_GBK" w:eastAsia="方正书宋_GBK"/>
                <w:b/>
              </w:rPr>
              <w:t>隆尧县城市管理综合行政执法局本级小计</w:t>
            </w:r>
          </w:p>
        </w:tc>
        <w:tc>
          <w:tcPr>
            <w:tcW w:w="1134" w:type="dxa"/>
            <w:shd w:val="clear" w:color="auto" w:fill="auto"/>
            <w:noWrap w:val="0"/>
            <w:vAlign w:val="center"/>
          </w:tcPr>
          <w:p>
            <w:pPr>
              <w:spacing w:line="300" w:lineRule="exact"/>
              <w:jc w:val="right"/>
              <w:rPr>
                <w:rFonts w:ascii="方正书宋_GBK" w:eastAsia="方正书宋_GBK"/>
                <w:b/>
              </w:rPr>
            </w:pPr>
          </w:p>
        </w:tc>
        <w:tc>
          <w:tcPr>
            <w:tcW w:w="1531" w:type="dxa"/>
            <w:shd w:val="clear" w:color="auto" w:fill="auto"/>
            <w:noWrap w:val="0"/>
            <w:vAlign w:val="center"/>
          </w:tcPr>
          <w:p>
            <w:pPr>
              <w:spacing w:line="300" w:lineRule="exact"/>
              <w:jc w:val="left"/>
              <w:rPr>
                <w:rFonts w:ascii="方正书宋_GBK" w:eastAsia="方正书宋_GBK"/>
                <w:b/>
              </w:rPr>
            </w:pPr>
          </w:p>
        </w:tc>
        <w:tc>
          <w:tcPr>
            <w:tcW w:w="1531" w:type="dxa"/>
            <w:shd w:val="clear" w:color="auto" w:fill="auto"/>
            <w:noWrap w:val="0"/>
            <w:vAlign w:val="center"/>
          </w:tcPr>
          <w:p>
            <w:pPr>
              <w:spacing w:line="300" w:lineRule="exact"/>
              <w:jc w:val="left"/>
              <w:rPr>
                <w:rFonts w:ascii="方正书宋_GBK" w:eastAsia="方正书宋_GBK"/>
                <w:b/>
              </w:rPr>
            </w:pPr>
          </w:p>
        </w:tc>
        <w:tc>
          <w:tcPr>
            <w:tcW w:w="709" w:type="dxa"/>
            <w:shd w:val="clear" w:color="auto" w:fill="auto"/>
            <w:noWrap w:val="0"/>
            <w:vAlign w:val="center"/>
          </w:tcPr>
          <w:p>
            <w:pPr>
              <w:spacing w:line="300" w:lineRule="exact"/>
              <w:jc w:val="center"/>
              <w:rPr>
                <w:rFonts w:ascii="方正书宋_GBK" w:eastAsia="方正书宋_GBK"/>
                <w:b/>
              </w:rPr>
            </w:pPr>
          </w:p>
        </w:tc>
        <w:tc>
          <w:tcPr>
            <w:tcW w:w="907" w:type="dxa"/>
            <w:shd w:val="clear" w:color="auto" w:fill="auto"/>
            <w:noWrap w:val="0"/>
            <w:vAlign w:val="center"/>
          </w:tcPr>
          <w:p>
            <w:pPr>
              <w:spacing w:line="300" w:lineRule="exact"/>
              <w:jc w:val="right"/>
              <w:rPr>
                <w:rFonts w:ascii="方正书宋_GBK" w:eastAsia="方正书宋_GBK"/>
                <w:b/>
              </w:rPr>
            </w:pPr>
          </w:p>
        </w:tc>
        <w:tc>
          <w:tcPr>
            <w:tcW w:w="907" w:type="dxa"/>
            <w:shd w:val="clear" w:color="auto" w:fill="auto"/>
            <w:noWrap w:val="0"/>
            <w:vAlign w:val="center"/>
          </w:tcPr>
          <w:p>
            <w:pPr>
              <w:spacing w:line="300" w:lineRule="exact"/>
              <w:jc w:val="right"/>
              <w:rPr>
                <w:rFonts w:ascii="方正书宋_GBK" w:eastAsia="方正书宋_GBK"/>
                <w:b/>
              </w:rPr>
            </w:pPr>
          </w:p>
        </w:tc>
        <w:tc>
          <w:tcPr>
            <w:tcW w:w="1134"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1092</w:t>
            </w:r>
          </w:p>
        </w:tc>
        <w:tc>
          <w:tcPr>
            <w:tcW w:w="1134"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2</w:t>
            </w:r>
          </w:p>
        </w:tc>
        <w:tc>
          <w:tcPr>
            <w:tcW w:w="1134"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1090</w:t>
            </w:r>
          </w:p>
        </w:tc>
        <w:tc>
          <w:tcPr>
            <w:tcW w:w="1134" w:type="dxa"/>
            <w:shd w:val="clear" w:color="auto" w:fill="auto"/>
            <w:noWrap w:val="0"/>
            <w:vAlign w:val="center"/>
          </w:tcPr>
          <w:p>
            <w:pPr>
              <w:spacing w:line="300" w:lineRule="exact"/>
              <w:jc w:val="right"/>
              <w:rPr>
                <w:rFonts w:ascii="方正书宋_GBK" w:eastAsia="方正书宋_GBK"/>
                <w:b/>
              </w:rPr>
            </w:pPr>
          </w:p>
        </w:tc>
        <w:tc>
          <w:tcPr>
            <w:tcW w:w="1134" w:type="dxa"/>
            <w:shd w:val="clear" w:color="auto" w:fill="auto"/>
            <w:noWrap w:val="0"/>
            <w:vAlign w:val="center"/>
          </w:tcPr>
          <w:p>
            <w:pPr>
              <w:spacing w:line="300" w:lineRule="exact"/>
              <w:jc w:val="right"/>
              <w:rPr>
                <w:rFonts w:ascii="方正书宋_GBK" w:eastAsia="方正书宋_GBK"/>
                <w:b/>
              </w:rPr>
            </w:pPr>
          </w:p>
        </w:tc>
        <w:tc>
          <w:tcPr>
            <w:tcW w:w="1134" w:type="dxa"/>
            <w:shd w:val="clear" w:color="auto" w:fill="auto"/>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运转类公用项目</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26</w:t>
            </w:r>
            <w:r>
              <w:rPr>
                <w:rFonts w:hint="eastAsia" w:ascii="方正书宋_GBK" w:eastAsia="方正书宋_GBK"/>
                <w:lang w:val="en-US" w:eastAsia="zh-CN"/>
              </w:rPr>
              <w:t>.</w:t>
            </w:r>
            <w:r>
              <w:rPr>
                <w:rFonts w:ascii="方正书宋_GBK" w:eastAsia="方正书宋_GBK"/>
              </w:rPr>
              <w:t>12</w:t>
            </w:r>
          </w:p>
        </w:tc>
        <w:tc>
          <w:tcPr>
            <w:tcW w:w="153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w:t>
            </w:r>
          </w:p>
        </w:tc>
        <w:tc>
          <w:tcPr>
            <w:tcW w:w="907"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8</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8</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8</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运转类公用项目</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26</w:t>
            </w:r>
            <w:r>
              <w:rPr>
                <w:rFonts w:hint="eastAsia" w:ascii="方正书宋_GBK" w:eastAsia="方正书宋_GBK"/>
                <w:lang w:val="en-US" w:eastAsia="zh-CN"/>
              </w:rPr>
              <w:t>.</w:t>
            </w:r>
            <w:r>
              <w:rPr>
                <w:rFonts w:ascii="方正书宋_GBK" w:eastAsia="方正书宋_GBK"/>
              </w:rPr>
              <w:t>12</w:t>
            </w:r>
          </w:p>
        </w:tc>
        <w:tc>
          <w:tcPr>
            <w:tcW w:w="15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多功能一体机</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A020204</w:t>
            </w:r>
          </w:p>
        </w:tc>
        <w:tc>
          <w:tcPr>
            <w:tcW w:w="709"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w:t>
            </w:r>
          </w:p>
        </w:tc>
        <w:tc>
          <w:tcPr>
            <w:tcW w:w="907"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4</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4</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4</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运转类公用项目</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26</w:t>
            </w:r>
            <w:r>
              <w:rPr>
                <w:rFonts w:hint="eastAsia" w:ascii="方正书宋_GBK" w:eastAsia="方正书宋_GBK"/>
                <w:lang w:val="en-US" w:eastAsia="zh-CN"/>
              </w:rPr>
              <w:t>.</w:t>
            </w:r>
            <w:r>
              <w:rPr>
                <w:rFonts w:ascii="方正书宋_GBK" w:eastAsia="方正书宋_GBK"/>
              </w:rPr>
              <w:t>12</w:t>
            </w:r>
          </w:p>
        </w:tc>
        <w:tc>
          <w:tcPr>
            <w:tcW w:w="15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静视频照相机</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A0202050103</w:t>
            </w:r>
          </w:p>
        </w:tc>
        <w:tc>
          <w:tcPr>
            <w:tcW w:w="709"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8</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8</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8</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环卫设备采购资金</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890</w:t>
            </w:r>
          </w:p>
        </w:tc>
        <w:tc>
          <w:tcPr>
            <w:tcW w:w="15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洒水车</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A0203072802</w:t>
            </w:r>
          </w:p>
        </w:tc>
        <w:tc>
          <w:tcPr>
            <w:tcW w:w="709"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辆</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4</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185</w:t>
            </w:r>
            <w:r>
              <w:rPr>
                <w:rFonts w:hint="eastAsia" w:ascii="方正书宋_GBK" w:eastAsia="方正书宋_GBK"/>
                <w:lang w:val="en-US" w:eastAsia="zh-CN"/>
              </w:rPr>
              <w:t>.</w:t>
            </w:r>
            <w:r>
              <w:rPr>
                <w:rFonts w:ascii="方正书宋_GBK" w:eastAsia="方正书宋_GBK"/>
              </w:rPr>
              <w:t>4</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185</w:t>
            </w:r>
            <w:r>
              <w:rPr>
                <w:rFonts w:hint="eastAsia" w:ascii="方正书宋_GBK" w:eastAsia="方正书宋_GBK"/>
                <w:lang w:val="en-US" w:eastAsia="zh-CN"/>
              </w:rPr>
              <w:t>.</w:t>
            </w:r>
            <w:r>
              <w:rPr>
                <w:rFonts w:ascii="方正书宋_GBK" w:eastAsia="方正书宋_GBK"/>
              </w:rPr>
              <w:t>4</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185</w:t>
            </w:r>
            <w:r>
              <w:rPr>
                <w:rFonts w:hint="eastAsia" w:ascii="方正书宋_GBK" w:eastAsia="方正书宋_GBK"/>
                <w:lang w:val="en-US" w:eastAsia="zh-CN"/>
              </w:rPr>
              <w:t>.</w:t>
            </w:r>
            <w:r>
              <w:rPr>
                <w:rFonts w:ascii="方正书宋_GBK" w:eastAsia="方正书宋_GBK"/>
              </w:rPr>
              <w:t>4</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环卫设备采购资金</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890</w:t>
            </w:r>
          </w:p>
        </w:tc>
        <w:tc>
          <w:tcPr>
            <w:tcW w:w="15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街道清洗清扫车</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A0203072803</w:t>
            </w:r>
          </w:p>
        </w:tc>
        <w:tc>
          <w:tcPr>
            <w:tcW w:w="709"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辆</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8</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608</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608</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608</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环卫设备采购资金</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890</w:t>
            </w:r>
          </w:p>
        </w:tc>
        <w:tc>
          <w:tcPr>
            <w:tcW w:w="15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其他清洁卫生车辆</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A0203072899</w:t>
            </w:r>
          </w:p>
        </w:tc>
        <w:tc>
          <w:tcPr>
            <w:tcW w:w="709"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辆</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37</w:t>
            </w:r>
            <w:r>
              <w:rPr>
                <w:rFonts w:hint="eastAsia" w:ascii="方正书宋_GBK" w:eastAsia="方正书宋_GBK"/>
                <w:lang w:val="en-US" w:eastAsia="zh-CN"/>
              </w:rPr>
              <w:t>.</w:t>
            </w:r>
            <w:r>
              <w:rPr>
                <w:rFonts w:ascii="方正书宋_GBK" w:eastAsia="方正书宋_GBK"/>
              </w:rPr>
              <w:t>6</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37</w:t>
            </w:r>
            <w:r>
              <w:rPr>
                <w:rFonts w:hint="eastAsia" w:ascii="方正书宋_GBK" w:eastAsia="方正书宋_GBK"/>
                <w:lang w:val="en-US" w:eastAsia="zh-CN"/>
              </w:rPr>
              <w:t>.</w:t>
            </w:r>
            <w:r>
              <w:rPr>
                <w:rFonts w:ascii="方正书宋_GBK" w:eastAsia="方正书宋_GBK"/>
              </w:rPr>
              <w:t>6</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37</w:t>
            </w:r>
            <w:r>
              <w:rPr>
                <w:rFonts w:hint="eastAsia" w:ascii="方正书宋_GBK" w:eastAsia="方正书宋_GBK"/>
                <w:lang w:val="en-US" w:eastAsia="zh-CN"/>
              </w:rPr>
              <w:t>.</w:t>
            </w:r>
            <w:r>
              <w:rPr>
                <w:rFonts w:ascii="方正书宋_GBK" w:eastAsia="方正书宋_GBK"/>
              </w:rPr>
              <w:t>6</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环卫设备采购资金</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890</w:t>
            </w:r>
          </w:p>
        </w:tc>
        <w:tc>
          <w:tcPr>
            <w:tcW w:w="15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其他清洁卫生车辆</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A0203072899</w:t>
            </w:r>
          </w:p>
        </w:tc>
        <w:tc>
          <w:tcPr>
            <w:tcW w:w="709"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辆</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59</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59</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59</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前期费用（金隆路绿道绿廊外侧道路建设，金隆路西延、尧山街道路及城乡结合部绿化，城区亮化改造，北甫路、昭庆街道路建设，城区街道老旧管网改造）</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15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其他市政工程施工</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B021399</w:t>
            </w:r>
          </w:p>
        </w:tc>
        <w:tc>
          <w:tcPr>
            <w:tcW w:w="709"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次</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项目前期费用（兴隆、东方垃圾填埋场中转站建设工程，背街小巷硬化工程，县城公厕建设工程，汦河水引水灌溉工程，</w:t>
            </w:r>
            <w:r>
              <w:rPr>
                <w:rFonts w:ascii="方正书宋_GBK" w:eastAsia="方正书宋_GBK"/>
              </w:rPr>
              <w:t>2021</w:t>
            </w:r>
            <w:r>
              <w:rPr>
                <w:rFonts w:hint="eastAsia" w:ascii="方正书宋_GBK" w:eastAsia="方正书宋_GBK"/>
              </w:rPr>
              <w:t>年生活垃圾转运及处理项目）</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15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其他市政工程施工</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B021399</w:t>
            </w:r>
          </w:p>
        </w:tc>
        <w:tc>
          <w:tcPr>
            <w:tcW w:w="709"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次</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bookmarkEnd w:id="57"/>
    </w:tbl>
    <w:p>
      <w:pPr>
        <w:autoSpaceDE w:val="0"/>
        <w:autoSpaceDN w:val="0"/>
        <w:adjustRightInd w:val="0"/>
        <w:ind w:firstLine="640" w:firstLineChars="200"/>
        <w:jc w:val="left"/>
        <w:rPr>
          <w:rFonts w:hint="eastAsia" w:ascii="黑体" w:hAnsi="黑体" w:eastAsia="黑体"/>
          <w:sz w:val="32"/>
          <w:szCs w:val="32"/>
        </w:rPr>
      </w:pPr>
    </w:p>
    <w:p>
      <w:pPr>
        <w:ind w:firstLine="640"/>
        <w:rPr>
          <w:rFonts w:ascii="仿宋" w:hAnsi="仿宋" w:eastAsia="仿宋"/>
          <w:color w:val="000000"/>
          <w:sz w:val="32"/>
          <w:szCs w:val="32"/>
        </w:rPr>
      </w:pPr>
      <w:r>
        <w:rPr>
          <w:rFonts w:hint="eastAsia" w:ascii="黑体" w:hAnsi="黑体" w:eastAsia="黑体" w:cs="黑体"/>
          <w:color w:val="000000"/>
          <w:sz w:val="32"/>
          <w:szCs w:val="32"/>
          <w:lang w:eastAsia="zh-CN"/>
        </w:rPr>
        <w:t>七、国有资产信息：</w:t>
      </w:r>
      <w:r>
        <w:rPr>
          <w:rFonts w:hint="eastAsia" w:ascii="仿宋" w:hAnsi="仿宋" w:eastAsia="仿宋"/>
          <w:color w:val="000000"/>
          <w:sz w:val="32"/>
          <w:szCs w:val="32"/>
        </w:rPr>
        <w:t>隆尧县</w:t>
      </w:r>
      <w:r>
        <w:rPr>
          <w:rFonts w:hint="eastAsia" w:ascii="仿宋" w:hAnsi="仿宋" w:eastAsia="仿宋"/>
          <w:color w:val="000000"/>
          <w:sz w:val="32"/>
          <w:szCs w:val="32"/>
          <w:lang w:eastAsia="zh-CN"/>
        </w:rPr>
        <w:t>城管局</w:t>
      </w:r>
      <w:r>
        <w:rPr>
          <w:rFonts w:hint="eastAsia" w:ascii="仿宋" w:hAnsi="仿宋" w:eastAsia="仿宋"/>
          <w:color w:val="000000"/>
          <w:sz w:val="32"/>
          <w:szCs w:val="32"/>
        </w:rPr>
        <w:t>2020</w:t>
      </w:r>
      <w:r>
        <w:rPr>
          <w:rFonts w:ascii="仿宋" w:hAnsi="仿宋" w:eastAsia="仿宋"/>
          <w:color w:val="000000"/>
          <w:sz w:val="32"/>
          <w:szCs w:val="32"/>
        </w:rPr>
        <w:t>年末固定资产金额为</w:t>
      </w:r>
      <w:r>
        <w:rPr>
          <w:rFonts w:hint="eastAsia" w:ascii="仿宋" w:hAnsi="仿宋" w:eastAsia="仿宋"/>
          <w:color w:val="000000"/>
          <w:sz w:val="32"/>
          <w:szCs w:val="32"/>
          <w:lang w:val="en-US" w:eastAsia="zh-CN"/>
        </w:rPr>
        <w:t>1297.855</w:t>
      </w:r>
      <w:r>
        <w:rPr>
          <w:rFonts w:ascii="仿宋" w:hAnsi="仿宋" w:eastAsia="仿宋"/>
          <w:color w:val="000000"/>
          <w:sz w:val="32"/>
          <w:szCs w:val="32"/>
        </w:rPr>
        <w:t>万元（详见下表），本年度</w:t>
      </w:r>
      <w:r>
        <w:rPr>
          <w:rFonts w:hint="eastAsia" w:ascii="仿宋" w:hAnsi="仿宋" w:eastAsia="仿宋"/>
          <w:color w:val="000000"/>
          <w:sz w:val="32"/>
          <w:szCs w:val="32"/>
          <w:lang w:eastAsia="zh-CN"/>
        </w:rPr>
        <w:t>我</w:t>
      </w:r>
      <w:r>
        <w:rPr>
          <w:rFonts w:ascii="仿宋" w:hAnsi="仿宋" w:eastAsia="仿宋"/>
          <w:color w:val="000000"/>
          <w:sz w:val="32"/>
          <w:szCs w:val="32"/>
        </w:rPr>
        <w:t>单位拟购置固定资产</w:t>
      </w:r>
      <w:r>
        <w:rPr>
          <w:rFonts w:hint="eastAsia" w:ascii="仿宋" w:hAnsi="仿宋" w:eastAsia="仿宋"/>
          <w:color w:val="000000"/>
          <w:sz w:val="32"/>
          <w:szCs w:val="32"/>
        </w:rPr>
        <w:t>总额为</w:t>
      </w:r>
      <w:r>
        <w:rPr>
          <w:rFonts w:hint="eastAsia" w:ascii="仿宋" w:hAnsi="仿宋" w:eastAsia="仿宋"/>
          <w:color w:val="000000"/>
          <w:sz w:val="32"/>
          <w:szCs w:val="32"/>
          <w:lang w:val="en-US" w:eastAsia="zh-CN"/>
        </w:rPr>
        <w:t>892</w:t>
      </w:r>
      <w:r>
        <w:rPr>
          <w:rFonts w:ascii="仿宋" w:hAnsi="仿宋" w:eastAsia="仿宋"/>
          <w:color w:val="000000"/>
          <w:sz w:val="32"/>
          <w:szCs w:val="32"/>
        </w:rPr>
        <w:t>万元，主要为计算机、空调、打印机、</w:t>
      </w:r>
      <w:r>
        <w:rPr>
          <w:rFonts w:hint="eastAsia" w:ascii="仿宋" w:hAnsi="仿宋" w:eastAsia="仿宋"/>
          <w:color w:val="000000"/>
          <w:sz w:val="32"/>
          <w:szCs w:val="32"/>
          <w:lang w:eastAsia="zh-CN"/>
        </w:rPr>
        <w:t>清洁车辆等</w:t>
      </w:r>
      <w:r>
        <w:rPr>
          <w:rFonts w:ascii="仿宋" w:hAnsi="仿宋" w:eastAsia="仿宋"/>
          <w:color w:val="000000"/>
          <w:sz w:val="32"/>
          <w:szCs w:val="32"/>
        </w:rPr>
        <w:t>，已列入政府采购预算表</w:t>
      </w:r>
      <w:r>
        <w:rPr>
          <w:rFonts w:hint="eastAsia" w:ascii="仿宋" w:hAnsi="仿宋" w:eastAsia="仿宋"/>
          <w:color w:val="000000"/>
          <w:sz w:val="32"/>
          <w:szCs w:val="32"/>
        </w:rPr>
        <w:t>，详见政府采购预算表。</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pPr>
              <w:pStyle w:val="25"/>
            </w:pPr>
            <w:r>
              <w:t>506001隆尧县城市管理综合行政执法局本级</w:t>
            </w:r>
          </w:p>
        </w:tc>
        <w:tc>
          <w:tcPr>
            <w:tcW w:w="5670" w:type="dxa"/>
            <w:gridSpan w:val="2"/>
            <w:tcBorders>
              <w:top w:val="single" w:color="FFFFFF" w:sz="6" w:space="0"/>
              <w:left w:val="single" w:color="FFFFFF" w:sz="6" w:space="0"/>
              <w:right w:val="single" w:color="FFFFFF" w:sz="6" w:space="0"/>
            </w:tcBorders>
            <w:noWrap w:val="0"/>
            <w:vAlign w:val="center"/>
          </w:tcPr>
          <w:p>
            <w:pPr>
              <w:pStyle w:val="26"/>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pPr>
              <w:pStyle w:val="27"/>
            </w:pPr>
            <w:r>
              <w:t>项   目</w:t>
            </w:r>
          </w:p>
        </w:tc>
        <w:tc>
          <w:tcPr>
            <w:tcW w:w="2835" w:type="dxa"/>
            <w:noWrap w:val="0"/>
            <w:vAlign w:val="center"/>
          </w:tcPr>
          <w:p>
            <w:pPr>
              <w:pStyle w:val="27"/>
            </w:pPr>
            <w:r>
              <w:t>数量</w:t>
            </w:r>
          </w:p>
        </w:tc>
        <w:tc>
          <w:tcPr>
            <w:tcW w:w="2835" w:type="dxa"/>
            <w:noWrap w:val="0"/>
            <w:vAlign w:val="center"/>
          </w:tcPr>
          <w:p>
            <w:pPr>
              <w:pStyle w:val="27"/>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28"/>
            </w:pPr>
            <w:r>
              <w:t>资产总额</w:t>
            </w:r>
          </w:p>
        </w:tc>
        <w:tc>
          <w:tcPr>
            <w:tcW w:w="2835" w:type="dxa"/>
            <w:noWrap w:val="0"/>
            <w:vAlign w:val="center"/>
          </w:tcPr>
          <w:p>
            <w:pPr>
              <w:pStyle w:val="29"/>
            </w:pPr>
          </w:p>
        </w:tc>
        <w:tc>
          <w:tcPr>
            <w:tcW w:w="2835" w:type="dxa"/>
            <w:noWrap w:val="0"/>
            <w:vAlign w:val="center"/>
          </w:tcPr>
          <w:p>
            <w:pPr>
              <w:pStyle w:val="30"/>
              <w:rPr>
                <w:rFonts w:hint="default" w:eastAsia="方正书宋_GBK"/>
                <w:lang w:val="en-US" w:eastAsia="zh-CN"/>
              </w:rPr>
            </w:pPr>
            <w:r>
              <w:rPr>
                <w:rFonts w:hint="eastAsia"/>
                <w:lang w:val="en-US" w:eastAsia="zh-CN"/>
              </w:rPr>
              <w:t>1297.855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28"/>
            </w:pPr>
            <w:r>
              <w:t>1、房屋（平方米）</w:t>
            </w:r>
          </w:p>
        </w:tc>
        <w:tc>
          <w:tcPr>
            <w:tcW w:w="2835" w:type="dxa"/>
            <w:noWrap w:val="0"/>
            <w:vAlign w:val="center"/>
          </w:tcPr>
          <w:p>
            <w:pPr>
              <w:pStyle w:val="29"/>
            </w:pPr>
          </w:p>
        </w:tc>
        <w:tc>
          <w:tcPr>
            <w:tcW w:w="2835" w:type="dxa"/>
            <w:noWrap w:val="0"/>
            <w:vAlign w:val="center"/>
          </w:tcPr>
          <w:p>
            <w:pPr>
              <w:pStyle w:val="3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28"/>
            </w:pPr>
            <w:r>
              <w:t>　　其中：办公用房（平方米）</w:t>
            </w:r>
          </w:p>
        </w:tc>
        <w:tc>
          <w:tcPr>
            <w:tcW w:w="2835" w:type="dxa"/>
            <w:noWrap w:val="0"/>
            <w:vAlign w:val="center"/>
          </w:tcPr>
          <w:p>
            <w:pPr>
              <w:pStyle w:val="29"/>
            </w:pPr>
          </w:p>
        </w:tc>
        <w:tc>
          <w:tcPr>
            <w:tcW w:w="2835" w:type="dxa"/>
            <w:noWrap w:val="0"/>
            <w:vAlign w:val="center"/>
          </w:tcPr>
          <w:p>
            <w:pPr>
              <w:pStyle w:val="3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28"/>
            </w:pPr>
            <w:r>
              <w:t>2、车辆（台、辆）</w:t>
            </w:r>
          </w:p>
        </w:tc>
        <w:tc>
          <w:tcPr>
            <w:tcW w:w="2835" w:type="dxa"/>
            <w:noWrap w:val="0"/>
            <w:vAlign w:val="center"/>
          </w:tcPr>
          <w:p>
            <w:pPr>
              <w:pStyle w:val="29"/>
              <w:rPr>
                <w:rFonts w:hint="default" w:eastAsia="方正书宋_GBK"/>
                <w:lang w:val="en-US" w:eastAsia="zh-CN"/>
              </w:rPr>
            </w:pPr>
            <w:r>
              <w:rPr>
                <w:rFonts w:hint="eastAsia"/>
                <w:lang w:val="en-US" w:eastAsia="zh-CN"/>
              </w:rPr>
              <w:t>21</w:t>
            </w:r>
          </w:p>
        </w:tc>
        <w:tc>
          <w:tcPr>
            <w:tcW w:w="2835" w:type="dxa"/>
            <w:noWrap w:val="0"/>
            <w:vAlign w:val="center"/>
          </w:tcPr>
          <w:p>
            <w:pPr>
              <w:pStyle w:val="30"/>
              <w:rPr>
                <w:rFonts w:hint="default" w:eastAsia="方正书宋_GBK"/>
                <w:lang w:val="en-US" w:eastAsia="zh-CN"/>
              </w:rPr>
            </w:pPr>
            <w:r>
              <w:rPr>
                <w:rFonts w:hint="eastAsia"/>
                <w:lang w:val="en-US" w:eastAsia="zh-CN"/>
              </w:rPr>
              <w:t>592.907259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28"/>
            </w:pPr>
            <w:r>
              <w:t>3、单价在20万元以上的设备</w:t>
            </w:r>
          </w:p>
        </w:tc>
        <w:tc>
          <w:tcPr>
            <w:tcW w:w="2835" w:type="dxa"/>
            <w:noWrap w:val="0"/>
            <w:vAlign w:val="center"/>
          </w:tcPr>
          <w:p>
            <w:pPr>
              <w:pStyle w:val="29"/>
            </w:pPr>
          </w:p>
        </w:tc>
        <w:tc>
          <w:tcPr>
            <w:tcW w:w="2835" w:type="dxa"/>
            <w:noWrap w:val="0"/>
            <w:vAlign w:val="center"/>
          </w:tcPr>
          <w:p>
            <w:pPr>
              <w:pStyle w:val="3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28"/>
            </w:pPr>
            <w:r>
              <w:t>4、其他固定资产</w:t>
            </w:r>
          </w:p>
        </w:tc>
        <w:tc>
          <w:tcPr>
            <w:tcW w:w="2835" w:type="dxa"/>
            <w:noWrap w:val="0"/>
            <w:vAlign w:val="center"/>
          </w:tcPr>
          <w:p>
            <w:pPr>
              <w:pStyle w:val="29"/>
            </w:pPr>
          </w:p>
        </w:tc>
        <w:tc>
          <w:tcPr>
            <w:tcW w:w="2835" w:type="dxa"/>
            <w:noWrap w:val="0"/>
            <w:vAlign w:val="center"/>
          </w:tcPr>
          <w:p>
            <w:pPr>
              <w:pStyle w:val="30"/>
              <w:rPr>
                <w:rFonts w:hint="default" w:eastAsia="方正书宋_GBK"/>
                <w:lang w:val="en-US" w:eastAsia="zh-CN"/>
              </w:rPr>
            </w:pPr>
            <w:r>
              <w:rPr>
                <w:rFonts w:hint="eastAsia"/>
                <w:lang w:val="en-US" w:eastAsia="zh-CN"/>
              </w:rPr>
              <w:t>704.947741</w:t>
            </w:r>
          </w:p>
        </w:tc>
      </w:tr>
    </w:tbl>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lang w:eastAsia="zh-CN"/>
        </w:rPr>
        <w:t>八</w:t>
      </w:r>
      <w:r>
        <w:rPr>
          <w:rFonts w:hint="eastAsia" w:ascii="黑体" w:hAnsi="黑体" w:eastAsia="黑体"/>
          <w:sz w:val="32"/>
          <w:szCs w:val="32"/>
        </w:rPr>
        <w:t>、名词解释</w:t>
      </w:r>
    </w:p>
    <w:p>
      <w:pPr>
        <w:tabs>
          <w:tab w:val="left" w:pos="11490"/>
        </w:tabs>
        <w:ind w:firstLine="640" w:firstLineChars="200"/>
        <w:rPr>
          <w:rFonts w:ascii="Times New Roman" w:hAnsi="Times New Roman" w:eastAsia="方正仿宋_GBK"/>
          <w:b w:val="0"/>
          <w:bCs/>
          <w:sz w:val="32"/>
          <w:szCs w:val="32"/>
        </w:rPr>
      </w:pPr>
      <w:r>
        <w:rPr>
          <w:rFonts w:ascii="Times New Roman" w:hAnsi="Times New Roman" w:eastAsia="方正仿宋_GBK"/>
          <w:b w:val="0"/>
          <w:bCs/>
          <w:sz w:val="32"/>
          <w:szCs w:val="32"/>
        </w:rPr>
        <w:t>1</w:t>
      </w:r>
      <w:r>
        <w:rPr>
          <w:rFonts w:hint="eastAsia" w:ascii="Times New Roman" w:hAnsi="Times New Roman" w:eastAsia="方正仿宋_GBK"/>
          <w:b w:val="0"/>
          <w:bCs/>
          <w:sz w:val="32"/>
          <w:szCs w:val="32"/>
        </w:rPr>
        <w:t>、一般公共预算拨款收入：指</w:t>
      </w:r>
      <w:r>
        <w:rPr>
          <w:rFonts w:hint="eastAsia" w:ascii="Times New Roman" w:hAnsi="Times New Roman" w:eastAsia="方正仿宋_GBK"/>
          <w:b w:val="0"/>
          <w:bCs/>
          <w:sz w:val="32"/>
          <w:szCs w:val="32"/>
          <w:lang w:eastAsia="zh-CN"/>
        </w:rPr>
        <w:t>县</w:t>
      </w:r>
      <w:r>
        <w:rPr>
          <w:rFonts w:hint="eastAsia" w:ascii="Times New Roman" w:hAnsi="Times New Roman" w:eastAsia="方正仿宋_GBK"/>
          <w:b w:val="0"/>
          <w:bCs/>
          <w:sz w:val="32"/>
          <w:szCs w:val="32"/>
        </w:rPr>
        <w:t>级财政当年拨付的资金。</w:t>
      </w:r>
    </w:p>
    <w:p>
      <w:pPr>
        <w:tabs>
          <w:tab w:val="left" w:pos="11490"/>
        </w:tabs>
        <w:ind w:firstLine="640" w:firstLineChars="200"/>
        <w:rPr>
          <w:rFonts w:ascii="Times New Roman" w:hAnsi="Times New Roman" w:eastAsia="方正仿宋_GBK"/>
          <w:b w:val="0"/>
          <w:bCs/>
          <w:sz w:val="32"/>
          <w:szCs w:val="32"/>
        </w:rPr>
      </w:pPr>
      <w:r>
        <w:rPr>
          <w:rFonts w:ascii="Times New Roman" w:hAnsi="Times New Roman" w:eastAsia="方正仿宋_GBK"/>
          <w:b w:val="0"/>
          <w:bCs/>
          <w:sz w:val="32"/>
          <w:szCs w:val="32"/>
        </w:rPr>
        <w:t>2</w:t>
      </w:r>
      <w:r>
        <w:rPr>
          <w:rFonts w:hint="eastAsia" w:ascii="Times New Roman" w:hAnsi="Times New Roman" w:eastAsia="方正仿宋_GBK"/>
          <w:b w:val="0"/>
          <w:bCs/>
          <w:sz w:val="32"/>
          <w:szCs w:val="32"/>
        </w:rPr>
        <w:t>、事业收入：指事业单位开展专业业务活动及辅助活动所取得的收入。</w:t>
      </w:r>
    </w:p>
    <w:p>
      <w:pPr>
        <w:tabs>
          <w:tab w:val="left" w:pos="11490"/>
        </w:tabs>
        <w:ind w:firstLine="640" w:firstLineChars="200"/>
        <w:rPr>
          <w:rFonts w:hint="eastAsia" w:ascii="仿宋" w:hAnsi="仿宋" w:eastAsia="仿宋" w:cs="仿宋"/>
          <w:b w:val="0"/>
          <w:bCs/>
          <w:sz w:val="32"/>
          <w:szCs w:val="32"/>
        </w:rPr>
      </w:pPr>
      <w:r>
        <w:rPr>
          <w:rFonts w:ascii="Times New Roman" w:hAnsi="Times New Roman" w:eastAsia="方正仿宋_GBK"/>
          <w:b w:val="0"/>
          <w:bCs/>
          <w:sz w:val="32"/>
          <w:szCs w:val="32"/>
        </w:rPr>
        <w:t>3</w:t>
      </w:r>
      <w:r>
        <w:rPr>
          <w:rFonts w:hint="eastAsia" w:ascii="Times New Roman" w:hAnsi="Times New Roman" w:eastAsia="方正仿宋_GBK"/>
          <w:b w:val="0"/>
          <w:bCs/>
          <w:sz w:val="32"/>
          <w:szCs w:val="32"/>
        </w:rPr>
        <w:t>、其他收入：</w:t>
      </w:r>
      <w:r>
        <w:rPr>
          <w:rFonts w:hint="eastAsia" w:ascii="仿宋" w:hAnsi="仿宋" w:eastAsia="仿宋" w:cs="仿宋"/>
          <w:b w:val="0"/>
          <w:bCs/>
          <w:sz w:val="32"/>
          <w:szCs w:val="32"/>
        </w:rPr>
        <w:t>指除“一般公共预算拨款收入”、“事业收入”等以外的收入。主要是按规定动用的租房收入、存款利息收入等。</w:t>
      </w:r>
    </w:p>
    <w:p>
      <w:pPr>
        <w:tabs>
          <w:tab w:val="left" w:pos="11490"/>
        </w:tabs>
        <w:ind w:firstLine="640" w:firstLineChars="200"/>
        <w:rPr>
          <w:rFonts w:hint="eastAsia" w:ascii="仿宋" w:hAnsi="仿宋" w:eastAsia="仿宋" w:cs="仿宋"/>
          <w:b w:val="0"/>
          <w:bCs/>
          <w:sz w:val="32"/>
          <w:szCs w:val="32"/>
        </w:rPr>
      </w:pPr>
      <w:r>
        <w:rPr>
          <w:rFonts w:ascii="Times New Roman" w:hAnsi="Times New Roman" w:eastAsia="方正仿宋_GBK"/>
          <w:b w:val="0"/>
          <w:bCs/>
          <w:sz w:val="32"/>
          <w:szCs w:val="32"/>
        </w:rPr>
        <w:t>4</w:t>
      </w:r>
      <w:r>
        <w:rPr>
          <w:rFonts w:hint="eastAsia" w:ascii="Times New Roman" w:hAnsi="Times New Roman" w:eastAsia="方正仿宋_GBK"/>
          <w:b w:val="0"/>
          <w:bCs/>
          <w:sz w:val="32"/>
          <w:szCs w:val="32"/>
        </w:rPr>
        <w:t>、基本支出：</w:t>
      </w:r>
      <w:r>
        <w:rPr>
          <w:rFonts w:hint="eastAsia" w:ascii="仿宋" w:hAnsi="仿宋" w:eastAsia="仿宋" w:cs="仿宋"/>
          <w:b w:val="0"/>
          <w:bCs/>
          <w:sz w:val="32"/>
          <w:szCs w:val="32"/>
        </w:rPr>
        <w:t>指为保障机构正常运转、完成日常工作任务而发生的人员支出和公用支出。</w:t>
      </w:r>
    </w:p>
    <w:p>
      <w:pPr>
        <w:tabs>
          <w:tab w:val="left" w:pos="11490"/>
        </w:tabs>
        <w:ind w:firstLine="640" w:firstLineChars="200"/>
        <w:rPr>
          <w:rFonts w:ascii="Times New Roman" w:hAnsi="Times New Roman" w:eastAsia="方正仿宋_GBK"/>
          <w:b w:val="0"/>
          <w:bCs/>
          <w:sz w:val="32"/>
          <w:szCs w:val="32"/>
        </w:rPr>
      </w:pPr>
      <w:r>
        <w:rPr>
          <w:rFonts w:ascii="Times New Roman" w:hAnsi="Times New Roman" w:eastAsia="方正仿宋_GBK"/>
          <w:b w:val="0"/>
          <w:bCs/>
          <w:sz w:val="32"/>
          <w:szCs w:val="32"/>
        </w:rPr>
        <w:t>5</w:t>
      </w:r>
      <w:r>
        <w:rPr>
          <w:rFonts w:hint="eastAsia" w:ascii="Times New Roman" w:hAnsi="Times New Roman" w:eastAsia="方正仿宋_GBK"/>
          <w:b w:val="0"/>
          <w:bCs/>
          <w:sz w:val="32"/>
          <w:szCs w:val="32"/>
        </w:rPr>
        <w:t>、项目支出：</w:t>
      </w:r>
      <w:r>
        <w:rPr>
          <w:rFonts w:hint="eastAsia" w:ascii="仿宋" w:hAnsi="仿宋" w:eastAsia="仿宋" w:cs="仿宋"/>
          <w:b w:val="0"/>
          <w:bCs/>
          <w:sz w:val="32"/>
          <w:szCs w:val="32"/>
        </w:rPr>
        <w:t>指在基本支出之外为完成特定行政任务和事业发展目标所发生的支出。</w:t>
      </w:r>
    </w:p>
    <w:p>
      <w:pPr>
        <w:tabs>
          <w:tab w:val="left" w:pos="11490"/>
        </w:tabs>
        <w:ind w:firstLine="640" w:firstLineChars="200"/>
        <w:rPr>
          <w:rFonts w:hint="eastAsia" w:ascii="仿宋" w:hAnsi="仿宋" w:eastAsia="仿宋" w:cs="仿宋"/>
          <w:b w:val="0"/>
          <w:bCs/>
          <w:sz w:val="32"/>
          <w:szCs w:val="32"/>
        </w:rPr>
      </w:pPr>
      <w:r>
        <w:rPr>
          <w:rFonts w:ascii="Times New Roman" w:hAnsi="Times New Roman" w:eastAsia="方正仿宋_GBK"/>
          <w:b w:val="0"/>
          <w:bCs/>
          <w:sz w:val="32"/>
          <w:szCs w:val="32"/>
        </w:rPr>
        <w:t>6</w:t>
      </w:r>
      <w:r>
        <w:rPr>
          <w:rFonts w:hint="eastAsia" w:ascii="Times New Roman" w:hAnsi="Times New Roman" w:eastAsia="方正仿宋_GBK"/>
          <w:b w:val="0"/>
          <w:bCs/>
          <w:sz w:val="32"/>
          <w:szCs w:val="32"/>
        </w:rPr>
        <w:t>、上缴上级支出：</w:t>
      </w:r>
      <w:r>
        <w:rPr>
          <w:rFonts w:hint="eastAsia" w:ascii="仿宋" w:hAnsi="仿宋" w:eastAsia="仿宋" w:cs="仿宋"/>
          <w:b w:val="0"/>
          <w:bCs/>
          <w:sz w:val="32"/>
          <w:szCs w:val="32"/>
        </w:rPr>
        <w:t>指下级单位上缴上级的支出。</w:t>
      </w:r>
    </w:p>
    <w:p>
      <w:pPr>
        <w:tabs>
          <w:tab w:val="left" w:pos="11490"/>
        </w:tabs>
        <w:ind w:firstLine="640" w:firstLineChars="200"/>
        <w:rPr>
          <w:rFonts w:ascii="Times New Roman" w:hAnsi="Times New Roman" w:eastAsia="方正仿宋_GBK"/>
          <w:b w:val="0"/>
          <w:bCs w:val="0"/>
          <w:sz w:val="32"/>
          <w:szCs w:val="32"/>
        </w:rPr>
      </w:pPr>
      <w:r>
        <w:rPr>
          <w:rFonts w:ascii="Times New Roman" w:hAnsi="Times New Roman" w:eastAsia="方正仿宋_GBK"/>
          <w:b w:val="0"/>
          <w:bCs/>
          <w:sz w:val="32"/>
          <w:szCs w:val="32"/>
        </w:rPr>
        <w:t>7</w:t>
      </w:r>
      <w:r>
        <w:rPr>
          <w:rFonts w:hint="eastAsia" w:ascii="Times New Roman" w:hAnsi="Times New Roman" w:eastAsia="方正仿宋_GBK"/>
          <w:b w:val="0"/>
          <w:bCs/>
          <w:sz w:val="32"/>
          <w:szCs w:val="32"/>
        </w:rPr>
        <w:t>、</w:t>
      </w:r>
      <w:r>
        <w:rPr>
          <w:rFonts w:ascii="Times New Roman" w:hAnsi="Times New Roman" w:eastAsia="方正仿宋_GBK"/>
          <w:b w:val="0"/>
          <w:bCs/>
          <w:sz w:val="32"/>
          <w:szCs w:val="32"/>
        </w:rPr>
        <w:t>“</w:t>
      </w:r>
      <w:r>
        <w:rPr>
          <w:rFonts w:hint="eastAsia" w:ascii="Times New Roman" w:hAnsi="Times New Roman" w:eastAsia="方正仿宋_GBK"/>
          <w:b w:val="0"/>
          <w:bCs/>
          <w:sz w:val="32"/>
          <w:szCs w:val="32"/>
        </w:rPr>
        <w:t>三公</w:t>
      </w:r>
      <w:r>
        <w:rPr>
          <w:rFonts w:ascii="Times New Roman" w:hAnsi="Times New Roman" w:eastAsia="方正仿宋_GBK"/>
          <w:b w:val="0"/>
          <w:bCs/>
          <w:sz w:val="32"/>
          <w:szCs w:val="32"/>
        </w:rPr>
        <w:t>”</w:t>
      </w:r>
      <w:r>
        <w:rPr>
          <w:rFonts w:hint="eastAsia" w:ascii="Times New Roman" w:hAnsi="Times New Roman" w:eastAsia="方正仿宋_GBK"/>
          <w:b w:val="0"/>
          <w:bCs/>
          <w:sz w:val="32"/>
          <w:szCs w:val="32"/>
        </w:rPr>
        <w:t>经费：</w:t>
      </w:r>
      <w:r>
        <w:rPr>
          <w:rFonts w:hint="eastAsia" w:ascii="仿宋" w:hAnsi="仿宋" w:eastAsia="仿宋" w:cs="仿宋"/>
          <w:sz w:val="32"/>
          <w:szCs w:val="32"/>
        </w:rPr>
        <w:t>纳入</w:t>
      </w:r>
      <w:r>
        <w:rPr>
          <w:rFonts w:hint="eastAsia" w:ascii="仿宋" w:hAnsi="仿宋" w:eastAsia="仿宋" w:cs="仿宋"/>
          <w:sz w:val="32"/>
          <w:szCs w:val="32"/>
          <w:lang w:eastAsia="zh-CN"/>
        </w:rPr>
        <w:t>县</w:t>
      </w:r>
      <w:r>
        <w:rPr>
          <w:rFonts w:hint="eastAsia" w:ascii="仿宋" w:hAnsi="仿宋" w:eastAsia="仿宋" w:cs="仿宋"/>
          <w:sz w:val="32"/>
          <w:szCs w:val="32"/>
        </w:rPr>
        <w:t>级财政预算管理的“三公”经费，是指</w:t>
      </w:r>
      <w:r>
        <w:rPr>
          <w:rFonts w:hint="eastAsia" w:ascii="仿宋" w:hAnsi="仿宋" w:eastAsia="仿宋" w:cs="仿宋"/>
          <w:sz w:val="32"/>
          <w:szCs w:val="32"/>
          <w:lang w:eastAsia="zh-CN"/>
        </w:rPr>
        <w:t>县</w:t>
      </w:r>
      <w:r>
        <w:rPr>
          <w:rFonts w:hint="eastAsia" w:ascii="仿宋" w:hAnsi="仿宋"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w:t>
      </w:r>
      <w:r>
        <w:rPr>
          <w:rFonts w:hint="eastAsia" w:ascii="仿宋" w:hAnsi="仿宋" w:eastAsia="仿宋" w:cs="仿宋"/>
          <w:b w:val="0"/>
          <w:bCs w:val="0"/>
          <w:sz w:val="32"/>
          <w:szCs w:val="32"/>
        </w:rPr>
        <w:t>支的各类公务接待（含外宾接待）支出。</w:t>
      </w:r>
    </w:p>
    <w:p>
      <w:pPr>
        <w:tabs>
          <w:tab w:val="left" w:pos="11490"/>
        </w:tabs>
        <w:ind w:firstLine="640" w:firstLineChars="200"/>
        <w:rPr>
          <w:rFonts w:ascii="Times New Roman" w:hAnsi="Times New Roman" w:eastAsia="方正仿宋_GBK"/>
          <w:b w:val="0"/>
          <w:bCs w:val="0"/>
          <w:sz w:val="32"/>
          <w:szCs w:val="32"/>
        </w:rPr>
      </w:pPr>
      <w:r>
        <w:rPr>
          <w:rFonts w:ascii="Times New Roman" w:hAnsi="Times New Roman" w:eastAsia="方正仿宋_GBK"/>
          <w:b w:val="0"/>
          <w:bCs w:val="0"/>
          <w:sz w:val="32"/>
          <w:szCs w:val="32"/>
        </w:rPr>
        <w:t>8</w:t>
      </w:r>
      <w:r>
        <w:rPr>
          <w:rFonts w:hint="eastAsia" w:ascii="Times New Roman" w:hAnsi="Times New Roman" w:eastAsia="方正仿宋_GBK"/>
          <w:b w:val="0"/>
          <w:bCs w:val="0"/>
          <w:sz w:val="32"/>
          <w:szCs w:val="32"/>
        </w:rPr>
        <w:t>、机关运行费：</w:t>
      </w:r>
      <w:r>
        <w:rPr>
          <w:rFonts w:hint="eastAsia" w:ascii="仿宋" w:hAnsi="仿宋" w:eastAsia="仿宋" w:cs="仿宋"/>
          <w:b w:val="0"/>
          <w:bCs w:val="0"/>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val="0"/>
          <w:bCs w:val="0"/>
          <w:sz w:val="32"/>
          <w:szCs w:val="32"/>
        </w:rPr>
        <w:t>9</w:t>
      </w:r>
      <w:r>
        <w:rPr>
          <w:rFonts w:hint="eastAsia" w:ascii="Times New Roman" w:hAnsi="Times New Roman" w:eastAsia="方正仿宋_GBK"/>
          <w:b w:val="0"/>
          <w:bCs w:val="0"/>
          <w:sz w:val="32"/>
          <w:szCs w:val="32"/>
        </w:rPr>
        <w:t>、上年结转：</w:t>
      </w:r>
      <w:r>
        <w:rPr>
          <w:rFonts w:hint="eastAsia" w:ascii="仿宋" w:hAnsi="仿宋" w:eastAsia="仿宋" w:cs="仿宋"/>
          <w:sz w:val="32"/>
          <w:szCs w:val="32"/>
        </w:rPr>
        <w:t>指以前年度尚未完成、结转到本年仍按原规定用途继续使用的资金。</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lang w:eastAsia="zh-CN"/>
        </w:rPr>
        <w:t>九</w:t>
      </w:r>
      <w:r>
        <w:rPr>
          <w:rFonts w:hint="eastAsia" w:ascii="黑体" w:hAnsi="黑体" w:eastAsia="黑体"/>
          <w:sz w:val="32"/>
          <w:szCs w:val="32"/>
        </w:rPr>
        <w:t>、其他需要说明的事项</w:t>
      </w:r>
    </w:p>
    <w:p>
      <w:pPr>
        <w:ind w:firstLine="640" w:firstLineChars="200"/>
        <w:rPr>
          <w:rFonts w:ascii="宋体" w:cs="宋体"/>
        </w:rPr>
        <w:sectPr>
          <w:headerReference r:id="rId3" w:type="default"/>
          <w:footerReference r:id="rId4" w:type="default"/>
          <w:pgSz w:w="16839" w:h="11907" w:orient="landscape"/>
          <w:pgMar w:top="1304" w:right="1985" w:bottom="1304" w:left="1134" w:header="851" w:footer="992" w:gutter="0"/>
          <w:cols w:space="720" w:num="1"/>
          <w:docGrid w:type="linesAndChars" w:linePitch="312" w:charSpace="0"/>
        </w:sectPr>
      </w:pPr>
      <w:r>
        <w:rPr>
          <w:rFonts w:hint="eastAsia" w:ascii="仿宋_GB2312" w:hAnsi="Times New Roman" w:eastAsia="仿宋_GB2312"/>
          <w:sz w:val="32"/>
          <w:szCs w:val="32"/>
        </w:rPr>
        <w:t>我部门无其他需要说明的</w:t>
      </w:r>
    </w:p>
    <w:bookmarkEnd w:id="0"/>
    <w:p>
      <w:pPr>
        <w:autoSpaceDE w:val="0"/>
        <w:autoSpaceDN w:val="0"/>
        <w:adjustRightInd w:val="0"/>
        <w:jc w:val="left"/>
      </w:pPr>
    </w:p>
    <w:sectPr>
      <w:headerReference r:id="rId7" w:type="first"/>
      <w:footerReference r:id="rId10" w:type="first"/>
      <w:headerReference r:id="rId5" w:type="default"/>
      <w:footerReference r:id="rId8" w:type="default"/>
      <w:headerReference r:id="rId6" w:type="even"/>
      <w:footerReference r:id="rId9" w:type="even"/>
      <w:pgSz w:w="11907" w:h="16839"/>
      <w:pgMar w:top="1985" w:right="1304" w:bottom="1134" w:left="130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8420" cy="278765"/>
              <wp:effectExtent l="0" t="0" r="0" b="0"/>
              <wp:wrapNone/>
              <wp:docPr id="1" name="文本框 7"/>
              <wp:cNvGraphicFramePr/>
              <a:graphic xmlns:a="http://schemas.openxmlformats.org/drawingml/2006/main">
                <a:graphicData uri="http://schemas.microsoft.com/office/word/2010/wordprocessingShape">
                  <wps:wsp>
                    <wps:cNvSpPr txBox="1"/>
                    <wps:spPr>
                      <a:xfrm>
                        <a:off x="0" y="0"/>
                        <a:ext cx="58420" cy="278765"/>
                      </a:xfrm>
                      <a:prstGeom prst="rect">
                        <a:avLst/>
                      </a:prstGeom>
                      <a:noFill/>
                      <a:ln>
                        <a:noFill/>
                      </a:ln>
                    </wps:spPr>
                    <wps:txbx>
                      <w:txbxContent>
                        <w:p>
                          <w:pPr>
                            <w:pStyle w:val="5"/>
                            <w:rPr>
                              <w:rStyle w:val="12"/>
                            </w:rPr>
                          </w:pPr>
                          <w:r>
                            <w:rPr>
                              <w:rStyle w:val="12"/>
                            </w:rPr>
                            <w:fldChar w:fldCharType="begin"/>
                          </w:r>
                          <w:r>
                            <w:rPr>
                              <w:rStyle w:val="12"/>
                            </w:rPr>
                            <w:instrText xml:space="preserve">PAGE  </w:instrText>
                          </w:r>
                          <w:r>
                            <w:rPr>
                              <w:rStyle w:val="12"/>
                            </w:rPr>
                            <w:fldChar w:fldCharType="separate"/>
                          </w:r>
                          <w:r>
                            <w:rPr>
                              <w:rStyle w:val="12"/>
                            </w:rPr>
                            <w:t>18</w:t>
                          </w:r>
                          <w:r>
                            <w:rPr>
                              <w:rStyle w:val="12"/>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21.95pt;width:4.6pt;mso-position-horizontal:center;mso-position-horizontal-relative:margin;mso-wrap-style:none;z-index:251659264;mso-width-relative:page;mso-height-relative:page;" filled="f" stroked="f" coordsize="21600,21600" o:gfxdata="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Jb4oDrRAAAAAgEAAA8AAAAAAAAAAQAgAAAAIgAAAGRycy9kb3du&#10;cmV2LnhtbFBLAQIUABQAAAAIAIdO4kDu1YL7zQEAAJYDAAAOAAAAAAAAAAEAIAAAACABAABkcnMv&#10;ZTJvRG9jLnhtbFBLBQYAAAAABgAGAFkBAABfBQAAAAA=&#10;">
              <v:fill on="f" focussize="0,0"/>
              <v:stroke on="f"/>
              <v:imagedata o:title=""/>
              <o:lock v:ext="edit" aspectratio="f"/>
              <v:textbox inset="0mm,0mm,0mm,0mm" style="mso-fit-shape-to-text:t;">
                <w:txbxContent>
                  <w:p>
                    <w:pPr>
                      <w:pStyle w:val="5"/>
                      <w:rPr>
                        <w:rStyle w:val="12"/>
                      </w:rPr>
                    </w:pPr>
                    <w:r>
                      <w:rPr>
                        <w:rStyle w:val="12"/>
                      </w:rPr>
                      <w:fldChar w:fldCharType="begin"/>
                    </w:r>
                    <w:r>
                      <w:rPr>
                        <w:rStyle w:val="12"/>
                      </w:rPr>
                      <w:instrText xml:space="preserve">PAGE  </w:instrText>
                    </w:r>
                    <w:r>
                      <w:rPr>
                        <w:rStyle w:val="12"/>
                      </w:rPr>
                      <w:fldChar w:fldCharType="separate"/>
                    </w:r>
                    <w:r>
                      <w:rPr>
                        <w:rStyle w:val="12"/>
                      </w:rPr>
                      <w:t>18</w:t>
                    </w:r>
                    <w:r>
                      <w:rPr>
                        <w:rStyle w:val="12"/>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A57CDA5"/>
    <w:multiLevelType w:val="singleLevel"/>
    <w:tmpl w:val="0A57CDA5"/>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4"/>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RjMjA3MDdiY2RiYWE5OWMwNzlhNDY1ZmRhOWMwM2QifQ=="/>
  </w:docVars>
  <w:rsids>
    <w:rsidRoot w:val="00F66032"/>
    <w:rsid w:val="00001E74"/>
    <w:rsid w:val="00004436"/>
    <w:rsid w:val="00020BC9"/>
    <w:rsid w:val="00034786"/>
    <w:rsid w:val="00037AF6"/>
    <w:rsid w:val="000405D0"/>
    <w:rsid w:val="0004257D"/>
    <w:rsid w:val="00042F57"/>
    <w:rsid w:val="00054CDC"/>
    <w:rsid w:val="0006483E"/>
    <w:rsid w:val="000658A6"/>
    <w:rsid w:val="000677CB"/>
    <w:rsid w:val="00074766"/>
    <w:rsid w:val="00075D5F"/>
    <w:rsid w:val="0008102F"/>
    <w:rsid w:val="00086527"/>
    <w:rsid w:val="00087AAF"/>
    <w:rsid w:val="000B529B"/>
    <w:rsid w:val="000C3A19"/>
    <w:rsid w:val="000D52E9"/>
    <w:rsid w:val="000E1F02"/>
    <w:rsid w:val="000E617A"/>
    <w:rsid w:val="000E7D3F"/>
    <w:rsid w:val="00104D5C"/>
    <w:rsid w:val="001245BB"/>
    <w:rsid w:val="001251A3"/>
    <w:rsid w:val="00133E19"/>
    <w:rsid w:val="001364F4"/>
    <w:rsid w:val="00145C78"/>
    <w:rsid w:val="00146AA7"/>
    <w:rsid w:val="00160D6E"/>
    <w:rsid w:val="00170CAA"/>
    <w:rsid w:val="00170D1F"/>
    <w:rsid w:val="0018714B"/>
    <w:rsid w:val="0019071F"/>
    <w:rsid w:val="00191B75"/>
    <w:rsid w:val="001A149B"/>
    <w:rsid w:val="001B4EF3"/>
    <w:rsid w:val="001B5B76"/>
    <w:rsid w:val="001D42D2"/>
    <w:rsid w:val="001E0757"/>
    <w:rsid w:val="001F5ED5"/>
    <w:rsid w:val="001F7873"/>
    <w:rsid w:val="001F7B5A"/>
    <w:rsid w:val="00201B2D"/>
    <w:rsid w:val="002174E4"/>
    <w:rsid w:val="00221DDC"/>
    <w:rsid w:val="00237E4E"/>
    <w:rsid w:val="00241FD4"/>
    <w:rsid w:val="00251B12"/>
    <w:rsid w:val="00296113"/>
    <w:rsid w:val="002A673A"/>
    <w:rsid w:val="002B4DAA"/>
    <w:rsid w:val="002C07BE"/>
    <w:rsid w:val="002C5E13"/>
    <w:rsid w:val="002C62BC"/>
    <w:rsid w:val="002C7DF9"/>
    <w:rsid w:val="002D3AEA"/>
    <w:rsid w:val="002D7683"/>
    <w:rsid w:val="002E0EB8"/>
    <w:rsid w:val="002E65C2"/>
    <w:rsid w:val="002F126F"/>
    <w:rsid w:val="002F1536"/>
    <w:rsid w:val="002F3E58"/>
    <w:rsid w:val="0030542C"/>
    <w:rsid w:val="00311B7A"/>
    <w:rsid w:val="00322EC1"/>
    <w:rsid w:val="00343CD7"/>
    <w:rsid w:val="0035104D"/>
    <w:rsid w:val="00372FA3"/>
    <w:rsid w:val="00394A20"/>
    <w:rsid w:val="003A6A7D"/>
    <w:rsid w:val="003B2422"/>
    <w:rsid w:val="003D24CB"/>
    <w:rsid w:val="003D2C83"/>
    <w:rsid w:val="003D417F"/>
    <w:rsid w:val="003E1B80"/>
    <w:rsid w:val="003F60E9"/>
    <w:rsid w:val="00400F01"/>
    <w:rsid w:val="00407D08"/>
    <w:rsid w:val="004248B8"/>
    <w:rsid w:val="00424943"/>
    <w:rsid w:val="004315C7"/>
    <w:rsid w:val="0043175C"/>
    <w:rsid w:val="0043380A"/>
    <w:rsid w:val="00436327"/>
    <w:rsid w:val="00437296"/>
    <w:rsid w:val="00451590"/>
    <w:rsid w:val="00451871"/>
    <w:rsid w:val="0045609B"/>
    <w:rsid w:val="00461F76"/>
    <w:rsid w:val="004631FC"/>
    <w:rsid w:val="004706DE"/>
    <w:rsid w:val="00472923"/>
    <w:rsid w:val="00485694"/>
    <w:rsid w:val="0049455E"/>
    <w:rsid w:val="00496109"/>
    <w:rsid w:val="004A6DB1"/>
    <w:rsid w:val="004B0C3A"/>
    <w:rsid w:val="004D3AC8"/>
    <w:rsid w:val="004D5788"/>
    <w:rsid w:val="004E1BD7"/>
    <w:rsid w:val="004E3066"/>
    <w:rsid w:val="004E74CD"/>
    <w:rsid w:val="005024BE"/>
    <w:rsid w:val="005069C1"/>
    <w:rsid w:val="00516094"/>
    <w:rsid w:val="00516E04"/>
    <w:rsid w:val="00545D0E"/>
    <w:rsid w:val="00565588"/>
    <w:rsid w:val="00572067"/>
    <w:rsid w:val="00573562"/>
    <w:rsid w:val="005737E8"/>
    <w:rsid w:val="00590ECE"/>
    <w:rsid w:val="00591078"/>
    <w:rsid w:val="005911E4"/>
    <w:rsid w:val="005915C2"/>
    <w:rsid w:val="00592ADD"/>
    <w:rsid w:val="005A2F44"/>
    <w:rsid w:val="005C5CF5"/>
    <w:rsid w:val="00602878"/>
    <w:rsid w:val="00605A11"/>
    <w:rsid w:val="00612D3C"/>
    <w:rsid w:val="00614A29"/>
    <w:rsid w:val="0061668A"/>
    <w:rsid w:val="0062201D"/>
    <w:rsid w:val="006364A7"/>
    <w:rsid w:val="00637255"/>
    <w:rsid w:val="00643AA7"/>
    <w:rsid w:val="00650D4B"/>
    <w:rsid w:val="00653C6B"/>
    <w:rsid w:val="0066346C"/>
    <w:rsid w:val="00673D76"/>
    <w:rsid w:val="00674CD7"/>
    <w:rsid w:val="00681162"/>
    <w:rsid w:val="006854F0"/>
    <w:rsid w:val="0069624B"/>
    <w:rsid w:val="006A0542"/>
    <w:rsid w:val="006A1B2A"/>
    <w:rsid w:val="006B1C4A"/>
    <w:rsid w:val="006B610D"/>
    <w:rsid w:val="006D2233"/>
    <w:rsid w:val="006E49F5"/>
    <w:rsid w:val="006E7E97"/>
    <w:rsid w:val="006F2193"/>
    <w:rsid w:val="007013C8"/>
    <w:rsid w:val="00704330"/>
    <w:rsid w:val="00717B1E"/>
    <w:rsid w:val="00746441"/>
    <w:rsid w:val="00753836"/>
    <w:rsid w:val="0075393C"/>
    <w:rsid w:val="00754592"/>
    <w:rsid w:val="00757DCE"/>
    <w:rsid w:val="007701B8"/>
    <w:rsid w:val="0077207E"/>
    <w:rsid w:val="00776C08"/>
    <w:rsid w:val="00786726"/>
    <w:rsid w:val="00792F3A"/>
    <w:rsid w:val="007C180B"/>
    <w:rsid w:val="007C219A"/>
    <w:rsid w:val="007C4F9B"/>
    <w:rsid w:val="007D50B5"/>
    <w:rsid w:val="007E1DA8"/>
    <w:rsid w:val="007E4BA0"/>
    <w:rsid w:val="007E4D52"/>
    <w:rsid w:val="007F6C26"/>
    <w:rsid w:val="00813208"/>
    <w:rsid w:val="00822135"/>
    <w:rsid w:val="0083214F"/>
    <w:rsid w:val="008334AE"/>
    <w:rsid w:val="00836FED"/>
    <w:rsid w:val="0083724E"/>
    <w:rsid w:val="00845CD2"/>
    <w:rsid w:val="00852B0D"/>
    <w:rsid w:val="00863385"/>
    <w:rsid w:val="00881692"/>
    <w:rsid w:val="00883D1A"/>
    <w:rsid w:val="008934A3"/>
    <w:rsid w:val="008A25C2"/>
    <w:rsid w:val="008A6576"/>
    <w:rsid w:val="008B3CC5"/>
    <w:rsid w:val="008B52CD"/>
    <w:rsid w:val="008D42CC"/>
    <w:rsid w:val="008E4261"/>
    <w:rsid w:val="008F4662"/>
    <w:rsid w:val="00900BF9"/>
    <w:rsid w:val="00904CDD"/>
    <w:rsid w:val="00905D08"/>
    <w:rsid w:val="00925753"/>
    <w:rsid w:val="00931831"/>
    <w:rsid w:val="009425F4"/>
    <w:rsid w:val="009537C8"/>
    <w:rsid w:val="00965683"/>
    <w:rsid w:val="00966C5C"/>
    <w:rsid w:val="0097130F"/>
    <w:rsid w:val="00972D31"/>
    <w:rsid w:val="00973104"/>
    <w:rsid w:val="00987029"/>
    <w:rsid w:val="00987706"/>
    <w:rsid w:val="00995BF0"/>
    <w:rsid w:val="009A16D5"/>
    <w:rsid w:val="009A353D"/>
    <w:rsid w:val="009B0B77"/>
    <w:rsid w:val="009B511E"/>
    <w:rsid w:val="009D3DF1"/>
    <w:rsid w:val="009E0BB0"/>
    <w:rsid w:val="00A02FED"/>
    <w:rsid w:val="00A0345F"/>
    <w:rsid w:val="00A42BFB"/>
    <w:rsid w:val="00A44E3D"/>
    <w:rsid w:val="00A62942"/>
    <w:rsid w:val="00A72D2E"/>
    <w:rsid w:val="00A7347D"/>
    <w:rsid w:val="00A74447"/>
    <w:rsid w:val="00A74CE5"/>
    <w:rsid w:val="00A75DBE"/>
    <w:rsid w:val="00A910D2"/>
    <w:rsid w:val="00A911E7"/>
    <w:rsid w:val="00A939D9"/>
    <w:rsid w:val="00AC6958"/>
    <w:rsid w:val="00AD08A2"/>
    <w:rsid w:val="00AD32B2"/>
    <w:rsid w:val="00AF1C21"/>
    <w:rsid w:val="00AF4530"/>
    <w:rsid w:val="00B03617"/>
    <w:rsid w:val="00B07D9E"/>
    <w:rsid w:val="00B12122"/>
    <w:rsid w:val="00B20712"/>
    <w:rsid w:val="00B33B75"/>
    <w:rsid w:val="00B43238"/>
    <w:rsid w:val="00B45DD3"/>
    <w:rsid w:val="00B52632"/>
    <w:rsid w:val="00B727A9"/>
    <w:rsid w:val="00B75216"/>
    <w:rsid w:val="00B84D97"/>
    <w:rsid w:val="00B91D52"/>
    <w:rsid w:val="00B92986"/>
    <w:rsid w:val="00B9490F"/>
    <w:rsid w:val="00BA1ACD"/>
    <w:rsid w:val="00BA4785"/>
    <w:rsid w:val="00BA534E"/>
    <w:rsid w:val="00BB1A2F"/>
    <w:rsid w:val="00BD09F8"/>
    <w:rsid w:val="00BD4B2D"/>
    <w:rsid w:val="00BE0E8E"/>
    <w:rsid w:val="00C0360F"/>
    <w:rsid w:val="00C06277"/>
    <w:rsid w:val="00C16800"/>
    <w:rsid w:val="00C35176"/>
    <w:rsid w:val="00C46530"/>
    <w:rsid w:val="00C570A2"/>
    <w:rsid w:val="00C667DC"/>
    <w:rsid w:val="00C67658"/>
    <w:rsid w:val="00C67C66"/>
    <w:rsid w:val="00C7719B"/>
    <w:rsid w:val="00CA59B0"/>
    <w:rsid w:val="00CA7176"/>
    <w:rsid w:val="00CB3D48"/>
    <w:rsid w:val="00CB4665"/>
    <w:rsid w:val="00CC75B0"/>
    <w:rsid w:val="00CD0BF2"/>
    <w:rsid w:val="00CD1AE7"/>
    <w:rsid w:val="00CD23E7"/>
    <w:rsid w:val="00CD2773"/>
    <w:rsid w:val="00CD31CC"/>
    <w:rsid w:val="00CE143B"/>
    <w:rsid w:val="00CE3D34"/>
    <w:rsid w:val="00CF3455"/>
    <w:rsid w:val="00CF6673"/>
    <w:rsid w:val="00D0024A"/>
    <w:rsid w:val="00D01660"/>
    <w:rsid w:val="00D17ABB"/>
    <w:rsid w:val="00D27003"/>
    <w:rsid w:val="00D4166E"/>
    <w:rsid w:val="00D440D6"/>
    <w:rsid w:val="00D62DBD"/>
    <w:rsid w:val="00D97D00"/>
    <w:rsid w:val="00DA7FF9"/>
    <w:rsid w:val="00DB4A9B"/>
    <w:rsid w:val="00DC6F06"/>
    <w:rsid w:val="00DD38EC"/>
    <w:rsid w:val="00DE0873"/>
    <w:rsid w:val="00DE666F"/>
    <w:rsid w:val="00E167C7"/>
    <w:rsid w:val="00E2482E"/>
    <w:rsid w:val="00E273A5"/>
    <w:rsid w:val="00E34E80"/>
    <w:rsid w:val="00E41AAA"/>
    <w:rsid w:val="00E61DF2"/>
    <w:rsid w:val="00E70C0A"/>
    <w:rsid w:val="00E73D47"/>
    <w:rsid w:val="00E76E4E"/>
    <w:rsid w:val="00E82C63"/>
    <w:rsid w:val="00E91254"/>
    <w:rsid w:val="00EA3186"/>
    <w:rsid w:val="00EA7492"/>
    <w:rsid w:val="00EB1BEC"/>
    <w:rsid w:val="00EC2F6B"/>
    <w:rsid w:val="00EC4247"/>
    <w:rsid w:val="00EC47F6"/>
    <w:rsid w:val="00ED2F22"/>
    <w:rsid w:val="00ED7CF6"/>
    <w:rsid w:val="00EE62A0"/>
    <w:rsid w:val="00EE65B8"/>
    <w:rsid w:val="00EF06C7"/>
    <w:rsid w:val="00F10008"/>
    <w:rsid w:val="00F149E2"/>
    <w:rsid w:val="00F159B6"/>
    <w:rsid w:val="00F40CD8"/>
    <w:rsid w:val="00F449F1"/>
    <w:rsid w:val="00F66032"/>
    <w:rsid w:val="00F728BF"/>
    <w:rsid w:val="00F72D63"/>
    <w:rsid w:val="00F87A16"/>
    <w:rsid w:val="00F87C1E"/>
    <w:rsid w:val="00F93AD4"/>
    <w:rsid w:val="00F958C2"/>
    <w:rsid w:val="00F97C0C"/>
    <w:rsid w:val="00FA3D33"/>
    <w:rsid w:val="00FA66A5"/>
    <w:rsid w:val="00FB5FCB"/>
    <w:rsid w:val="00FC6F96"/>
    <w:rsid w:val="00FD351A"/>
    <w:rsid w:val="00FE75D7"/>
    <w:rsid w:val="00FF6131"/>
    <w:rsid w:val="03732C51"/>
    <w:rsid w:val="0505368F"/>
    <w:rsid w:val="0A9309E7"/>
    <w:rsid w:val="18F06A52"/>
    <w:rsid w:val="1959681B"/>
    <w:rsid w:val="37813AC3"/>
    <w:rsid w:val="3A98309C"/>
    <w:rsid w:val="4640506A"/>
    <w:rsid w:val="57224AC9"/>
    <w:rsid w:val="595F24F4"/>
    <w:rsid w:val="609906A0"/>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7"/>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8"/>
    <w:qFormat/>
    <w:locked/>
    <w:uiPriority w:val="99"/>
    <w:pPr>
      <w:keepNext/>
      <w:keepLines/>
      <w:spacing w:before="260" w:after="260" w:line="416" w:lineRule="auto"/>
      <w:outlineLvl w:val="1"/>
    </w:pPr>
    <w:rPr>
      <w:rFonts w:ascii="Cambria" w:hAnsi="Cambria"/>
      <w:b/>
      <w:sz w:val="32"/>
      <w:szCs w:val="20"/>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21"/>
    <w:semiHidden/>
    <w:qFormat/>
    <w:uiPriority w:val="99"/>
    <w:rPr>
      <w:kern w:val="0"/>
      <w:sz w:val="18"/>
      <w:szCs w:val="20"/>
    </w:rPr>
  </w:style>
  <w:style w:type="paragraph" w:styleId="5">
    <w:name w:val="footer"/>
    <w:basedOn w:val="1"/>
    <w:link w:val="20"/>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19"/>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footnote text"/>
    <w:basedOn w:val="1"/>
    <w:link w:val="23"/>
    <w:semiHidden/>
    <w:qFormat/>
    <w:uiPriority w:val="99"/>
    <w:pPr>
      <w:snapToGrid w:val="0"/>
      <w:jc w:val="left"/>
    </w:pPr>
    <w:rPr>
      <w:kern w:val="0"/>
      <w:sz w:val="18"/>
      <w:szCs w:val="20"/>
    </w:rPr>
  </w:style>
  <w:style w:type="paragraph" w:styleId="9">
    <w:name w:val="toc 2"/>
    <w:basedOn w:val="1"/>
    <w:next w:val="1"/>
    <w:qFormat/>
    <w:uiPriority w:val="99"/>
    <w:pPr>
      <w:ind w:left="420" w:leftChars="200"/>
    </w:pPr>
    <w:rPr>
      <w:rFonts w:ascii="Times New Roman" w:hAnsi="Times New Roman"/>
      <w:szCs w:val="24"/>
    </w:rPr>
  </w:style>
  <w:style w:type="character" w:styleId="12">
    <w:name w:val="page number"/>
    <w:semiHidden/>
    <w:qFormat/>
    <w:uiPriority w:val="99"/>
    <w:rPr>
      <w:rFonts w:cs="Times New Roman"/>
    </w:rPr>
  </w:style>
  <w:style w:type="character" w:styleId="13">
    <w:name w:val="Hyperlink"/>
    <w:qFormat/>
    <w:uiPriority w:val="99"/>
    <w:rPr>
      <w:rFonts w:cs="Times New Roman"/>
      <w:color w:val="0000FF"/>
      <w:u w:val="single"/>
    </w:rPr>
  </w:style>
  <w:style w:type="character" w:styleId="14">
    <w:name w:val="footnote reference"/>
    <w:semiHidden/>
    <w:qFormat/>
    <w:uiPriority w:val="99"/>
    <w:rPr>
      <w:rFonts w:cs="Times New Roman"/>
      <w:vertAlign w:val="superscript"/>
    </w:rPr>
  </w:style>
  <w:style w:type="character" w:customStyle="1" w:styleId="15">
    <w:name w:val="Heading 1 Char"/>
    <w:qFormat/>
    <w:locked/>
    <w:uiPriority w:val="99"/>
    <w:rPr>
      <w:rFonts w:cs="Times New Roman"/>
      <w:b/>
      <w:kern w:val="44"/>
      <w:sz w:val="44"/>
    </w:rPr>
  </w:style>
  <w:style w:type="character" w:customStyle="1" w:styleId="16">
    <w:name w:val="Heading 2 Char"/>
    <w:semiHidden/>
    <w:qFormat/>
    <w:locked/>
    <w:uiPriority w:val="99"/>
    <w:rPr>
      <w:rFonts w:ascii="Cambria" w:hAnsi="Cambria" w:eastAsia="宋体" w:cs="Times New Roman"/>
      <w:b/>
      <w:sz w:val="32"/>
    </w:rPr>
  </w:style>
  <w:style w:type="character" w:customStyle="1" w:styleId="17">
    <w:name w:val="标题 1 Char"/>
    <w:link w:val="2"/>
    <w:qFormat/>
    <w:locked/>
    <w:uiPriority w:val="99"/>
    <w:rPr>
      <w:rFonts w:ascii="Calibri" w:hAnsi="Calibri" w:eastAsia="宋体"/>
      <w:b/>
      <w:kern w:val="44"/>
      <w:sz w:val="44"/>
      <w:lang w:val="en-US" w:eastAsia="zh-CN"/>
    </w:rPr>
  </w:style>
  <w:style w:type="character" w:customStyle="1" w:styleId="18">
    <w:name w:val="标题 2 Char"/>
    <w:link w:val="3"/>
    <w:qFormat/>
    <w:locked/>
    <w:uiPriority w:val="99"/>
    <w:rPr>
      <w:rFonts w:ascii="Cambria" w:hAnsi="Cambria" w:eastAsia="宋体"/>
      <w:b/>
      <w:kern w:val="2"/>
      <w:sz w:val="32"/>
      <w:lang w:val="en-US" w:eastAsia="zh-CN"/>
    </w:rPr>
  </w:style>
  <w:style w:type="character" w:customStyle="1" w:styleId="19">
    <w:name w:val="页眉 Char"/>
    <w:link w:val="6"/>
    <w:qFormat/>
    <w:locked/>
    <w:uiPriority w:val="99"/>
    <w:rPr>
      <w:rFonts w:ascii="Times New Roman" w:hAnsi="Times New Roman" w:eastAsia="宋体" w:cs="Times New Roman"/>
      <w:sz w:val="18"/>
    </w:rPr>
  </w:style>
  <w:style w:type="character" w:customStyle="1" w:styleId="20">
    <w:name w:val="页脚 Char"/>
    <w:link w:val="5"/>
    <w:qFormat/>
    <w:locked/>
    <w:uiPriority w:val="99"/>
    <w:rPr>
      <w:rFonts w:ascii="Times New Roman" w:hAnsi="Times New Roman" w:eastAsia="宋体" w:cs="Times New Roman"/>
      <w:sz w:val="18"/>
    </w:rPr>
  </w:style>
  <w:style w:type="character" w:customStyle="1" w:styleId="21">
    <w:name w:val="批注框文本 Char"/>
    <w:link w:val="4"/>
    <w:semiHidden/>
    <w:qFormat/>
    <w:locked/>
    <w:uiPriority w:val="99"/>
    <w:rPr>
      <w:rFonts w:cs="Times New Roman"/>
      <w:sz w:val="18"/>
    </w:rPr>
  </w:style>
  <w:style w:type="paragraph" w:customStyle="1" w:styleId="22">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3">
    <w:name w:val="脚注文本 Char"/>
    <w:link w:val="8"/>
    <w:semiHidden/>
    <w:qFormat/>
    <w:locked/>
    <w:uiPriority w:val="99"/>
    <w:rPr>
      <w:rFonts w:ascii="Calibri" w:hAnsi="Calibri" w:eastAsia="宋体" w:cs="Times New Roman"/>
      <w:sz w:val="18"/>
    </w:rPr>
  </w:style>
  <w:style w:type="character" w:customStyle="1" w:styleId="24">
    <w:name w:val="Char Char1"/>
    <w:qFormat/>
    <w:uiPriority w:val="99"/>
    <w:rPr>
      <w:kern w:val="2"/>
      <w:sz w:val="18"/>
    </w:rPr>
  </w:style>
  <w:style w:type="paragraph" w:customStyle="1" w:styleId="2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26">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27">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4.xml" Type="http://schemas.openxmlformats.org/officeDocument/2006/relationships/footer"/><Relationship Id="rId11" Target="theme/theme1.xml" Type="http://schemas.openxmlformats.org/officeDocument/2006/relationships/theme"/><Relationship Id="rId12" Target="../customXml/item1.xml" Type="http://schemas.openxmlformats.org/officeDocument/2006/relationships/customXml"/><Relationship Id="rId13" Target="numbering.xml" Type="http://schemas.openxmlformats.org/officeDocument/2006/relationships/numbering"/><Relationship Id="rId14"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header2.xml" Type="http://schemas.openxmlformats.org/officeDocument/2006/relationships/header"/><Relationship Id="rId6" Target="header3.xml" Type="http://schemas.openxmlformats.org/officeDocument/2006/relationships/header"/><Relationship Id="rId7" Target="header4.xml" Type="http://schemas.openxmlformats.org/officeDocument/2006/relationships/header"/><Relationship Id="rId8" Target="footer2.xml" Type="http://schemas.openxmlformats.org/officeDocument/2006/relationships/footer"/><Relationship Id="rId9" Target="footer3.xml" Type="http://schemas.openxmlformats.org/officeDocument/2006/relationships/footer"/></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52</Pages>
  <Words>25624</Words>
  <Characters>29254</Characters>
  <Lines>100</Lines>
  <Paragraphs>28</Paragraphs>
  <TotalTime>25</TotalTime>
  <ScaleCrop>false</ScaleCrop>
  <LinksUpToDate>false</LinksUpToDate>
  <CharactersWithSpaces>29329</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2021-02-19T03:58:00Z</dcterms:created>
  <dc:creator>guest</dc:creator>
  <cp:lastModifiedBy>清</cp:lastModifiedBy>
  <cp:lastPrinted>2021-02-23T10:01:00Z</cp:lastPrinted>
  <dcterms:modified xsi:type="dcterms:W3CDTF">2022-09-05T06:24:24Z</dcterms:modified>
  <cp:revision>45</cp:revision>
  <dc:title>河北省委办公厅2021年部门预算信息公开情况说明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D1D7FAB6D4214C7D8FF02A750DFC9F8D</vt:lpwstr>
  </property>
</Properties>
</file>