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黑体" w:hAnsi="黑体" w:eastAsia="黑体" w:cs="Times New Roman"/>
          <w:b/>
          <w:bCs/>
          <w:sz w:val="44"/>
          <w:szCs w:val="44"/>
          <w:lang w:val="en-US" w:eastAsia="zh-CN"/>
        </w:rPr>
      </w:pPr>
      <w:r>
        <w:rPr>
          <w:rFonts w:hint="eastAsia" w:ascii="黑体" w:hAnsi="黑体" w:eastAsia="黑体" w:cs="Times New Roman"/>
          <w:b/>
          <w:bCs/>
          <w:sz w:val="44"/>
          <w:szCs w:val="44"/>
        </w:rPr>
        <w:t>隆尧县</w:t>
      </w:r>
      <w:r>
        <w:rPr>
          <w:rFonts w:hint="eastAsia" w:ascii="黑体" w:hAnsi="黑体" w:eastAsia="黑体" w:cs="Times New Roman"/>
          <w:b/>
          <w:bCs/>
          <w:sz w:val="44"/>
          <w:szCs w:val="44"/>
          <w:lang w:val="en-US" w:eastAsia="zh-CN"/>
        </w:rPr>
        <w:t>文物保护管理所馆</w:t>
      </w:r>
    </w:p>
    <w:p>
      <w:pPr>
        <w:adjustRightInd w:val="0"/>
        <w:snapToGrid w:val="0"/>
        <w:jc w:val="center"/>
        <w:rPr>
          <w:rFonts w:ascii="黑体" w:hAnsi="黑体" w:eastAsia="黑体" w:cs="Times New Roman"/>
          <w:b/>
          <w:bCs/>
          <w:sz w:val="44"/>
          <w:szCs w:val="44"/>
        </w:rPr>
      </w:pPr>
      <w:r>
        <w:rPr>
          <w:rFonts w:hint="eastAsia" w:ascii="黑体" w:hAnsi="黑体" w:eastAsia="黑体" w:cs="Times New Roman"/>
          <w:b/>
          <w:bCs/>
          <w:sz w:val="44"/>
          <w:szCs w:val="44"/>
        </w:rPr>
        <w:t>202</w:t>
      </w:r>
      <w:r>
        <w:rPr>
          <w:rFonts w:hint="eastAsia" w:ascii="黑体" w:hAnsi="黑体" w:eastAsia="黑体" w:cs="Times New Roman"/>
          <w:b/>
          <w:bCs/>
          <w:sz w:val="44"/>
          <w:szCs w:val="44"/>
          <w:lang w:val="en-US" w:eastAsia="zh-CN"/>
        </w:rPr>
        <w:t>1</w:t>
      </w:r>
      <w:r>
        <w:rPr>
          <w:rFonts w:hint="eastAsia" w:ascii="黑体" w:hAnsi="黑体" w:eastAsia="黑体" w:cs="Times New Roman"/>
          <w:b/>
          <w:bCs/>
          <w:sz w:val="44"/>
          <w:szCs w:val="44"/>
        </w:rPr>
        <w:t>年</w:t>
      </w:r>
      <w:r>
        <w:rPr>
          <w:rFonts w:hint="eastAsia" w:ascii="黑体" w:hAnsi="黑体" w:eastAsia="黑体" w:cs="Times New Roman"/>
          <w:b/>
          <w:bCs/>
          <w:sz w:val="44"/>
          <w:szCs w:val="44"/>
          <w:lang w:val="en-US" w:eastAsia="zh-CN"/>
        </w:rPr>
        <w:t>单位</w:t>
      </w:r>
      <w:r>
        <w:rPr>
          <w:rFonts w:hint="eastAsia" w:ascii="黑体" w:hAnsi="黑体" w:eastAsia="黑体" w:cs="Times New Roman"/>
          <w:b/>
          <w:bCs/>
          <w:sz w:val="44"/>
          <w:szCs w:val="44"/>
        </w:rPr>
        <w:t>预算信息公开情况说明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按照《预算法》、《地方预决算公开操作规程》规定，现将隆尧县</w:t>
      </w:r>
      <w:r>
        <w:rPr>
          <w:rFonts w:hint="eastAsia" w:ascii="Times New Roman" w:hAnsi="Times New Roman" w:eastAsia="仿宋" w:cs="Times New Roman"/>
          <w:sz w:val="32"/>
          <w:szCs w:val="32"/>
          <w:lang w:val="en-US" w:eastAsia="zh-CN"/>
        </w:rPr>
        <w:t>文物保护管理所</w:t>
      </w: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val="en-US" w:eastAsia="zh-CN"/>
        </w:rPr>
        <w:t>单位</w:t>
      </w:r>
      <w:r>
        <w:rPr>
          <w:rFonts w:hint="eastAsia" w:ascii="Times New Roman" w:hAnsi="Times New Roman" w:eastAsia="仿宋" w:cs="Times New Roman"/>
          <w:sz w:val="32"/>
          <w:szCs w:val="32"/>
        </w:rPr>
        <w:t>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仿宋" w:hAnsi="仿宋" w:eastAsia="仿宋" w:cs="Times New Roman"/>
          <w:b/>
          <w:sz w:val="32"/>
          <w:szCs w:val="32"/>
        </w:rPr>
      </w:pPr>
      <w:r>
        <w:rPr>
          <w:rFonts w:hint="eastAsia" w:ascii="仿宋" w:hAnsi="仿宋" w:eastAsia="仿宋" w:cs="Times New Roman"/>
          <w:b/>
          <w:sz w:val="32"/>
          <w:szCs w:val="32"/>
        </w:rPr>
        <w:t>主要</w:t>
      </w:r>
      <w:r>
        <w:rPr>
          <w:rFonts w:ascii="仿宋" w:hAnsi="仿宋" w:eastAsia="仿宋" w:cs="Times New Roman"/>
          <w:b/>
          <w:sz w:val="32"/>
          <w:szCs w:val="32"/>
        </w:rPr>
        <w:t>职责：</w:t>
      </w:r>
    </w:p>
    <w:p>
      <w:pPr>
        <w:ind w:firstLine="640"/>
        <w:rPr>
          <w:rFonts w:hint="default" w:ascii="Times New Roman" w:hAnsi="Times New Roman" w:eastAsia="仿宋" w:cs="Times New Roman"/>
          <w:sz w:val="32"/>
          <w:szCs w:val="32"/>
          <w:lang w:val="en-US" w:eastAsia="zh-CN"/>
        </w:rPr>
      </w:pPr>
      <w:r>
        <w:rPr>
          <w:rFonts w:hint="eastAsia" w:eastAsia="方正仿宋_GBK"/>
          <w:color w:val="000000"/>
          <w:sz w:val="28"/>
          <w:lang w:val="en-US" w:eastAsia="zh-CN"/>
        </w:rPr>
        <w:t>1</w:t>
      </w:r>
      <w:r>
        <w:rPr>
          <w:rFonts w:hint="eastAsia" w:ascii="Times New Roman" w:hAnsi="Times New Roman" w:eastAsia="仿宋" w:cs="Times New Roman"/>
          <w:sz w:val="32"/>
          <w:szCs w:val="32"/>
          <w:lang w:val="en-US" w:eastAsia="zh-CN"/>
        </w:rPr>
        <w:t>、宣传贯彻执行文物保护法律法规和文物保护方针政策，增强全社会文物保护意识。</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2、负责对具有历史、艺术、科学价值的可移动文物的征集、收藏、保管、修复、陈列、展示。</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3、负责全县文物调查、文物普查、文物勘探等工作的组织与实施，协助市级以上文物专业部门对辖区的文物开展勘探、考古、发展工作。</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4、组织申报各级重点文物保护单位、加强文物保护单位的管理，依法组织进行保护和维修。</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5、开展文物和本地历史文化研究，结合文物保护进行文物开发利用。</w:t>
      </w:r>
    </w:p>
    <w:p>
      <w:pPr>
        <w:ind w:firstLine="640"/>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6、承办上级主管部门交办的其他事项。</w:t>
      </w:r>
    </w:p>
    <w:p>
      <w:pPr>
        <w:ind w:firstLine="643" w:firstLineChars="200"/>
        <w:rPr>
          <w:rFonts w:ascii="仿宋" w:hAnsi="仿宋" w:eastAsia="仿宋" w:cs="Times New Roman"/>
          <w:b/>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仿宋" w:hAnsi="仿宋" w:eastAsia="仿宋" w:cs="Times New Roman"/>
          <w:sz w:val="32"/>
          <w:szCs w:val="32"/>
        </w:rPr>
      </w:pPr>
      <w:r>
        <w:rPr>
          <w:rFonts w:hint="eastAsia" w:ascii="仿宋" w:hAnsi="仿宋" w:eastAsia="仿宋" w:cs="Times New Roman"/>
          <w:sz w:val="32"/>
          <w:szCs w:val="32"/>
          <w:lang w:val="en-US" w:eastAsia="zh-CN"/>
        </w:rPr>
        <w:t>单位</w:t>
      </w:r>
      <w:r>
        <w:rPr>
          <w:rFonts w:hint="eastAsia" w:ascii="仿宋" w:hAnsi="仿宋" w:eastAsia="仿宋" w:cs="Times New Roman"/>
          <w:sz w:val="32"/>
          <w:szCs w:val="32"/>
        </w:rPr>
        <w:t>机构设置情况</w:t>
      </w:r>
    </w:p>
    <w:tbl>
      <w:tblPr>
        <w:tblStyle w:val="7"/>
        <w:tblpPr w:leftFromText="180" w:rightFromText="180" w:vertAnchor="text" w:horzAnchor="page" w:tblpX="1846" w:tblpY="623"/>
        <w:tblOverlap w:val="never"/>
        <w:tblW w:w="121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600"/>
        <w:gridCol w:w="2490"/>
        <w:gridCol w:w="2014"/>
        <w:gridCol w:w="407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0" w:hRule="atLeast"/>
        </w:trPr>
        <w:tc>
          <w:tcPr>
            <w:tcW w:w="3600"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sz w:val="28"/>
                <w:szCs w:val="28"/>
              </w:rPr>
              <w:t>单位名称</w:t>
            </w:r>
          </w:p>
        </w:tc>
        <w:tc>
          <w:tcPr>
            <w:tcW w:w="2490"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sz w:val="28"/>
                <w:szCs w:val="28"/>
              </w:rPr>
              <w:t>单位性质</w:t>
            </w:r>
          </w:p>
        </w:tc>
        <w:tc>
          <w:tcPr>
            <w:tcW w:w="2014"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sz w:val="28"/>
                <w:szCs w:val="28"/>
              </w:rPr>
              <w:t>单位规格</w:t>
            </w:r>
          </w:p>
        </w:tc>
        <w:tc>
          <w:tcPr>
            <w:tcW w:w="4076"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sz w:val="28"/>
                <w:szCs w:val="28"/>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9" w:hRule="atLeast"/>
        </w:trPr>
        <w:tc>
          <w:tcPr>
            <w:tcW w:w="3600"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hint="default" w:ascii="仿宋" w:hAnsi="仿宋" w:eastAsia="仿宋"/>
                <w:bCs/>
                <w:kern w:val="0"/>
                <w:sz w:val="28"/>
                <w:szCs w:val="28"/>
                <w:lang w:val="en-US"/>
              </w:rPr>
            </w:pPr>
            <w:r>
              <w:rPr>
                <w:rFonts w:hint="eastAsia" w:ascii="仿宋" w:hAnsi="仿宋" w:eastAsia="仿宋"/>
                <w:bCs/>
                <w:kern w:val="0"/>
                <w:sz w:val="28"/>
                <w:szCs w:val="28"/>
              </w:rPr>
              <w:t>隆尧县</w:t>
            </w:r>
            <w:r>
              <w:rPr>
                <w:rFonts w:hint="eastAsia" w:ascii="仿宋" w:hAnsi="仿宋" w:eastAsia="仿宋"/>
                <w:bCs/>
                <w:kern w:val="0"/>
                <w:sz w:val="28"/>
                <w:szCs w:val="28"/>
                <w:lang w:val="en-US" w:eastAsia="zh-CN"/>
              </w:rPr>
              <w:t>文物保护管理所</w:t>
            </w:r>
          </w:p>
        </w:tc>
        <w:tc>
          <w:tcPr>
            <w:tcW w:w="2490"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事业</w:t>
            </w:r>
          </w:p>
        </w:tc>
        <w:tc>
          <w:tcPr>
            <w:tcW w:w="2014"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股级</w:t>
            </w:r>
          </w:p>
        </w:tc>
        <w:tc>
          <w:tcPr>
            <w:tcW w:w="4076"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jc w:val="center"/>
              <w:rPr>
                <w:rFonts w:ascii="仿宋" w:hAnsi="仿宋" w:eastAsia="仿宋"/>
                <w:bCs/>
                <w:kern w:val="0"/>
                <w:sz w:val="28"/>
                <w:szCs w:val="28"/>
              </w:rPr>
            </w:pPr>
            <w:r>
              <w:rPr>
                <w:rFonts w:hint="eastAsia" w:ascii="仿宋" w:hAnsi="仿宋" w:eastAsia="仿宋"/>
                <w:bCs/>
                <w:kern w:val="0"/>
                <w:sz w:val="28"/>
                <w:szCs w:val="28"/>
              </w:rPr>
              <w:t>财政拨款</w:t>
            </w:r>
          </w:p>
        </w:tc>
      </w:tr>
    </w:tbl>
    <w:p>
      <w:pPr>
        <w:jc w:val="center"/>
        <w:outlineLvl w:val="0"/>
        <w:rPr>
          <w:rFonts w:ascii="仿宋" w:hAnsi="仿宋" w:eastAsia="仿宋" w:cs="Times New Roman"/>
          <w:sz w:val="28"/>
          <w:szCs w:val="28"/>
        </w:rPr>
      </w:pPr>
    </w:p>
    <w:p>
      <w:pPr>
        <w:ind w:firstLine="640"/>
        <w:rPr>
          <w:rFonts w:hint="eastAsia" w:ascii="黑体" w:hAnsi="黑体" w:eastAsia="黑体" w:cs="Times New Roman"/>
          <w:sz w:val="32"/>
          <w:szCs w:val="32"/>
        </w:rPr>
      </w:pPr>
    </w:p>
    <w:p>
      <w:pPr>
        <w:ind w:firstLine="640"/>
        <w:rPr>
          <w:rFonts w:hint="eastAsia" w:ascii="黑体" w:hAnsi="黑体" w:eastAsia="黑体" w:cs="Times New Roman"/>
          <w:sz w:val="32"/>
          <w:szCs w:val="32"/>
        </w:rPr>
      </w:pPr>
    </w:p>
    <w:p>
      <w:pPr>
        <w:ind w:firstLine="640"/>
        <w:rPr>
          <w:rFonts w:hint="eastAsia" w:ascii="黑体" w:hAnsi="黑体" w:eastAsia="黑体" w:cs="Times New Roman"/>
          <w:sz w:val="32"/>
          <w:szCs w:val="32"/>
        </w:rPr>
      </w:pPr>
    </w:p>
    <w:p>
      <w:pPr>
        <w:ind w:firstLine="640"/>
        <w:rPr>
          <w:rFonts w:hint="eastAsia" w:ascii="黑体" w:hAnsi="黑体" w:eastAsia="黑体" w:cs="Times New Roman"/>
          <w:sz w:val="32"/>
          <w:szCs w:val="32"/>
        </w:rPr>
      </w:pPr>
    </w:p>
    <w:p>
      <w:pPr>
        <w:rPr>
          <w:rFonts w:ascii="黑体" w:hAnsi="黑体" w:eastAsia="黑体" w:cs="Times New Roman"/>
          <w:sz w:val="32"/>
          <w:szCs w:val="32"/>
        </w:rPr>
      </w:pPr>
      <w:r>
        <w:rPr>
          <w:rFonts w:hint="eastAsia" w:ascii="黑体" w:hAnsi="黑体" w:eastAsia="黑体" w:cs="Times New Roman"/>
          <w:sz w:val="32"/>
          <w:szCs w:val="32"/>
        </w:rPr>
        <w:t>二、</w:t>
      </w:r>
      <w:r>
        <w:rPr>
          <w:rFonts w:hint="eastAsia" w:ascii="黑体" w:hAnsi="黑体" w:eastAsia="黑体" w:cs="Times New Roman"/>
          <w:sz w:val="32"/>
          <w:szCs w:val="32"/>
          <w:lang w:val="en-US" w:eastAsia="zh-CN"/>
        </w:rPr>
        <w:t>单位</w:t>
      </w:r>
      <w:r>
        <w:rPr>
          <w:rFonts w:hint="eastAsia" w:ascii="黑体" w:hAnsi="黑体" w:eastAsia="黑体" w:cs="Times New Roman"/>
          <w:sz w:val="32"/>
          <w:szCs w:val="32"/>
        </w:rPr>
        <w:t>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lang w:val="en-US" w:eastAsia="zh-CN"/>
        </w:rPr>
        <w:t>县单位</w:t>
      </w:r>
      <w:r>
        <w:rPr>
          <w:rFonts w:hint="eastAsia" w:ascii="Times New Roman" w:hAnsi="Times New Roman" w:eastAsia="仿宋" w:cs="Times New Roman"/>
          <w:sz w:val="32"/>
          <w:szCs w:val="32"/>
        </w:rPr>
        <w:t>预算的编制实行综合预算管理，即全部收入和支出都反映的预算中。隆尧县</w:t>
      </w:r>
      <w:r>
        <w:rPr>
          <w:rFonts w:hint="eastAsia" w:ascii="Times New Roman" w:hAnsi="Times New Roman" w:eastAsia="仿宋" w:cs="Times New Roman"/>
          <w:sz w:val="32"/>
          <w:szCs w:val="32"/>
          <w:lang w:val="en-US" w:eastAsia="zh-CN"/>
        </w:rPr>
        <w:t>文物保护管理所</w:t>
      </w:r>
      <w:r>
        <w:rPr>
          <w:rFonts w:hint="eastAsia" w:ascii="Times New Roman" w:hAnsi="Times New Roman" w:eastAsia="仿宋" w:cs="Times New Roman"/>
          <w:sz w:val="32"/>
          <w:szCs w:val="32"/>
        </w:rPr>
        <w:t>单位的收支包含在部门预算中。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年预算收入</w:t>
      </w:r>
      <w:r>
        <w:rPr>
          <w:rFonts w:hint="eastAsia" w:ascii="Times New Roman" w:hAnsi="Times New Roman" w:eastAsia="仿宋" w:cs="Times New Roman"/>
          <w:sz w:val="32"/>
          <w:szCs w:val="32"/>
          <w:lang w:val="en-US" w:eastAsia="zh-CN"/>
        </w:rPr>
        <w:t>37.56</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37.56</w:t>
      </w:r>
      <w:r>
        <w:rPr>
          <w:rFonts w:hint="eastAsia" w:ascii="Times New Roman" w:hAnsi="Times New Roman" w:eastAsia="仿宋" w:cs="Times New Roman"/>
          <w:sz w:val="32"/>
          <w:szCs w:val="32"/>
        </w:rPr>
        <w:t>万元，基金预算收入</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pStyle w:val="16"/>
        <w:rPr>
          <w:rFonts w:hint="default" w:ascii="Times New Roman" w:hAnsi="Times New Roman" w:eastAsia="仿宋" w:cs="Times New Roman"/>
          <w:kern w:val="2"/>
          <w:sz w:val="32"/>
          <w:szCs w:val="32"/>
          <w:lang w:val="en-US" w:eastAsia="zh-CN" w:bidi="ar-SA"/>
        </w:rPr>
      </w:pPr>
      <w:r>
        <w:rPr>
          <w:rFonts w:hint="eastAsia" w:ascii="Times New Roman" w:hAnsi="Times New Roman" w:eastAsia="仿宋" w:cs="Times New Roman"/>
          <w:kern w:val="2"/>
          <w:sz w:val="32"/>
          <w:szCs w:val="32"/>
          <w:lang w:val="en-US" w:eastAsia="zh-CN" w:bidi="ar-SA"/>
        </w:rPr>
        <w:t>收支预算总表支出栏、基本支出表、项目支出表按经济分类和支出功能分类科目编制，反映隆尧县文物保护管理所2021年度单位预算中支出预算的总体情况。2021年单位支出预算为37.56万元，其中：人员经费37.56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hint="default" w:ascii="Times New Roman" w:hAnsi="Times New Roman" w:eastAsia="仿宋" w:cs="Times New Roman"/>
          <w:sz w:val="32"/>
          <w:szCs w:val="32"/>
          <w:lang w:val="en-US"/>
        </w:rPr>
      </w:pPr>
      <w:r>
        <w:rPr>
          <w:rFonts w:hint="eastAsia" w:ascii="Times New Roman" w:hAnsi="Times New Roman" w:eastAsia="仿宋" w:cs="Times New Roman"/>
          <w:color w:val="000000"/>
          <w:sz w:val="32"/>
          <w:szCs w:val="32"/>
        </w:rPr>
        <w:t>202</w:t>
      </w:r>
      <w:r>
        <w:rPr>
          <w:rFonts w:hint="eastAsia" w:ascii="Times New Roman" w:hAnsi="Times New Roman" w:eastAsia="仿宋" w:cs="Times New Roman"/>
          <w:color w:val="000000"/>
          <w:sz w:val="32"/>
          <w:szCs w:val="32"/>
          <w:lang w:val="en-US" w:eastAsia="zh-CN"/>
        </w:rPr>
        <w:t>1</w:t>
      </w:r>
      <w:r>
        <w:rPr>
          <w:rFonts w:hint="eastAsia" w:ascii="Times New Roman" w:hAnsi="Times New Roman" w:eastAsia="仿宋" w:cs="Times New Roman"/>
          <w:color w:val="000000"/>
          <w:sz w:val="32"/>
          <w:szCs w:val="32"/>
        </w:rPr>
        <w:t>年</w:t>
      </w:r>
      <w:r>
        <w:rPr>
          <w:rFonts w:hint="eastAsia" w:ascii="Times New Roman" w:hAnsi="Times New Roman" w:eastAsia="仿宋" w:cs="Times New Roman"/>
          <w:color w:val="000000"/>
          <w:sz w:val="32"/>
          <w:szCs w:val="32"/>
          <w:lang w:val="en-US" w:eastAsia="zh-CN"/>
        </w:rPr>
        <w:t>单位</w:t>
      </w:r>
      <w:r>
        <w:rPr>
          <w:rFonts w:hint="eastAsia" w:ascii="Times New Roman" w:hAnsi="Times New Roman" w:eastAsia="仿宋" w:cs="Times New Roman"/>
          <w:color w:val="000000"/>
          <w:sz w:val="32"/>
          <w:szCs w:val="32"/>
        </w:rPr>
        <w:t>预算收支安排</w:t>
      </w:r>
      <w:r>
        <w:rPr>
          <w:rFonts w:hint="eastAsia" w:ascii="Times New Roman" w:hAnsi="Times New Roman" w:eastAsia="仿宋" w:cs="Times New Roman"/>
          <w:sz w:val="32"/>
          <w:szCs w:val="32"/>
          <w:lang w:val="en-US" w:eastAsia="zh-CN"/>
        </w:rPr>
        <w:t>37.56</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val="en-US" w:eastAsia="zh-CN"/>
        </w:rPr>
        <w:t>的57.25万元减少19.69</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val="en-US" w:eastAsia="zh-CN"/>
        </w:rPr>
        <w:t>2021年社保经费纳入局本级统一核算。</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hint="default" w:ascii="Times New Roman" w:hAnsi="Times New Roman" w:eastAsia="仿宋" w:cs="Times New Roman"/>
          <w:sz w:val="32"/>
          <w:szCs w:val="32"/>
          <w:lang w:val="en-US" w:eastAsia="zh-CN"/>
        </w:rPr>
      </w:pPr>
      <w:r>
        <w:rPr>
          <w:rFonts w:ascii="Times New Roman" w:hAnsi="Times New Roman" w:eastAsia="仿宋" w:cs="Times New Roman"/>
          <w:sz w:val="32"/>
          <w:szCs w:val="32"/>
        </w:rPr>
        <w:t>20</w:t>
      </w:r>
      <w:r>
        <w:rPr>
          <w:rFonts w:hint="eastAsia" w:ascii="Times New Roman" w:hAnsi="Times New Roman" w:eastAsia="仿宋" w:cs="Times New Roman"/>
          <w:sz w:val="32"/>
          <w:szCs w:val="32"/>
        </w:rPr>
        <w:t>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w:t>
      </w:r>
      <w:r>
        <w:rPr>
          <w:rFonts w:hint="eastAsia" w:ascii="Times New Roman" w:hAnsi="Times New Roman" w:eastAsia="仿宋" w:cs="Times New Roman"/>
          <w:sz w:val="32"/>
          <w:szCs w:val="32"/>
          <w:lang w:val="en-US" w:eastAsia="zh-CN"/>
        </w:rPr>
        <w:t>单位</w:t>
      </w:r>
      <w:r>
        <w:rPr>
          <w:rFonts w:hint="eastAsia" w:ascii="Times New Roman" w:hAnsi="Times New Roman" w:eastAsia="仿宋" w:cs="Times New Roman"/>
          <w:sz w:val="32"/>
          <w:szCs w:val="32"/>
        </w:rPr>
        <w:t>机关运行经费</w:t>
      </w:r>
      <w:r>
        <w:rPr>
          <w:rFonts w:hint="eastAsia" w:ascii="Times New Roman" w:hAnsi="Times New Roman" w:eastAsia="仿宋" w:cs="Times New Roman"/>
          <w:sz w:val="32"/>
          <w:szCs w:val="32"/>
          <w:lang w:val="en-US" w:eastAsia="zh-CN"/>
        </w:rPr>
        <w:t>在局本级统一核算，汇总预算公开。</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w:t>
      </w:r>
      <w:r>
        <w:rPr>
          <w:rFonts w:hint="eastAsia" w:ascii="Times New Roman" w:hAnsi="Times New Roman" w:eastAsia="仿宋" w:cs="Times New Roman"/>
          <w:sz w:val="32"/>
          <w:szCs w:val="32"/>
          <w:lang w:val="en-US" w:eastAsia="zh-CN"/>
        </w:rPr>
        <w:t>单位</w:t>
      </w:r>
      <w:r>
        <w:rPr>
          <w:rFonts w:hint="eastAsia" w:ascii="Times New Roman" w:hAnsi="Times New Roman" w:eastAsia="仿宋" w:cs="Times New Roman"/>
          <w:sz w:val="32"/>
          <w:szCs w:val="32"/>
        </w:rPr>
        <w:t>财政拨款“三公”经费预算安排0万元，其中：因公出国（境）费0万元；公务用车购置及运维费0万元（其中：公务用车购置费0万元，公务用车运行维护费0万元)；公务接待费0万元。“三公”经费</w:t>
      </w:r>
      <w:r>
        <w:rPr>
          <w:rFonts w:hint="eastAsia" w:ascii="Times New Roman" w:hAnsi="Times New Roman" w:eastAsia="仿宋" w:cs="Times New Roman"/>
          <w:sz w:val="32"/>
          <w:szCs w:val="32"/>
          <w:lang w:val="en-US" w:eastAsia="zh-CN"/>
        </w:rPr>
        <w:t>与2020年持平</w:t>
      </w:r>
      <w:r>
        <w:rPr>
          <w:rFonts w:hint="eastAsia" w:ascii="Times New Roman" w:hAnsi="Times New Roman" w:eastAsia="仿宋" w:cs="Times New Roman"/>
          <w:sz w:val="32"/>
          <w:szCs w:val="32"/>
        </w:rPr>
        <w:t>。</w:t>
      </w:r>
    </w:p>
    <w:p>
      <w:pPr>
        <w:numPr>
          <w:ilvl w:val="0"/>
          <w:numId w:val="1"/>
        </w:numPr>
        <w:autoSpaceDE w:val="0"/>
        <w:autoSpaceDN w:val="0"/>
        <w:adjustRightInd w:val="0"/>
        <w:ind w:left="198" w:firstLine="640" w:firstLineChars="200"/>
        <w:jc w:val="left"/>
        <w:rPr>
          <w:rFonts w:hint="eastAsia" w:ascii="黑体" w:hAnsi="黑体" w:eastAsia="黑体" w:cs="Times New Roman"/>
          <w:sz w:val="32"/>
          <w:szCs w:val="32"/>
        </w:rPr>
      </w:pPr>
      <w:r>
        <w:rPr>
          <w:rFonts w:hint="eastAsia" w:ascii="黑体" w:hAnsi="黑体" w:eastAsia="黑体" w:cs="Times New Roman"/>
          <w:sz w:val="32"/>
          <w:szCs w:val="32"/>
        </w:rPr>
        <w:t>预算绩效信息</w:t>
      </w:r>
    </w:p>
    <w:p>
      <w:pPr>
        <w:autoSpaceDE w:val="0"/>
        <w:autoSpaceDN w:val="0"/>
        <w:adjustRightInd w:val="0"/>
        <w:ind w:left="198" w:firstLine="640" w:firstLineChars="200"/>
        <w:jc w:val="left"/>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本单位预算绩效信息在局本级汇总预算公开。</w:t>
      </w:r>
    </w:p>
    <w:p>
      <w:pPr>
        <w:numPr>
          <w:ilvl w:val="0"/>
          <w:numId w:val="2"/>
        </w:numPr>
        <w:ind w:left="401" w:leftChars="0" w:firstLine="0" w:firstLineChars="0"/>
        <w:jc w:val="left"/>
        <w:outlineLvl w:val="1"/>
        <w:rPr>
          <w:rFonts w:hint="eastAsia" w:ascii="黑体" w:hAnsi="黑体" w:eastAsia="黑体" w:cs="Times New Roman"/>
          <w:sz w:val="32"/>
          <w:szCs w:val="32"/>
          <w:lang w:eastAsia="zh-CN"/>
        </w:rPr>
      </w:pPr>
      <w:bookmarkStart w:id="0" w:name="_Toc471398463"/>
      <w:r>
        <w:rPr>
          <w:rFonts w:hint="eastAsia" w:ascii="黑体" w:hAnsi="黑体" w:eastAsia="黑体" w:cs="Times New Roman"/>
          <w:sz w:val="32"/>
          <w:szCs w:val="32"/>
        </w:rPr>
        <w:t>政府采购预算情况</w:t>
      </w:r>
    </w:p>
    <w:p>
      <w:pPr>
        <w:ind w:firstLine="640" w:firstLineChars="200"/>
        <w:outlineLvl w:val="0"/>
        <w:rPr>
          <w:rFonts w:ascii="Times New Roman" w:hAnsi="Times New Roman" w:eastAsia="仿宋" w:cs="Times New Roman"/>
          <w:sz w:val="32"/>
          <w:szCs w:val="24"/>
        </w:rPr>
      </w:pPr>
      <w:bookmarkStart w:id="1"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w:t>
      </w:r>
      <w:r>
        <w:rPr>
          <w:rFonts w:hint="eastAsia" w:ascii="Times New Roman" w:hAnsi="Times New Roman" w:eastAsia="仿宋" w:cs="Times New Roman"/>
          <w:sz w:val="32"/>
          <w:szCs w:val="24"/>
          <w:lang w:val="en-US" w:eastAsia="zh-CN"/>
        </w:rPr>
        <w:t>1</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w:t>
      </w:r>
      <w:r>
        <w:rPr>
          <w:rFonts w:hint="eastAsia" w:ascii="Times New Roman" w:hAnsi="Times New Roman" w:eastAsia="仿宋" w:cs="Times New Roman"/>
          <w:sz w:val="32"/>
          <w:szCs w:val="24"/>
          <w:lang w:val="en-US" w:eastAsia="zh-CN"/>
        </w:rPr>
        <w:t>单位</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0</w:t>
      </w:r>
      <w:r>
        <w:rPr>
          <w:rFonts w:ascii="Times New Roman" w:hAnsi="Times New Roman" w:eastAsia="仿宋" w:cs="Times New Roman"/>
          <w:sz w:val="32"/>
          <w:szCs w:val="24"/>
        </w:rPr>
        <w:t>万元。具体内容见下表。</w:t>
      </w:r>
      <w:bookmarkEnd w:id="1"/>
    </w:p>
    <w:p>
      <w:pPr>
        <w:jc w:val="center"/>
      </w:pPr>
      <w:r>
        <w:rPr>
          <w:rFonts w:ascii="方正小标宋_GBK" w:hAnsi="方正小标宋_GBK" w:eastAsia="方正小标宋_GBK" w:cs="方正小标宋_GBK"/>
          <w:color w:val="000000"/>
          <w:sz w:val="36"/>
        </w:rPr>
        <w:t>单位政府采购预算</w:t>
      </w:r>
    </w:p>
    <w:tbl>
      <w:tblPr>
        <w:tblStyle w:val="7"/>
        <w:tblW w:w="1557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54"/>
        <w:gridCol w:w="938"/>
        <w:gridCol w:w="1102"/>
        <w:gridCol w:w="1102"/>
        <w:gridCol w:w="689"/>
        <w:gridCol w:w="826"/>
        <w:gridCol w:w="830"/>
        <w:gridCol w:w="937"/>
        <w:gridCol w:w="937"/>
        <w:gridCol w:w="937"/>
        <w:gridCol w:w="937"/>
        <w:gridCol w:w="937"/>
        <w:gridCol w:w="937"/>
        <w:gridCol w:w="937"/>
        <w:gridCol w:w="942"/>
        <w:gridCol w:w="9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17" w:hRule="atLeast"/>
          <w:tblHeader/>
          <w:jc w:val="center"/>
        </w:trPr>
        <w:tc>
          <w:tcPr>
            <w:tcW w:w="7141" w:type="dxa"/>
            <w:gridSpan w:val="7"/>
            <w:tcBorders>
              <w:top w:val="single" w:color="FFFFFF" w:sz="6" w:space="0"/>
              <w:left w:val="single" w:color="FFFFFF" w:sz="6" w:space="0"/>
              <w:right w:val="single" w:color="FFFFFF" w:sz="6" w:space="0"/>
            </w:tcBorders>
            <w:vAlign w:val="center"/>
          </w:tcPr>
          <w:p>
            <w:pPr>
              <w:pStyle w:val="17"/>
              <w:rPr>
                <w:rFonts w:hint="default"/>
                <w:lang w:val="en-US"/>
              </w:rPr>
            </w:pPr>
            <w:r>
              <w:t>35700</w:t>
            </w:r>
            <w:r>
              <w:rPr>
                <w:rFonts w:hint="eastAsia"/>
                <w:lang w:val="en-US" w:eastAsia="zh-CN"/>
              </w:rPr>
              <w:t>5</w:t>
            </w:r>
            <w:r>
              <w:t>隆尧县</w:t>
            </w:r>
            <w:r>
              <w:rPr>
                <w:rFonts w:hint="eastAsia"/>
                <w:lang w:val="en-US" w:eastAsia="zh-CN"/>
              </w:rPr>
              <w:t>文物保护管理所</w:t>
            </w:r>
          </w:p>
        </w:tc>
        <w:tc>
          <w:tcPr>
            <w:tcW w:w="8438" w:type="dxa"/>
            <w:gridSpan w:val="9"/>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17" w:hRule="atLeast"/>
          <w:tblHeader/>
          <w:jc w:val="center"/>
        </w:trPr>
        <w:tc>
          <w:tcPr>
            <w:tcW w:w="2592" w:type="dxa"/>
            <w:gridSpan w:val="2"/>
            <w:vAlign w:val="center"/>
          </w:tcPr>
          <w:p>
            <w:pPr>
              <w:pStyle w:val="19"/>
              <w:rPr>
                <w:rFonts w:hint="eastAsia" w:ascii="仿宋" w:hAnsi="仿宋" w:eastAsia="仿宋" w:cs="仿宋"/>
              </w:rPr>
            </w:pPr>
            <w:r>
              <w:rPr>
                <w:rFonts w:hint="eastAsia" w:ascii="仿宋" w:hAnsi="仿宋" w:eastAsia="仿宋" w:cs="仿宋"/>
              </w:rPr>
              <w:t>政府采购项目来源</w:t>
            </w:r>
          </w:p>
        </w:tc>
        <w:tc>
          <w:tcPr>
            <w:tcW w:w="1102" w:type="dxa"/>
            <w:vMerge w:val="restart"/>
            <w:vAlign w:val="center"/>
          </w:tcPr>
          <w:p>
            <w:pPr>
              <w:pStyle w:val="19"/>
              <w:rPr>
                <w:rFonts w:hint="eastAsia" w:ascii="仿宋" w:hAnsi="仿宋" w:eastAsia="仿宋" w:cs="仿宋"/>
              </w:rPr>
            </w:pPr>
            <w:r>
              <w:rPr>
                <w:rFonts w:hint="eastAsia" w:ascii="仿宋" w:hAnsi="仿宋" w:eastAsia="仿宋" w:cs="仿宋"/>
              </w:rPr>
              <w:t>采购物品名称</w:t>
            </w:r>
          </w:p>
        </w:tc>
        <w:tc>
          <w:tcPr>
            <w:tcW w:w="1102" w:type="dxa"/>
            <w:vMerge w:val="restart"/>
            <w:vAlign w:val="center"/>
          </w:tcPr>
          <w:p>
            <w:pPr>
              <w:pStyle w:val="19"/>
              <w:rPr>
                <w:rFonts w:hint="eastAsia" w:ascii="仿宋" w:hAnsi="仿宋" w:eastAsia="仿宋" w:cs="仿宋"/>
              </w:rPr>
            </w:pPr>
            <w:r>
              <w:rPr>
                <w:rFonts w:hint="eastAsia" w:ascii="仿宋" w:hAnsi="仿宋" w:eastAsia="仿宋" w:cs="仿宋"/>
              </w:rPr>
              <w:t>政府采购目录序号</w:t>
            </w:r>
          </w:p>
        </w:tc>
        <w:tc>
          <w:tcPr>
            <w:tcW w:w="689" w:type="dxa"/>
            <w:vMerge w:val="restart"/>
            <w:vAlign w:val="center"/>
          </w:tcPr>
          <w:p>
            <w:pPr>
              <w:pStyle w:val="19"/>
              <w:rPr>
                <w:rFonts w:hint="eastAsia" w:ascii="仿宋" w:hAnsi="仿宋" w:eastAsia="仿宋" w:cs="仿宋"/>
              </w:rPr>
            </w:pPr>
            <w:r>
              <w:rPr>
                <w:rFonts w:hint="eastAsia" w:ascii="仿宋" w:hAnsi="仿宋" w:eastAsia="仿宋" w:cs="仿宋"/>
              </w:rPr>
              <w:t>计量  单位</w:t>
            </w:r>
          </w:p>
        </w:tc>
        <w:tc>
          <w:tcPr>
            <w:tcW w:w="826" w:type="dxa"/>
            <w:vMerge w:val="restart"/>
            <w:vAlign w:val="center"/>
          </w:tcPr>
          <w:p>
            <w:pPr>
              <w:pStyle w:val="19"/>
              <w:rPr>
                <w:rFonts w:hint="eastAsia" w:ascii="仿宋" w:hAnsi="仿宋" w:eastAsia="仿宋" w:cs="仿宋"/>
              </w:rPr>
            </w:pPr>
            <w:r>
              <w:rPr>
                <w:rFonts w:hint="eastAsia" w:ascii="仿宋" w:hAnsi="仿宋" w:eastAsia="仿宋" w:cs="仿宋"/>
              </w:rPr>
              <w:t>数量</w:t>
            </w:r>
          </w:p>
        </w:tc>
        <w:tc>
          <w:tcPr>
            <w:tcW w:w="830" w:type="dxa"/>
            <w:vMerge w:val="restart"/>
            <w:vAlign w:val="center"/>
          </w:tcPr>
          <w:p>
            <w:pPr>
              <w:pStyle w:val="19"/>
              <w:rPr>
                <w:rFonts w:hint="eastAsia" w:ascii="仿宋" w:hAnsi="仿宋" w:eastAsia="仿宋" w:cs="仿宋"/>
              </w:rPr>
            </w:pPr>
            <w:r>
              <w:rPr>
                <w:rFonts w:hint="eastAsia" w:ascii="仿宋" w:hAnsi="仿宋" w:eastAsia="仿宋" w:cs="仿宋"/>
              </w:rPr>
              <w:t>单价</w:t>
            </w:r>
          </w:p>
        </w:tc>
        <w:tc>
          <w:tcPr>
            <w:tcW w:w="7501" w:type="dxa"/>
            <w:gridSpan w:val="8"/>
            <w:vAlign w:val="center"/>
          </w:tcPr>
          <w:p>
            <w:pPr>
              <w:pStyle w:val="19"/>
              <w:rPr>
                <w:rFonts w:hint="eastAsia" w:ascii="仿宋" w:hAnsi="仿宋" w:eastAsia="仿宋" w:cs="仿宋"/>
              </w:rPr>
            </w:pPr>
            <w:r>
              <w:rPr>
                <w:rFonts w:hint="eastAsia" w:ascii="仿宋" w:hAnsi="仿宋" w:eastAsia="仿宋" w:cs="仿宋"/>
              </w:rPr>
              <w:t>政府采购金额（当年部门预算安排资金）</w:t>
            </w:r>
          </w:p>
        </w:tc>
        <w:tc>
          <w:tcPr>
            <w:tcW w:w="937" w:type="dxa"/>
            <w:vMerge w:val="restart"/>
            <w:vAlign w:val="center"/>
          </w:tcPr>
          <w:p>
            <w:pPr>
              <w:pStyle w:val="19"/>
              <w:rPr>
                <w:rFonts w:hint="eastAsia" w:ascii="仿宋" w:hAnsi="仿宋" w:eastAsia="仿宋" w:cs="仿宋"/>
              </w:rPr>
            </w:pPr>
            <w:r>
              <w:rPr>
                <w:rFonts w:hint="eastAsia" w:ascii="仿宋" w:hAnsi="仿宋" w:eastAsia="仿宋" w:cs="仿宋"/>
              </w:rPr>
              <w:t>202</w:t>
            </w:r>
            <w:r>
              <w:rPr>
                <w:rFonts w:hint="eastAsia" w:ascii="仿宋" w:hAnsi="仿宋" w:eastAsia="仿宋" w:cs="仿宋"/>
                <w:lang w:val="en-US" w:eastAsia="zh-CN"/>
              </w:rPr>
              <w:t>1</w:t>
            </w:r>
            <w:r>
              <w:rPr>
                <w:rFonts w:hint="eastAsia" w:ascii="仿宋" w:hAnsi="仿宋" w:eastAsia="仿宋" w:cs="仿宋"/>
              </w:rPr>
              <w:t>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22" w:hRule="atLeast"/>
          <w:tblHeader/>
          <w:jc w:val="center"/>
        </w:trPr>
        <w:tc>
          <w:tcPr>
            <w:tcW w:w="1654" w:type="dxa"/>
            <w:vAlign w:val="center"/>
          </w:tcPr>
          <w:p>
            <w:pPr>
              <w:pStyle w:val="19"/>
              <w:rPr>
                <w:rFonts w:hint="eastAsia" w:ascii="仿宋" w:hAnsi="仿宋" w:eastAsia="仿宋" w:cs="仿宋"/>
              </w:rPr>
            </w:pPr>
            <w:r>
              <w:rPr>
                <w:rFonts w:hint="eastAsia" w:ascii="仿宋" w:hAnsi="仿宋" w:eastAsia="仿宋" w:cs="仿宋"/>
              </w:rPr>
              <w:t>项目名称</w:t>
            </w:r>
          </w:p>
        </w:tc>
        <w:tc>
          <w:tcPr>
            <w:tcW w:w="938" w:type="dxa"/>
            <w:vAlign w:val="center"/>
          </w:tcPr>
          <w:p>
            <w:pPr>
              <w:pStyle w:val="19"/>
              <w:rPr>
                <w:rFonts w:hint="eastAsia" w:ascii="仿宋" w:hAnsi="仿宋" w:eastAsia="仿宋" w:cs="仿宋"/>
              </w:rPr>
            </w:pPr>
            <w:r>
              <w:rPr>
                <w:rFonts w:hint="eastAsia" w:ascii="仿宋" w:hAnsi="仿宋" w:eastAsia="仿宋" w:cs="仿宋"/>
              </w:rPr>
              <w:t>预算    资金</w:t>
            </w:r>
          </w:p>
        </w:tc>
        <w:tc>
          <w:tcPr>
            <w:tcW w:w="1102" w:type="dxa"/>
            <w:vMerge w:val="continue"/>
          </w:tcPr>
          <w:p>
            <w:pPr>
              <w:rPr>
                <w:rFonts w:hint="eastAsia" w:ascii="仿宋" w:hAnsi="仿宋" w:eastAsia="仿宋" w:cs="仿宋"/>
              </w:rPr>
            </w:pPr>
          </w:p>
        </w:tc>
        <w:tc>
          <w:tcPr>
            <w:tcW w:w="1102" w:type="dxa"/>
            <w:vMerge w:val="continue"/>
          </w:tcPr>
          <w:p>
            <w:pPr>
              <w:rPr>
                <w:rFonts w:hint="eastAsia" w:ascii="仿宋" w:hAnsi="仿宋" w:eastAsia="仿宋" w:cs="仿宋"/>
              </w:rPr>
            </w:pPr>
          </w:p>
        </w:tc>
        <w:tc>
          <w:tcPr>
            <w:tcW w:w="689" w:type="dxa"/>
            <w:vMerge w:val="continue"/>
          </w:tcPr>
          <w:p>
            <w:pPr>
              <w:rPr>
                <w:rFonts w:hint="eastAsia" w:ascii="仿宋" w:hAnsi="仿宋" w:eastAsia="仿宋" w:cs="仿宋"/>
              </w:rPr>
            </w:pPr>
          </w:p>
        </w:tc>
        <w:tc>
          <w:tcPr>
            <w:tcW w:w="826" w:type="dxa"/>
            <w:vMerge w:val="continue"/>
          </w:tcPr>
          <w:p>
            <w:pPr>
              <w:rPr>
                <w:rFonts w:hint="eastAsia" w:ascii="仿宋" w:hAnsi="仿宋" w:eastAsia="仿宋" w:cs="仿宋"/>
              </w:rPr>
            </w:pPr>
          </w:p>
        </w:tc>
        <w:tc>
          <w:tcPr>
            <w:tcW w:w="830" w:type="dxa"/>
            <w:vMerge w:val="continue"/>
          </w:tcPr>
          <w:p>
            <w:pPr>
              <w:rPr>
                <w:rFonts w:hint="eastAsia" w:ascii="仿宋" w:hAnsi="仿宋" w:eastAsia="仿宋" w:cs="仿宋"/>
              </w:rPr>
            </w:pPr>
          </w:p>
        </w:tc>
        <w:tc>
          <w:tcPr>
            <w:tcW w:w="937" w:type="dxa"/>
            <w:vAlign w:val="center"/>
          </w:tcPr>
          <w:p>
            <w:pPr>
              <w:pStyle w:val="19"/>
              <w:rPr>
                <w:rFonts w:hint="eastAsia" w:ascii="仿宋" w:hAnsi="仿宋" w:eastAsia="仿宋" w:cs="仿宋"/>
              </w:rPr>
            </w:pPr>
            <w:r>
              <w:rPr>
                <w:rFonts w:hint="eastAsia" w:ascii="仿宋" w:hAnsi="仿宋" w:eastAsia="仿宋" w:cs="仿宋"/>
              </w:rPr>
              <w:t>合计</w:t>
            </w:r>
          </w:p>
        </w:tc>
        <w:tc>
          <w:tcPr>
            <w:tcW w:w="937" w:type="dxa"/>
            <w:vAlign w:val="center"/>
          </w:tcPr>
          <w:p>
            <w:pPr>
              <w:pStyle w:val="19"/>
              <w:rPr>
                <w:rFonts w:hint="eastAsia" w:ascii="仿宋" w:hAnsi="仿宋" w:eastAsia="仿宋" w:cs="仿宋"/>
              </w:rPr>
            </w:pPr>
            <w:r>
              <w:rPr>
                <w:rFonts w:hint="eastAsia" w:ascii="仿宋" w:hAnsi="仿宋" w:eastAsia="仿宋" w:cs="仿宋"/>
              </w:rPr>
              <w:t>一般公共预算拨款</w:t>
            </w:r>
          </w:p>
        </w:tc>
        <w:tc>
          <w:tcPr>
            <w:tcW w:w="937" w:type="dxa"/>
            <w:vAlign w:val="center"/>
          </w:tcPr>
          <w:p>
            <w:pPr>
              <w:pStyle w:val="19"/>
              <w:rPr>
                <w:rFonts w:hint="eastAsia" w:ascii="仿宋" w:hAnsi="仿宋" w:eastAsia="仿宋" w:cs="仿宋"/>
              </w:rPr>
            </w:pPr>
            <w:r>
              <w:rPr>
                <w:rFonts w:hint="eastAsia" w:ascii="仿宋" w:hAnsi="仿宋" w:eastAsia="仿宋" w:cs="仿宋"/>
              </w:rPr>
              <w:t>基金预算拨款</w:t>
            </w:r>
          </w:p>
        </w:tc>
        <w:tc>
          <w:tcPr>
            <w:tcW w:w="937" w:type="dxa"/>
            <w:vAlign w:val="center"/>
          </w:tcPr>
          <w:p>
            <w:pPr>
              <w:pStyle w:val="19"/>
              <w:rPr>
                <w:rFonts w:hint="eastAsia" w:ascii="仿宋" w:hAnsi="仿宋" w:eastAsia="仿宋" w:cs="仿宋"/>
              </w:rPr>
            </w:pPr>
            <w:r>
              <w:rPr>
                <w:rFonts w:hint="eastAsia" w:ascii="仿宋" w:hAnsi="仿宋" w:eastAsia="仿宋" w:cs="仿宋"/>
              </w:rPr>
              <w:t>国有资本经营预算拨款</w:t>
            </w:r>
          </w:p>
        </w:tc>
        <w:tc>
          <w:tcPr>
            <w:tcW w:w="937" w:type="dxa"/>
            <w:vAlign w:val="center"/>
          </w:tcPr>
          <w:p>
            <w:pPr>
              <w:pStyle w:val="19"/>
              <w:rPr>
                <w:rFonts w:hint="eastAsia" w:ascii="仿宋" w:hAnsi="仿宋" w:eastAsia="仿宋" w:cs="仿宋"/>
              </w:rPr>
            </w:pPr>
            <w:r>
              <w:rPr>
                <w:rFonts w:hint="eastAsia" w:ascii="仿宋" w:hAnsi="仿宋" w:eastAsia="仿宋" w:cs="仿宋"/>
              </w:rPr>
              <w:t>财政专户核拨</w:t>
            </w:r>
          </w:p>
        </w:tc>
        <w:tc>
          <w:tcPr>
            <w:tcW w:w="937" w:type="dxa"/>
            <w:vAlign w:val="center"/>
          </w:tcPr>
          <w:p>
            <w:pPr>
              <w:pStyle w:val="19"/>
              <w:rPr>
                <w:rFonts w:hint="eastAsia" w:ascii="仿宋" w:hAnsi="仿宋" w:eastAsia="仿宋" w:cs="仿宋"/>
              </w:rPr>
            </w:pPr>
            <w:r>
              <w:rPr>
                <w:rFonts w:hint="eastAsia" w:ascii="仿宋" w:hAnsi="仿宋" w:eastAsia="仿宋" w:cs="仿宋"/>
              </w:rPr>
              <w:t>单位    资金</w:t>
            </w:r>
          </w:p>
        </w:tc>
        <w:tc>
          <w:tcPr>
            <w:tcW w:w="937" w:type="dxa"/>
            <w:vAlign w:val="center"/>
          </w:tcPr>
          <w:p>
            <w:pPr>
              <w:pStyle w:val="19"/>
              <w:rPr>
                <w:rFonts w:hint="eastAsia" w:ascii="仿宋" w:hAnsi="仿宋" w:eastAsia="仿宋" w:cs="仿宋"/>
              </w:rPr>
            </w:pPr>
            <w:r>
              <w:rPr>
                <w:rFonts w:hint="eastAsia" w:ascii="仿宋" w:hAnsi="仿宋" w:eastAsia="仿宋" w:cs="仿宋"/>
              </w:rPr>
              <w:t>财政拨    款结转</w:t>
            </w:r>
          </w:p>
        </w:tc>
        <w:tc>
          <w:tcPr>
            <w:tcW w:w="942" w:type="dxa"/>
            <w:vAlign w:val="center"/>
          </w:tcPr>
          <w:p>
            <w:pPr>
              <w:pStyle w:val="19"/>
              <w:rPr>
                <w:rFonts w:hint="eastAsia" w:ascii="仿宋" w:hAnsi="仿宋" w:eastAsia="仿宋" w:cs="仿宋"/>
              </w:rPr>
            </w:pPr>
            <w:r>
              <w:rPr>
                <w:rFonts w:hint="eastAsia" w:ascii="仿宋" w:hAnsi="仿宋" w:eastAsia="仿宋" w:cs="仿宋"/>
              </w:rPr>
              <w:t>非财政    拨款结    转结余</w:t>
            </w:r>
          </w:p>
        </w:tc>
        <w:tc>
          <w:tcPr>
            <w:tcW w:w="937"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31" w:hRule="atLeast"/>
          <w:jc w:val="center"/>
        </w:trPr>
        <w:tc>
          <w:tcPr>
            <w:tcW w:w="1654" w:type="dxa"/>
            <w:vAlign w:val="center"/>
          </w:tcPr>
          <w:p>
            <w:pPr>
              <w:pStyle w:val="20"/>
              <w:rPr>
                <w:rFonts w:hint="eastAsia" w:ascii="仿宋" w:hAnsi="仿宋" w:eastAsia="仿宋" w:cs="仿宋"/>
              </w:rPr>
            </w:pPr>
          </w:p>
        </w:tc>
        <w:tc>
          <w:tcPr>
            <w:tcW w:w="938" w:type="dxa"/>
            <w:vAlign w:val="center"/>
          </w:tcPr>
          <w:p>
            <w:pPr>
              <w:pStyle w:val="21"/>
              <w:rPr>
                <w:rFonts w:hint="eastAsia" w:ascii="仿宋" w:hAnsi="仿宋" w:eastAsia="仿宋" w:cs="仿宋"/>
              </w:rPr>
            </w:pPr>
          </w:p>
        </w:tc>
        <w:tc>
          <w:tcPr>
            <w:tcW w:w="1102" w:type="dxa"/>
            <w:vAlign w:val="center"/>
          </w:tcPr>
          <w:p>
            <w:pPr>
              <w:pStyle w:val="20"/>
              <w:rPr>
                <w:rFonts w:hint="eastAsia" w:ascii="仿宋" w:hAnsi="仿宋" w:eastAsia="仿宋" w:cs="仿宋"/>
              </w:rPr>
            </w:pPr>
          </w:p>
        </w:tc>
        <w:tc>
          <w:tcPr>
            <w:tcW w:w="1102" w:type="dxa"/>
            <w:vAlign w:val="center"/>
          </w:tcPr>
          <w:p>
            <w:pPr>
              <w:pStyle w:val="20"/>
              <w:rPr>
                <w:rFonts w:hint="eastAsia" w:ascii="仿宋" w:hAnsi="仿宋" w:eastAsia="仿宋" w:cs="仿宋"/>
              </w:rPr>
            </w:pPr>
          </w:p>
        </w:tc>
        <w:tc>
          <w:tcPr>
            <w:tcW w:w="689" w:type="dxa"/>
            <w:vAlign w:val="center"/>
          </w:tcPr>
          <w:p>
            <w:pPr>
              <w:pStyle w:val="22"/>
              <w:rPr>
                <w:rFonts w:hint="eastAsia" w:ascii="仿宋" w:hAnsi="仿宋" w:eastAsia="仿宋" w:cs="仿宋"/>
              </w:rPr>
            </w:pPr>
          </w:p>
        </w:tc>
        <w:tc>
          <w:tcPr>
            <w:tcW w:w="826" w:type="dxa"/>
            <w:vAlign w:val="center"/>
          </w:tcPr>
          <w:p>
            <w:pPr>
              <w:pStyle w:val="21"/>
              <w:rPr>
                <w:rFonts w:hint="eastAsia" w:ascii="仿宋" w:hAnsi="仿宋" w:eastAsia="仿宋" w:cs="仿宋"/>
              </w:rPr>
            </w:pPr>
          </w:p>
        </w:tc>
        <w:tc>
          <w:tcPr>
            <w:tcW w:w="830"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42"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31" w:hRule="atLeast"/>
          <w:jc w:val="center"/>
        </w:trPr>
        <w:tc>
          <w:tcPr>
            <w:tcW w:w="1654" w:type="dxa"/>
            <w:vAlign w:val="center"/>
          </w:tcPr>
          <w:p>
            <w:pPr>
              <w:pStyle w:val="20"/>
              <w:rPr>
                <w:rFonts w:hint="eastAsia" w:ascii="仿宋" w:hAnsi="仿宋" w:eastAsia="仿宋" w:cs="仿宋"/>
              </w:rPr>
            </w:pPr>
          </w:p>
        </w:tc>
        <w:tc>
          <w:tcPr>
            <w:tcW w:w="938" w:type="dxa"/>
            <w:vAlign w:val="center"/>
          </w:tcPr>
          <w:p>
            <w:pPr>
              <w:pStyle w:val="21"/>
              <w:rPr>
                <w:rFonts w:hint="eastAsia" w:ascii="仿宋" w:hAnsi="仿宋" w:eastAsia="仿宋" w:cs="仿宋"/>
              </w:rPr>
            </w:pPr>
          </w:p>
        </w:tc>
        <w:tc>
          <w:tcPr>
            <w:tcW w:w="1102" w:type="dxa"/>
            <w:vAlign w:val="center"/>
          </w:tcPr>
          <w:p>
            <w:pPr>
              <w:pStyle w:val="20"/>
              <w:rPr>
                <w:rFonts w:hint="eastAsia" w:ascii="仿宋" w:hAnsi="仿宋" w:eastAsia="仿宋" w:cs="仿宋"/>
              </w:rPr>
            </w:pPr>
          </w:p>
        </w:tc>
        <w:tc>
          <w:tcPr>
            <w:tcW w:w="1102" w:type="dxa"/>
            <w:vAlign w:val="center"/>
          </w:tcPr>
          <w:p>
            <w:pPr>
              <w:pStyle w:val="20"/>
              <w:rPr>
                <w:rFonts w:hint="eastAsia" w:ascii="仿宋" w:hAnsi="仿宋" w:eastAsia="仿宋" w:cs="仿宋"/>
              </w:rPr>
            </w:pPr>
          </w:p>
        </w:tc>
        <w:tc>
          <w:tcPr>
            <w:tcW w:w="689" w:type="dxa"/>
            <w:vAlign w:val="center"/>
          </w:tcPr>
          <w:p>
            <w:pPr>
              <w:pStyle w:val="22"/>
              <w:rPr>
                <w:rFonts w:hint="eastAsia" w:ascii="仿宋" w:hAnsi="仿宋" w:eastAsia="仿宋" w:cs="仿宋"/>
              </w:rPr>
            </w:pPr>
          </w:p>
        </w:tc>
        <w:tc>
          <w:tcPr>
            <w:tcW w:w="826" w:type="dxa"/>
            <w:vAlign w:val="center"/>
          </w:tcPr>
          <w:p>
            <w:pPr>
              <w:pStyle w:val="21"/>
              <w:rPr>
                <w:rFonts w:hint="eastAsia" w:ascii="仿宋" w:hAnsi="仿宋" w:eastAsia="仿宋" w:cs="仿宋"/>
              </w:rPr>
            </w:pPr>
          </w:p>
        </w:tc>
        <w:tc>
          <w:tcPr>
            <w:tcW w:w="830"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c>
          <w:tcPr>
            <w:tcW w:w="942" w:type="dxa"/>
            <w:vAlign w:val="center"/>
          </w:tcPr>
          <w:p>
            <w:pPr>
              <w:pStyle w:val="21"/>
              <w:rPr>
                <w:rFonts w:hint="eastAsia" w:ascii="仿宋" w:hAnsi="仿宋" w:eastAsia="仿宋" w:cs="仿宋"/>
              </w:rPr>
            </w:pPr>
          </w:p>
        </w:tc>
        <w:tc>
          <w:tcPr>
            <w:tcW w:w="937" w:type="dxa"/>
            <w:vAlign w:val="center"/>
          </w:tcPr>
          <w:p>
            <w:pPr>
              <w:pStyle w:val="21"/>
              <w:rPr>
                <w:rFonts w:hint="eastAsia" w:ascii="仿宋" w:hAnsi="仿宋" w:eastAsia="仿宋" w:cs="仿宋"/>
              </w:rPr>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val="en-US" w:eastAsia="zh-CN"/>
        </w:rPr>
        <w:t>本单位政府采购在局本级汇总预算公开</w:t>
      </w:r>
      <w:r>
        <w:rPr>
          <w:rFonts w:ascii="方正书宋_GBK" w:hAnsi="方正书宋_GBK" w:eastAsia="方正书宋_GBK" w:cs="方正书宋_GBK"/>
          <w:color w:val="000000"/>
          <w:sz w:val="21"/>
        </w:rPr>
        <w:t>。</w:t>
      </w:r>
    </w:p>
    <w:p>
      <w:pPr>
        <w:ind w:firstLine="420"/>
        <w:rPr>
          <w:rFonts w:ascii="方正书宋_GBK" w:hAnsi="方正书宋_GBK" w:eastAsia="方正书宋_GBK" w:cs="方正书宋_GBK"/>
          <w:color w:val="000000"/>
          <w:sz w:val="21"/>
        </w:rPr>
      </w:pPr>
    </w:p>
    <w:p>
      <w:pPr>
        <w:ind w:firstLine="640" w:firstLineChars="200"/>
        <w:outlineLvl w:val="0"/>
        <w:rPr>
          <w:rFonts w:ascii="Times New Roman" w:hAnsi="Times New Roman" w:eastAsia="仿宋" w:cs="Times New Roman"/>
          <w:sz w:val="32"/>
          <w:szCs w:val="24"/>
        </w:rPr>
      </w:pPr>
    </w:p>
    <w:bookmarkEnd w:id="0"/>
    <w:p>
      <w:pPr>
        <w:numPr>
          <w:ilvl w:val="0"/>
          <w:numId w:val="2"/>
        </w:numPr>
        <w:autoSpaceDE w:val="0"/>
        <w:autoSpaceDN w:val="0"/>
        <w:adjustRightInd w:val="0"/>
        <w:ind w:left="401" w:leftChars="0" w:firstLine="0" w:firstLineChars="0"/>
        <w:jc w:val="left"/>
        <w:rPr>
          <w:rFonts w:hint="eastAsia" w:ascii="黑体" w:hAnsi="黑体" w:eastAsia="黑体" w:cs="Times New Roman"/>
          <w:sz w:val="32"/>
          <w:szCs w:val="32"/>
        </w:rPr>
      </w:pPr>
      <w:r>
        <w:rPr>
          <w:rFonts w:hint="eastAsia" w:ascii="黑体" w:hAnsi="黑体" w:eastAsia="黑体" w:cs="Times New Roman"/>
          <w:sz w:val="32"/>
          <w:szCs w:val="32"/>
        </w:rPr>
        <w:t>国有资产信息</w:t>
      </w:r>
    </w:p>
    <w:p>
      <w:pPr>
        <w:spacing w:line="500" w:lineRule="exact"/>
        <w:ind w:firstLine="560"/>
      </w:pPr>
      <w:r>
        <w:rPr>
          <w:rFonts w:ascii="Times New Roman" w:hAnsi="Times New Roman" w:eastAsia="仿宋" w:cs="Times New Roman"/>
          <w:sz w:val="32"/>
          <w:szCs w:val="24"/>
        </w:rPr>
        <w:t>隆尧县</w:t>
      </w:r>
      <w:r>
        <w:rPr>
          <w:rFonts w:hint="eastAsia" w:ascii="Times New Roman" w:hAnsi="Times New Roman" w:eastAsia="仿宋" w:cs="Times New Roman"/>
          <w:sz w:val="32"/>
          <w:szCs w:val="24"/>
          <w:lang w:val="en-US" w:eastAsia="zh-CN"/>
        </w:rPr>
        <w:t>文物保护管理所</w:t>
      </w:r>
      <w:r>
        <w:rPr>
          <w:rFonts w:ascii="Times New Roman" w:hAnsi="Times New Roman" w:eastAsia="仿宋" w:cs="Times New Roman"/>
          <w:sz w:val="32"/>
          <w:szCs w:val="24"/>
        </w:rPr>
        <w:t>上年末固定资产金额为0.00万元（详见下表）。本年度拟购置固定资产总额为0.00万元，已按要求列入政府采购预算，详见政府采购预算表</w:t>
      </w:r>
      <w:r>
        <w:rPr>
          <w:rFonts w:eastAsia="方正仿宋_GBK"/>
          <w:color w:val="000000"/>
          <w:sz w:val="28"/>
        </w:rPr>
        <w:t>。</w:t>
      </w: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47"/>
        <w:gridCol w:w="2071"/>
        <w:gridCol w:w="35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6" w:hRule="atLeast"/>
          <w:tblHeader/>
          <w:jc w:val="center"/>
        </w:trPr>
        <w:tc>
          <w:tcPr>
            <w:tcW w:w="7347" w:type="dxa"/>
            <w:tcBorders>
              <w:top w:val="single" w:color="FFFFFF" w:sz="6" w:space="0"/>
              <w:left w:val="single" w:color="FFFFFF" w:sz="6" w:space="0"/>
              <w:right w:val="single" w:color="FFFFFF" w:sz="6" w:space="0"/>
            </w:tcBorders>
            <w:vAlign w:val="center"/>
          </w:tcPr>
          <w:p>
            <w:pPr>
              <w:pStyle w:val="17"/>
              <w:rPr>
                <w:rFonts w:hint="default"/>
                <w:lang w:val="en-US"/>
              </w:rPr>
            </w:pPr>
            <w:r>
              <w:t>35700</w:t>
            </w:r>
            <w:r>
              <w:rPr>
                <w:rFonts w:hint="eastAsia"/>
                <w:lang w:val="en-US" w:eastAsia="zh-CN"/>
              </w:rPr>
              <w:t>5</w:t>
            </w:r>
            <w:r>
              <w:t>隆尧县</w:t>
            </w:r>
            <w:r>
              <w:rPr>
                <w:rFonts w:hint="eastAsia"/>
                <w:lang w:val="en-US" w:eastAsia="zh-CN"/>
              </w:rPr>
              <w:t>文物保护管理所</w:t>
            </w:r>
          </w:p>
        </w:tc>
        <w:tc>
          <w:tcPr>
            <w:tcW w:w="5652" w:type="dxa"/>
            <w:gridSpan w:val="2"/>
            <w:tcBorders>
              <w:top w:val="single" w:color="FFFFFF" w:sz="6" w:space="0"/>
              <w:left w:val="single" w:color="FFFFFF" w:sz="6" w:space="0"/>
              <w:right w:val="single" w:color="FFFFFF" w:sz="6" w:space="0"/>
            </w:tcBorders>
            <w:vAlign w:val="center"/>
          </w:tcPr>
          <w:p>
            <w:pPr>
              <w:pStyle w:val="23"/>
            </w:pPr>
            <w:r>
              <w:t>截止时间：202</w:t>
            </w:r>
            <w:r>
              <w:rPr>
                <w:rFonts w:hint="eastAsia"/>
                <w:lang w:val="en-US" w:eastAsia="zh-CN"/>
              </w:rPr>
              <w:t>0</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5" w:hRule="atLeast"/>
          <w:tblHeader/>
          <w:jc w:val="center"/>
        </w:trPr>
        <w:tc>
          <w:tcPr>
            <w:tcW w:w="7347" w:type="dxa"/>
            <w:vAlign w:val="center"/>
          </w:tcPr>
          <w:p>
            <w:pPr>
              <w:pStyle w:val="19"/>
              <w:rPr>
                <w:rFonts w:hint="eastAsia" w:ascii="仿宋" w:hAnsi="仿宋" w:eastAsia="仿宋" w:cs="仿宋"/>
                <w:sz w:val="20"/>
                <w:szCs w:val="20"/>
              </w:rPr>
            </w:pPr>
            <w:r>
              <w:rPr>
                <w:rFonts w:hint="eastAsia" w:ascii="仿宋" w:hAnsi="仿宋" w:eastAsia="仿宋" w:cs="仿宋"/>
                <w:sz w:val="20"/>
                <w:szCs w:val="20"/>
              </w:rPr>
              <w:t>项   目</w:t>
            </w:r>
          </w:p>
        </w:tc>
        <w:tc>
          <w:tcPr>
            <w:tcW w:w="2071" w:type="dxa"/>
            <w:vAlign w:val="center"/>
          </w:tcPr>
          <w:p>
            <w:pPr>
              <w:pStyle w:val="19"/>
              <w:rPr>
                <w:rFonts w:hint="eastAsia" w:ascii="仿宋" w:hAnsi="仿宋" w:eastAsia="仿宋" w:cs="仿宋"/>
                <w:sz w:val="20"/>
                <w:szCs w:val="20"/>
              </w:rPr>
            </w:pPr>
            <w:r>
              <w:rPr>
                <w:rFonts w:hint="eastAsia" w:ascii="仿宋" w:hAnsi="仿宋" w:eastAsia="仿宋" w:cs="仿宋"/>
                <w:sz w:val="20"/>
                <w:szCs w:val="20"/>
              </w:rPr>
              <w:t>数量</w:t>
            </w:r>
          </w:p>
        </w:tc>
        <w:tc>
          <w:tcPr>
            <w:tcW w:w="3581" w:type="dxa"/>
            <w:vAlign w:val="center"/>
          </w:tcPr>
          <w:p>
            <w:pPr>
              <w:pStyle w:val="19"/>
              <w:rPr>
                <w:rFonts w:hint="eastAsia" w:ascii="仿宋" w:hAnsi="仿宋" w:eastAsia="仿宋" w:cs="仿宋"/>
                <w:sz w:val="20"/>
                <w:szCs w:val="20"/>
              </w:rPr>
            </w:pPr>
            <w:r>
              <w:rPr>
                <w:rFonts w:hint="eastAsia" w:ascii="仿宋" w:hAnsi="仿宋" w:eastAsia="仿宋" w:cs="仿宋"/>
                <w:sz w:val="20"/>
                <w:szCs w:val="20"/>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8" w:hRule="atLeast"/>
          <w:jc w:val="center"/>
        </w:trPr>
        <w:tc>
          <w:tcPr>
            <w:tcW w:w="7347" w:type="dxa"/>
            <w:vAlign w:val="center"/>
          </w:tcPr>
          <w:p>
            <w:pPr>
              <w:pStyle w:val="20"/>
              <w:rPr>
                <w:rFonts w:hint="eastAsia" w:ascii="仿宋" w:hAnsi="仿宋" w:eastAsia="仿宋" w:cs="仿宋"/>
                <w:sz w:val="20"/>
                <w:szCs w:val="20"/>
              </w:rPr>
            </w:pPr>
            <w:r>
              <w:rPr>
                <w:rFonts w:hint="eastAsia" w:ascii="仿宋" w:hAnsi="仿宋" w:eastAsia="仿宋" w:cs="仿宋"/>
                <w:sz w:val="20"/>
                <w:szCs w:val="20"/>
              </w:rPr>
              <w:t>资产总额</w:t>
            </w:r>
          </w:p>
        </w:tc>
        <w:tc>
          <w:tcPr>
            <w:tcW w:w="2071" w:type="dxa"/>
            <w:vAlign w:val="center"/>
          </w:tcPr>
          <w:p>
            <w:pPr>
              <w:pStyle w:val="22"/>
              <w:rPr>
                <w:rFonts w:hint="eastAsia" w:ascii="仿宋" w:hAnsi="仿宋" w:eastAsia="仿宋" w:cs="仿宋"/>
                <w:sz w:val="20"/>
                <w:szCs w:val="20"/>
              </w:rPr>
            </w:pPr>
          </w:p>
        </w:tc>
        <w:tc>
          <w:tcPr>
            <w:tcW w:w="3581" w:type="dxa"/>
            <w:vAlign w:val="center"/>
          </w:tcPr>
          <w:p>
            <w:pPr>
              <w:pStyle w:val="21"/>
              <w:rPr>
                <w:rFonts w:hint="eastAsia" w:ascii="仿宋" w:hAnsi="仿宋" w:eastAsia="仿宋" w:cs="仿宋"/>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8" w:hRule="atLeast"/>
          <w:jc w:val="center"/>
        </w:trPr>
        <w:tc>
          <w:tcPr>
            <w:tcW w:w="7347" w:type="dxa"/>
            <w:vAlign w:val="center"/>
          </w:tcPr>
          <w:p>
            <w:pPr>
              <w:pStyle w:val="20"/>
              <w:rPr>
                <w:rFonts w:hint="eastAsia" w:ascii="仿宋" w:hAnsi="仿宋" w:eastAsia="仿宋" w:cs="仿宋"/>
                <w:sz w:val="20"/>
                <w:szCs w:val="20"/>
              </w:rPr>
            </w:pPr>
            <w:r>
              <w:rPr>
                <w:rFonts w:hint="eastAsia" w:ascii="仿宋" w:hAnsi="仿宋" w:eastAsia="仿宋" w:cs="仿宋"/>
                <w:sz w:val="20"/>
                <w:szCs w:val="20"/>
              </w:rPr>
              <w:t>1、房屋（平方米）</w:t>
            </w:r>
          </w:p>
        </w:tc>
        <w:tc>
          <w:tcPr>
            <w:tcW w:w="2071" w:type="dxa"/>
            <w:vAlign w:val="center"/>
          </w:tcPr>
          <w:p>
            <w:pPr>
              <w:pStyle w:val="22"/>
              <w:rPr>
                <w:rFonts w:hint="eastAsia" w:ascii="仿宋" w:hAnsi="仿宋" w:eastAsia="仿宋" w:cs="仿宋"/>
                <w:sz w:val="20"/>
                <w:szCs w:val="20"/>
              </w:rPr>
            </w:pPr>
          </w:p>
        </w:tc>
        <w:tc>
          <w:tcPr>
            <w:tcW w:w="3581" w:type="dxa"/>
            <w:vAlign w:val="center"/>
          </w:tcPr>
          <w:p>
            <w:pPr>
              <w:pStyle w:val="21"/>
              <w:rPr>
                <w:rFonts w:hint="eastAsia" w:ascii="仿宋" w:hAnsi="仿宋" w:eastAsia="仿宋" w:cs="仿宋"/>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8" w:hRule="atLeast"/>
          <w:jc w:val="center"/>
        </w:trPr>
        <w:tc>
          <w:tcPr>
            <w:tcW w:w="7347" w:type="dxa"/>
            <w:vAlign w:val="center"/>
          </w:tcPr>
          <w:p>
            <w:pPr>
              <w:pStyle w:val="20"/>
              <w:rPr>
                <w:rFonts w:hint="eastAsia" w:ascii="仿宋" w:hAnsi="仿宋" w:eastAsia="仿宋" w:cs="仿宋"/>
                <w:sz w:val="20"/>
                <w:szCs w:val="20"/>
              </w:rPr>
            </w:pPr>
            <w:r>
              <w:rPr>
                <w:rFonts w:hint="eastAsia" w:ascii="仿宋" w:hAnsi="仿宋" w:eastAsia="仿宋" w:cs="仿宋"/>
                <w:sz w:val="20"/>
                <w:szCs w:val="20"/>
              </w:rPr>
              <w:t>　　其中：办公用房（平方米）</w:t>
            </w:r>
          </w:p>
        </w:tc>
        <w:tc>
          <w:tcPr>
            <w:tcW w:w="2071" w:type="dxa"/>
            <w:vAlign w:val="center"/>
          </w:tcPr>
          <w:p>
            <w:pPr>
              <w:pStyle w:val="22"/>
              <w:rPr>
                <w:rFonts w:hint="eastAsia" w:ascii="仿宋" w:hAnsi="仿宋" w:eastAsia="仿宋" w:cs="仿宋"/>
                <w:sz w:val="20"/>
                <w:szCs w:val="20"/>
              </w:rPr>
            </w:pPr>
          </w:p>
        </w:tc>
        <w:tc>
          <w:tcPr>
            <w:tcW w:w="3581" w:type="dxa"/>
            <w:vAlign w:val="center"/>
          </w:tcPr>
          <w:p>
            <w:pPr>
              <w:pStyle w:val="21"/>
              <w:rPr>
                <w:rFonts w:hint="eastAsia" w:ascii="仿宋" w:hAnsi="仿宋" w:eastAsia="仿宋" w:cs="仿宋"/>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8" w:hRule="atLeast"/>
          <w:jc w:val="center"/>
        </w:trPr>
        <w:tc>
          <w:tcPr>
            <w:tcW w:w="7347" w:type="dxa"/>
            <w:vAlign w:val="center"/>
          </w:tcPr>
          <w:p>
            <w:pPr>
              <w:pStyle w:val="20"/>
              <w:rPr>
                <w:rFonts w:hint="eastAsia" w:ascii="仿宋" w:hAnsi="仿宋" w:eastAsia="仿宋" w:cs="仿宋"/>
                <w:sz w:val="20"/>
                <w:szCs w:val="20"/>
              </w:rPr>
            </w:pPr>
            <w:r>
              <w:rPr>
                <w:rFonts w:hint="eastAsia" w:ascii="仿宋" w:hAnsi="仿宋" w:eastAsia="仿宋" w:cs="仿宋"/>
                <w:sz w:val="20"/>
                <w:szCs w:val="20"/>
              </w:rPr>
              <w:t>2、车辆（台、辆）</w:t>
            </w:r>
          </w:p>
        </w:tc>
        <w:tc>
          <w:tcPr>
            <w:tcW w:w="2071" w:type="dxa"/>
            <w:vAlign w:val="center"/>
          </w:tcPr>
          <w:p>
            <w:pPr>
              <w:pStyle w:val="22"/>
              <w:rPr>
                <w:rFonts w:hint="eastAsia" w:ascii="仿宋" w:hAnsi="仿宋" w:eastAsia="仿宋" w:cs="仿宋"/>
                <w:sz w:val="20"/>
                <w:szCs w:val="20"/>
              </w:rPr>
            </w:pPr>
          </w:p>
        </w:tc>
        <w:tc>
          <w:tcPr>
            <w:tcW w:w="3581" w:type="dxa"/>
            <w:vAlign w:val="center"/>
          </w:tcPr>
          <w:p>
            <w:pPr>
              <w:pStyle w:val="21"/>
              <w:rPr>
                <w:rFonts w:hint="eastAsia" w:ascii="仿宋" w:hAnsi="仿宋" w:eastAsia="仿宋" w:cs="仿宋"/>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8" w:hRule="atLeast"/>
          <w:jc w:val="center"/>
        </w:trPr>
        <w:tc>
          <w:tcPr>
            <w:tcW w:w="7347" w:type="dxa"/>
            <w:vAlign w:val="center"/>
          </w:tcPr>
          <w:p>
            <w:pPr>
              <w:pStyle w:val="20"/>
              <w:rPr>
                <w:rFonts w:hint="eastAsia" w:ascii="仿宋" w:hAnsi="仿宋" w:eastAsia="仿宋" w:cs="仿宋"/>
                <w:sz w:val="20"/>
                <w:szCs w:val="20"/>
              </w:rPr>
            </w:pPr>
            <w:r>
              <w:rPr>
                <w:rFonts w:hint="eastAsia" w:ascii="仿宋" w:hAnsi="仿宋" w:eastAsia="仿宋" w:cs="仿宋"/>
                <w:sz w:val="20"/>
                <w:szCs w:val="20"/>
              </w:rPr>
              <w:t>3、单价在20万元以上的设备</w:t>
            </w:r>
          </w:p>
        </w:tc>
        <w:tc>
          <w:tcPr>
            <w:tcW w:w="2071" w:type="dxa"/>
            <w:vAlign w:val="center"/>
          </w:tcPr>
          <w:p>
            <w:pPr>
              <w:pStyle w:val="22"/>
              <w:rPr>
                <w:rFonts w:hint="eastAsia" w:ascii="仿宋" w:hAnsi="仿宋" w:eastAsia="仿宋" w:cs="仿宋"/>
                <w:sz w:val="20"/>
                <w:szCs w:val="20"/>
              </w:rPr>
            </w:pPr>
          </w:p>
        </w:tc>
        <w:tc>
          <w:tcPr>
            <w:tcW w:w="3581" w:type="dxa"/>
            <w:vAlign w:val="center"/>
          </w:tcPr>
          <w:p>
            <w:pPr>
              <w:pStyle w:val="21"/>
              <w:rPr>
                <w:rFonts w:hint="eastAsia" w:ascii="仿宋" w:hAnsi="仿宋" w:eastAsia="仿宋" w:cs="仿宋"/>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1" w:hRule="atLeast"/>
          <w:jc w:val="center"/>
        </w:trPr>
        <w:tc>
          <w:tcPr>
            <w:tcW w:w="7347" w:type="dxa"/>
            <w:vAlign w:val="center"/>
          </w:tcPr>
          <w:p>
            <w:pPr>
              <w:pStyle w:val="20"/>
              <w:rPr>
                <w:rFonts w:hint="eastAsia" w:ascii="仿宋" w:hAnsi="仿宋" w:eastAsia="仿宋" w:cs="仿宋"/>
                <w:sz w:val="20"/>
                <w:szCs w:val="20"/>
              </w:rPr>
            </w:pPr>
            <w:r>
              <w:rPr>
                <w:rFonts w:hint="eastAsia" w:ascii="仿宋" w:hAnsi="仿宋" w:eastAsia="仿宋" w:cs="仿宋"/>
                <w:sz w:val="20"/>
                <w:szCs w:val="20"/>
              </w:rPr>
              <w:t>4、其他固定资产</w:t>
            </w:r>
          </w:p>
        </w:tc>
        <w:tc>
          <w:tcPr>
            <w:tcW w:w="2071" w:type="dxa"/>
            <w:vAlign w:val="center"/>
          </w:tcPr>
          <w:p>
            <w:pPr>
              <w:pStyle w:val="22"/>
              <w:rPr>
                <w:rFonts w:hint="eastAsia" w:ascii="仿宋" w:hAnsi="仿宋" w:eastAsia="仿宋" w:cs="仿宋"/>
                <w:sz w:val="20"/>
                <w:szCs w:val="20"/>
              </w:rPr>
            </w:pPr>
          </w:p>
        </w:tc>
        <w:tc>
          <w:tcPr>
            <w:tcW w:w="3581" w:type="dxa"/>
            <w:vAlign w:val="center"/>
          </w:tcPr>
          <w:p>
            <w:pPr>
              <w:pStyle w:val="21"/>
              <w:rPr>
                <w:rFonts w:hint="eastAsia" w:ascii="仿宋" w:hAnsi="仿宋" w:eastAsia="仿宋" w:cs="仿宋"/>
                <w:sz w:val="20"/>
                <w:szCs w:val="20"/>
              </w:rPr>
            </w:pPr>
          </w:p>
        </w:tc>
      </w:tr>
    </w:tbl>
    <w:p>
      <w:pPr>
        <w:ind w:firstLine="420"/>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val="en-US" w:eastAsia="zh-CN"/>
        </w:rPr>
        <w:t>本单位固定资产在局本级汇总预算公开</w:t>
      </w:r>
      <w:r>
        <w:rPr>
          <w:rFonts w:ascii="方正书宋_GBK" w:hAnsi="方正书宋_GBK" w:eastAsia="方正书宋_GBK" w:cs="方正书宋_GBK"/>
          <w:color w:val="000000"/>
          <w:sz w:val="21"/>
        </w:rPr>
        <w:t>。</w:t>
      </w:r>
    </w:p>
    <w:p>
      <w:pPr>
        <w:ind w:firstLine="640"/>
        <w:rPr>
          <w:rFonts w:eastAsia="方正仿宋_GBK"/>
          <w:color w:val="000000"/>
          <w:sz w:val="32"/>
        </w:rPr>
      </w:pPr>
      <w:r>
        <w:rPr>
          <w:rFonts w:eastAsia="方正仿宋_GBK"/>
          <w:color w:val="000000"/>
          <w:sz w:val="32"/>
        </w:rPr>
        <w:t xml:space="preserve"> </w:t>
      </w:r>
    </w:p>
    <w:p>
      <w:pPr>
        <w:ind w:firstLine="640"/>
        <w:rPr>
          <w:rFonts w:ascii="黑体" w:hAnsi="黑体" w:eastAsia="黑体" w:cs="Times New Roman"/>
          <w:sz w:val="32"/>
          <w:szCs w:val="32"/>
        </w:rPr>
      </w:pPr>
      <w:bookmarkStart w:id="2" w:name="_GoBack"/>
      <w:bookmarkEnd w:id="2"/>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0"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w:t>
      </w:r>
      <w:r>
        <w:rPr>
          <w:rFonts w:hint="eastAsia" w:ascii="Times New Roman" w:hAnsi="Times New Roman" w:eastAsia="仿宋" w:cs="Times New Roman"/>
          <w:sz w:val="32"/>
          <w:szCs w:val="32"/>
          <w:lang w:val="en-US" w:eastAsia="zh-CN"/>
        </w:rPr>
        <w:t>单位</w:t>
      </w:r>
      <w:r>
        <w:rPr>
          <w:rFonts w:hint="eastAsia" w:ascii="Times New Roman" w:hAnsi="Times New Roman" w:eastAsia="仿宋" w:cs="Times New Roman"/>
          <w:sz w:val="32"/>
          <w:szCs w:val="32"/>
        </w:rPr>
        <w:t>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方正小标宋_GBK">
    <w:altName w:val="宋体"/>
    <w:panose1 w:val="00000000000000000000"/>
    <w:charset w:val="86"/>
    <w:family w:val="roman"/>
    <w:pitch w:val="default"/>
    <w:sig w:usb0="00000000" w:usb1="00000000" w:usb2="00000000" w:usb3="00000000" w:csb0="00040001" w:csb1="00000000"/>
  </w:font>
  <w:font w:name="方正书宋_GBK">
    <w:altName w:val="微软雅黑"/>
    <w:panose1 w:val="00000000000000000000"/>
    <w:charset w:val="00"/>
    <w:family w:val="auto"/>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宋体-方正超大字符集">
    <w:altName w:val="微软雅黑"/>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22</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6529E7"/>
    <w:multiLevelType w:val="singleLevel"/>
    <w:tmpl w:val="DF6529E7"/>
    <w:lvl w:ilvl="0" w:tentative="0">
      <w:start w:val="6"/>
      <w:numFmt w:val="chineseCounting"/>
      <w:suff w:val="nothing"/>
      <w:lvlText w:val="%1、"/>
      <w:lvlJc w:val="left"/>
      <w:pPr>
        <w:ind w:left="401" w:leftChars="0" w:firstLine="0" w:firstLineChars="0"/>
      </w:pPr>
      <w:rPr>
        <w:rFonts w:hint="eastAsia"/>
      </w:rPr>
    </w:lvl>
  </w:abstractNum>
  <w:abstractNum w:abstractNumId="1">
    <w:nsid w:val="E3704D67"/>
    <w:multiLevelType w:val="singleLevel"/>
    <w:tmpl w:val="E3704D67"/>
    <w:lvl w:ilvl="0" w:tentative="0">
      <w:start w:val="5"/>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zVlM2QyOTRlOGRlYzFkYjQ0YTE2NDNlMjhhZmE0YzMifQ=="/>
  </w:docVars>
  <w:rsids>
    <w:rsidRoot w:val="00EE71BA"/>
    <w:rsid w:val="00000C13"/>
    <w:rsid w:val="00004C68"/>
    <w:rsid w:val="0005389F"/>
    <w:rsid w:val="00055CF2"/>
    <w:rsid w:val="000613AE"/>
    <w:rsid w:val="000C7140"/>
    <w:rsid w:val="00143A53"/>
    <w:rsid w:val="001C39C8"/>
    <w:rsid w:val="001E7B45"/>
    <w:rsid w:val="00261CA5"/>
    <w:rsid w:val="002C2973"/>
    <w:rsid w:val="002C5350"/>
    <w:rsid w:val="002F5B50"/>
    <w:rsid w:val="003016EE"/>
    <w:rsid w:val="003217D9"/>
    <w:rsid w:val="00323B29"/>
    <w:rsid w:val="00351734"/>
    <w:rsid w:val="00352B09"/>
    <w:rsid w:val="0039059E"/>
    <w:rsid w:val="003B04C3"/>
    <w:rsid w:val="003B10FE"/>
    <w:rsid w:val="003E3F6E"/>
    <w:rsid w:val="004336D3"/>
    <w:rsid w:val="004D34B5"/>
    <w:rsid w:val="004D373C"/>
    <w:rsid w:val="00515154"/>
    <w:rsid w:val="00554D54"/>
    <w:rsid w:val="00571421"/>
    <w:rsid w:val="00593A3E"/>
    <w:rsid w:val="005C15C5"/>
    <w:rsid w:val="005F604A"/>
    <w:rsid w:val="0063225A"/>
    <w:rsid w:val="00634AA0"/>
    <w:rsid w:val="006B01DB"/>
    <w:rsid w:val="006D5F66"/>
    <w:rsid w:val="007050F9"/>
    <w:rsid w:val="00705412"/>
    <w:rsid w:val="00723F56"/>
    <w:rsid w:val="0076122D"/>
    <w:rsid w:val="00783B27"/>
    <w:rsid w:val="007A4718"/>
    <w:rsid w:val="007C4505"/>
    <w:rsid w:val="007F0341"/>
    <w:rsid w:val="00803134"/>
    <w:rsid w:val="0084454A"/>
    <w:rsid w:val="0086432D"/>
    <w:rsid w:val="008947E4"/>
    <w:rsid w:val="008B78C2"/>
    <w:rsid w:val="00936666"/>
    <w:rsid w:val="0095719F"/>
    <w:rsid w:val="00975CE9"/>
    <w:rsid w:val="00986D77"/>
    <w:rsid w:val="009A521C"/>
    <w:rsid w:val="009D7124"/>
    <w:rsid w:val="009E49C0"/>
    <w:rsid w:val="00A117EC"/>
    <w:rsid w:val="00A74809"/>
    <w:rsid w:val="00A87352"/>
    <w:rsid w:val="00AA3FFF"/>
    <w:rsid w:val="00AD3E38"/>
    <w:rsid w:val="00AF7253"/>
    <w:rsid w:val="00B26D91"/>
    <w:rsid w:val="00B320CB"/>
    <w:rsid w:val="00B34542"/>
    <w:rsid w:val="00B4383F"/>
    <w:rsid w:val="00B51263"/>
    <w:rsid w:val="00B6444E"/>
    <w:rsid w:val="00B671E3"/>
    <w:rsid w:val="00B75617"/>
    <w:rsid w:val="00BA42E0"/>
    <w:rsid w:val="00BA7F37"/>
    <w:rsid w:val="00BB7B1B"/>
    <w:rsid w:val="00BE537A"/>
    <w:rsid w:val="00BF7CDF"/>
    <w:rsid w:val="00C661CD"/>
    <w:rsid w:val="00C80F57"/>
    <w:rsid w:val="00C86B29"/>
    <w:rsid w:val="00C9716A"/>
    <w:rsid w:val="00CA5760"/>
    <w:rsid w:val="00CC713C"/>
    <w:rsid w:val="00CD6C81"/>
    <w:rsid w:val="00CE0F0A"/>
    <w:rsid w:val="00CF2645"/>
    <w:rsid w:val="00D518F0"/>
    <w:rsid w:val="00D607DA"/>
    <w:rsid w:val="00DB220B"/>
    <w:rsid w:val="00DC6EE5"/>
    <w:rsid w:val="00DD7A02"/>
    <w:rsid w:val="00DF0A68"/>
    <w:rsid w:val="00E24978"/>
    <w:rsid w:val="00E54986"/>
    <w:rsid w:val="00E7529E"/>
    <w:rsid w:val="00EB53C8"/>
    <w:rsid w:val="00EE71BA"/>
    <w:rsid w:val="00EF6388"/>
    <w:rsid w:val="00EF65F7"/>
    <w:rsid w:val="00F16CCF"/>
    <w:rsid w:val="00F22DC3"/>
    <w:rsid w:val="00F2479C"/>
    <w:rsid w:val="00F314B6"/>
    <w:rsid w:val="00F41500"/>
    <w:rsid w:val="00F4784F"/>
    <w:rsid w:val="00F600EE"/>
    <w:rsid w:val="00F867E4"/>
    <w:rsid w:val="00FA4733"/>
    <w:rsid w:val="00FC3EA0"/>
    <w:rsid w:val="00FD1900"/>
    <w:rsid w:val="00FD5280"/>
    <w:rsid w:val="00FD6E6B"/>
    <w:rsid w:val="00FF51F7"/>
    <w:rsid w:val="01F31A52"/>
    <w:rsid w:val="0228089F"/>
    <w:rsid w:val="03BE185C"/>
    <w:rsid w:val="04115FD9"/>
    <w:rsid w:val="05C71250"/>
    <w:rsid w:val="06CE3D7C"/>
    <w:rsid w:val="07C90F1A"/>
    <w:rsid w:val="0B8A6107"/>
    <w:rsid w:val="10101B65"/>
    <w:rsid w:val="103D29AD"/>
    <w:rsid w:val="11562AD9"/>
    <w:rsid w:val="128F4AEF"/>
    <w:rsid w:val="13462172"/>
    <w:rsid w:val="14584DA7"/>
    <w:rsid w:val="159C0D46"/>
    <w:rsid w:val="18167B9D"/>
    <w:rsid w:val="1A8567D8"/>
    <w:rsid w:val="1F705FE0"/>
    <w:rsid w:val="1FFF6A39"/>
    <w:rsid w:val="21065F15"/>
    <w:rsid w:val="21B8349B"/>
    <w:rsid w:val="221E2CCE"/>
    <w:rsid w:val="22316E51"/>
    <w:rsid w:val="2329517E"/>
    <w:rsid w:val="236E1A8C"/>
    <w:rsid w:val="239A6684"/>
    <w:rsid w:val="23F03531"/>
    <w:rsid w:val="257F0574"/>
    <w:rsid w:val="26165C7A"/>
    <w:rsid w:val="261C3555"/>
    <w:rsid w:val="29214D22"/>
    <w:rsid w:val="298C36DF"/>
    <w:rsid w:val="29CA250B"/>
    <w:rsid w:val="2BDE1E06"/>
    <w:rsid w:val="2F9571DA"/>
    <w:rsid w:val="322A32F5"/>
    <w:rsid w:val="33BB1EE6"/>
    <w:rsid w:val="36D87DFF"/>
    <w:rsid w:val="38437CCC"/>
    <w:rsid w:val="3BDB7227"/>
    <w:rsid w:val="40433BE9"/>
    <w:rsid w:val="41754D4A"/>
    <w:rsid w:val="436237B4"/>
    <w:rsid w:val="45542A21"/>
    <w:rsid w:val="473351AD"/>
    <w:rsid w:val="4963382A"/>
    <w:rsid w:val="4A140B33"/>
    <w:rsid w:val="4B8161AB"/>
    <w:rsid w:val="57E328F0"/>
    <w:rsid w:val="58FA165F"/>
    <w:rsid w:val="58FF13D2"/>
    <w:rsid w:val="5A2E0E39"/>
    <w:rsid w:val="5A564C97"/>
    <w:rsid w:val="5D5A2181"/>
    <w:rsid w:val="60332067"/>
    <w:rsid w:val="624600F6"/>
    <w:rsid w:val="624A4D1C"/>
    <w:rsid w:val="62ED6F42"/>
    <w:rsid w:val="655A3A24"/>
    <w:rsid w:val="65CB4FB4"/>
    <w:rsid w:val="662D0B3A"/>
    <w:rsid w:val="66300CBD"/>
    <w:rsid w:val="6B112A13"/>
    <w:rsid w:val="6CC972CA"/>
    <w:rsid w:val="6D832250"/>
    <w:rsid w:val="6FF72288"/>
    <w:rsid w:val="714D2D21"/>
    <w:rsid w:val="72F46C6B"/>
    <w:rsid w:val="733C7821"/>
    <w:rsid w:val="73762413"/>
    <w:rsid w:val="76380DB4"/>
    <w:rsid w:val="76FB5858"/>
    <w:rsid w:val="79432040"/>
    <w:rsid w:val="7AB756AF"/>
    <w:rsid w:val="7B94398B"/>
    <w:rsid w:val="7C135940"/>
    <w:rsid w:val="7F5F158D"/>
    <w:rsid w:val="7FDB3BED"/>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5"/>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Hyperlink"/>
    <w:basedOn w:val="9"/>
    <w:semiHidden/>
    <w:unhideWhenUsed/>
    <w:qFormat/>
    <w:uiPriority w:val="99"/>
    <w:rPr>
      <w:color w:val="0000FF"/>
      <w:u w:val="single"/>
    </w:rPr>
  </w:style>
  <w:style w:type="character" w:styleId="11">
    <w:name w:val="footnote reference"/>
    <w:qFormat/>
    <w:uiPriority w:val="0"/>
    <w:rPr>
      <w:vertAlign w:val="superscript"/>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qFormat/>
    <w:uiPriority w:val="0"/>
  </w:style>
  <w:style w:type="character" w:customStyle="1" w:styleId="14">
    <w:name w:val="页脚 Char"/>
    <w:link w:val="2"/>
    <w:semiHidden/>
    <w:qFormat/>
    <w:uiPriority w:val="0"/>
    <w:rPr>
      <w:rFonts w:ascii="Times New Roman" w:hAnsi="Times New Roman" w:eastAsia="宋体" w:cs="Times New Roman"/>
      <w:sz w:val="18"/>
      <w:szCs w:val="18"/>
    </w:rPr>
  </w:style>
  <w:style w:type="character" w:customStyle="1" w:styleId="15">
    <w:name w:val="页眉 Char"/>
    <w:link w:val="3"/>
    <w:semiHidden/>
    <w:qFormat/>
    <w:uiPriority w:val="0"/>
    <w:rPr>
      <w:rFonts w:ascii="Times New Roman" w:hAnsi="Times New Roman" w:eastAsia="宋体" w:cs="Times New Roman"/>
      <w:sz w:val="18"/>
      <w:szCs w:val="1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单元格样式20"/>
    <w:basedOn w:val="1"/>
    <w:qFormat/>
    <w:uiPriority w:val="0"/>
    <w:rPr>
      <w:rFonts w:ascii="方正小标宋_GBK" w:hAnsi="方正小标宋_GBK" w:eastAsia="方正小标宋_GBK" w:cs="方正小标宋_GBK"/>
    </w:rPr>
  </w:style>
  <w:style w:type="paragraph" w:customStyle="1" w:styleId="18">
    <w:name w:val="单元格样式23"/>
    <w:basedOn w:val="1"/>
    <w:qFormat/>
    <w:uiPriority w:val="0"/>
    <w:pPr>
      <w:jc w:val="right"/>
    </w:pPr>
    <w:rPr>
      <w:rFonts w:ascii="方正书宋_GBK" w:hAnsi="方正书宋_GBK" w:eastAsia="方正书宋_GBK" w:cs="方正书宋_GBK"/>
    </w:rPr>
  </w:style>
  <w:style w:type="paragraph" w:customStyle="1" w:styleId="19">
    <w:name w:val="单元格样式1"/>
    <w:basedOn w:val="1"/>
    <w:qFormat/>
    <w:uiPriority w:val="0"/>
    <w:pPr>
      <w:jc w:val="center"/>
    </w:pPr>
    <w:rPr>
      <w:rFonts w:ascii="方正书宋_GBK" w:hAnsi="方正书宋_GBK" w:eastAsia="方正书宋_GBK" w:cs="方正书宋_GBK"/>
      <w:b/>
      <w:sz w:val="21"/>
    </w:rPr>
  </w:style>
  <w:style w:type="paragraph" w:customStyle="1" w:styleId="20">
    <w:name w:val="单元格样式2"/>
    <w:basedOn w:val="1"/>
    <w:qFormat/>
    <w:uiPriority w:val="0"/>
    <w:rPr>
      <w:rFonts w:ascii="方正书宋_GBK" w:hAnsi="方正书宋_GBK" w:eastAsia="方正书宋_GBK" w:cs="方正书宋_GBK"/>
      <w:sz w:val="21"/>
    </w:rPr>
  </w:style>
  <w:style w:type="paragraph" w:customStyle="1" w:styleId="21">
    <w:name w:val="单元格样式4"/>
    <w:basedOn w:val="1"/>
    <w:qFormat/>
    <w:uiPriority w:val="0"/>
    <w:pPr>
      <w:jc w:val="right"/>
    </w:pPr>
    <w:rPr>
      <w:rFonts w:ascii="方正书宋_GBK" w:hAnsi="方正书宋_GBK" w:eastAsia="方正书宋_GBK" w:cs="方正书宋_GBK"/>
      <w:sz w:val="21"/>
    </w:rPr>
  </w:style>
  <w:style w:type="paragraph" w:customStyle="1" w:styleId="22">
    <w:name w:val="单元格样式3"/>
    <w:basedOn w:val="1"/>
    <w:qFormat/>
    <w:uiPriority w:val="0"/>
    <w:pPr>
      <w:jc w:val="center"/>
    </w:pPr>
    <w:rPr>
      <w:rFonts w:ascii="方正书宋_GBK" w:hAnsi="方正书宋_GBK" w:eastAsia="方正书宋_GBK" w:cs="方正书宋_GBK"/>
      <w:sz w:val="21"/>
    </w:rPr>
  </w:style>
  <w:style w:type="paragraph" w:customStyle="1" w:styleId="23">
    <w:name w:val="单元格样式22"/>
    <w:basedOn w:val="1"/>
    <w:qFormat/>
    <w:uiPriority w:val="0"/>
    <w:pPr>
      <w:jc w:val="right"/>
    </w:pPr>
    <w:rPr>
      <w:rFonts w:ascii="方正小标宋_GBK" w:hAnsi="方正小标宋_GBK" w:eastAsia="方正小标宋_GBK" w:cs="方正小标宋_GBK"/>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numbering.xml" Type="http://schemas.openxmlformats.org/officeDocument/2006/relationships/numbering"/><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7</Pages>
  <Words>1951</Words>
  <Characters>2045</Characters>
  <Lines>127</Lines>
  <Paragraphs>35</Paragraphs>
  <TotalTime>7</TotalTime>
  <ScaleCrop>false</ScaleCrop>
  <LinksUpToDate>false</LinksUpToDate>
  <CharactersWithSpaces>2080</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2017-01-23T17:29:00Z</dcterms:created>
  <dc:creator>guest</dc:creator>
  <cp:lastModifiedBy>Hc</cp:lastModifiedBy>
  <cp:lastPrinted>2020-01-10T15:53:00Z</cp:lastPrinted>
  <dcterms:modified xsi:type="dcterms:W3CDTF">2022-09-17T01:46:46Z</dcterms:modified>
  <cp:revision>78</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35124302E63448E7A69E6AFAD061DEB9</vt:lpwstr>
  </property>
</Properties>
</file>