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中共隆尧县委政法委</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按照《预算法》、《地方预决算公开操作规程》和《河北省县级预算公开办法》规定，现将中共隆尧县委政法委</w:t>
      </w:r>
      <w:r>
        <w:rPr>
          <w:rFonts w:ascii="仿宋" w:hAnsi="仿宋" w:eastAsia="仿宋" w:cs="Times New Roman"/>
          <w:sz w:val="32"/>
          <w:szCs w:val="32"/>
        </w:rPr>
        <w:t>20</w:t>
      </w:r>
      <w:r>
        <w:rPr>
          <w:rFonts w:hint="eastAsia" w:ascii="仿宋" w:hAnsi="仿宋" w:eastAsia="仿宋" w:cs="Times New Roman"/>
          <w:sz w:val="32"/>
          <w:szCs w:val="32"/>
        </w:rPr>
        <w:t>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utoSpaceDE w:val="0"/>
        <w:autoSpaceDN w:val="0"/>
        <w:adjustRightInd w:val="0"/>
        <w:snapToGrid w:val="0"/>
        <w:spacing w:line="560" w:lineRule="atLeast"/>
        <w:ind w:left="-359" w:leftChars="-171" w:firstLine="643" w:firstLineChars="200"/>
        <w:rPr>
          <w:rFonts w:ascii="仿宋" w:hAnsi="仿宋" w:eastAsia="仿宋" w:cs="宋体"/>
          <w:kern w:val="0"/>
          <w:sz w:val="32"/>
          <w:szCs w:val="32"/>
        </w:rPr>
      </w:pPr>
      <w:r>
        <w:rPr>
          <w:rFonts w:hint="eastAsia" w:ascii="仿宋" w:hAnsi="仿宋" w:eastAsia="仿宋" w:cs="Times New Roman"/>
          <w:b/>
          <w:sz w:val="32"/>
          <w:szCs w:val="32"/>
        </w:rPr>
        <w:t>部门职责：</w:t>
      </w:r>
      <w:r>
        <w:rPr>
          <w:rFonts w:hint="eastAsia" w:ascii="仿宋" w:hAnsi="仿宋" w:eastAsia="仿宋" w:cs="仿宋_GB2312"/>
          <w:kern w:val="0"/>
          <w:sz w:val="32"/>
          <w:szCs w:val="32"/>
          <w:lang w:val="zh-CN"/>
        </w:rPr>
        <w:t>县委政法委是县委主管政法方面工作的综合职能部门</w:t>
      </w:r>
      <w:r>
        <w:rPr>
          <w:rFonts w:ascii="仿宋" w:hAnsi="仿宋" w:eastAsia="仿宋" w:cs="仿宋_GB2312"/>
          <w:kern w:val="0"/>
          <w:sz w:val="32"/>
          <w:szCs w:val="32"/>
          <w:lang w:val="zh-CN"/>
        </w:rPr>
        <w:t>;</w:t>
      </w:r>
      <w:r>
        <w:rPr>
          <w:rFonts w:hint="eastAsia" w:ascii="仿宋" w:hAnsi="仿宋" w:eastAsia="仿宋" w:cs="仿宋_GB2312"/>
          <w:kern w:val="0"/>
          <w:sz w:val="32"/>
          <w:szCs w:val="32"/>
          <w:lang w:val="zh-CN"/>
        </w:rPr>
        <w:t>主要职责是</w:t>
      </w:r>
      <w:r>
        <w:rPr>
          <w:rFonts w:ascii="仿宋" w:hAnsi="仿宋" w:eastAsia="仿宋" w:cs="仿宋_GB2312"/>
          <w:kern w:val="0"/>
          <w:sz w:val="32"/>
          <w:szCs w:val="32"/>
          <w:lang w:val="zh-CN"/>
        </w:rPr>
        <w:t>:</w:t>
      </w:r>
      <w:r>
        <w:rPr>
          <w:rFonts w:hint="eastAsia" w:ascii="仿宋" w:hAnsi="仿宋" w:eastAsia="仿宋" w:cs="宋体"/>
          <w:kern w:val="0"/>
          <w:sz w:val="32"/>
          <w:szCs w:val="32"/>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措施。研究制定加强政法干部队伍建设的措施；组织指导政法部门干部队伍的教育管理和培训工作。组织、指导有关部门开展政法、综治宣传工作，推广政法、综合治理工作的先进经验，表彰政法、综合治理工作的先进单位和先进个人。</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r>
        <w:rPr>
          <w:rFonts w:hint="eastAsia" w:ascii="仿宋" w:hAnsi="仿宋" w:eastAsia="仿宋" w:cs="宋体"/>
          <w:kern w:val="0"/>
          <w:sz w:val="32"/>
          <w:szCs w:val="32"/>
        </w:rPr>
        <w:t>根据上述职责，政法委设</w:t>
      </w:r>
      <w:r>
        <w:rPr>
          <w:rFonts w:ascii="仿宋" w:hAnsi="仿宋" w:eastAsia="仿宋" w:cs="宋体"/>
          <w:kern w:val="0"/>
          <w:sz w:val="32"/>
          <w:szCs w:val="32"/>
        </w:rPr>
        <w:t>5</w:t>
      </w:r>
      <w:r>
        <w:rPr>
          <w:rFonts w:hint="eastAsia" w:ascii="仿宋" w:hAnsi="仿宋" w:eastAsia="仿宋" w:cs="宋体"/>
          <w:kern w:val="0"/>
          <w:sz w:val="32"/>
          <w:szCs w:val="32"/>
        </w:rPr>
        <w:t>个内设机构：分别是办公室、法治执法监督股、维稳指导股、综治督导股、反邪教协调股。</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9"/>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宋体" w:hAnsi="宋体" w:cs="宋体"/>
                <w:szCs w:val="24"/>
              </w:rPr>
              <w:t>县委</w:t>
            </w:r>
            <w:r>
              <w:rPr>
                <w:rFonts w:hint="eastAsia" w:ascii="Times New Roman" w:hAnsi="Times New Roman" w:eastAsia="方正书宋_GBK" w:cs="Times New Roman"/>
                <w:szCs w:val="24"/>
              </w:rPr>
              <w:t>政法委</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按照预算管理有关规定，目前我县部门预算的编制实行综合预算管理，即全部收入和支出都反映的预算中。中共隆尧县委政法委的收支包含在部门预算中。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仿宋_GB2312" w:hAnsi="Times New Roman" w:eastAsia="仿宋_GB2312"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21年预算收入379.28万元，其中：一般公共预算收入379.28万元</w:t>
      </w:r>
      <w:r>
        <w:rPr>
          <w:rFonts w:hint="eastAsia" w:ascii="Times New Roman" w:hAnsi="Times New Roman" w:eastAsia="仿宋" w:cs="Times New Roman"/>
          <w:sz w:val="32"/>
          <w:szCs w:val="32"/>
          <w:lang w:eastAsia="zh-CN"/>
        </w:rPr>
        <w:t>，</w:t>
      </w:r>
      <w:r>
        <w:rPr>
          <w:rFonts w:hint="eastAsia" w:ascii="仿宋_GB2312" w:hAnsi="Times New Roman" w:eastAsia="仿宋_GB2312" w:cs="Times New Roman"/>
          <w:sz w:val="32"/>
          <w:szCs w:val="32"/>
        </w:rPr>
        <w:t>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收支预算总表支出栏、基本支出表、项目支出表按经济分类和支出功能分类科目编制，反映中共隆尧县委政法委年度部门预算中支出预算的总体情况。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21年部门支出预算为379.28万元，其中基本支出</w:t>
      </w:r>
      <w:r>
        <w:rPr>
          <w:rFonts w:ascii="Times New Roman" w:hAnsi="Times New Roman" w:eastAsia="仿宋" w:cs="Times New Roman"/>
          <w:sz w:val="32"/>
          <w:szCs w:val="32"/>
        </w:rPr>
        <w:t>1</w:t>
      </w:r>
      <w:r>
        <w:rPr>
          <w:rFonts w:hint="eastAsia" w:ascii="Times New Roman" w:hAnsi="Times New Roman" w:eastAsia="仿宋" w:cs="Times New Roman"/>
          <w:sz w:val="32"/>
          <w:szCs w:val="32"/>
        </w:rPr>
        <w:t>23.61万元，包括人员经费</w:t>
      </w:r>
      <w:r>
        <w:rPr>
          <w:rFonts w:ascii="Times New Roman" w:hAnsi="Times New Roman" w:eastAsia="仿宋" w:cs="Times New Roman"/>
          <w:sz w:val="32"/>
          <w:szCs w:val="32"/>
        </w:rPr>
        <w:t>1</w:t>
      </w:r>
      <w:r>
        <w:rPr>
          <w:rFonts w:hint="eastAsia" w:ascii="Times New Roman" w:hAnsi="Times New Roman" w:eastAsia="仿宋" w:cs="Times New Roman"/>
          <w:sz w:val="32"/>
          <w:szCs w:val="32"/>
        </w:rPr>
        <w:t>11.85万元和日常公用经费</w:t>
      </w:r>
      <w:r>
        <w:rPr>
          <w:rFonts w:ascii="Times New Roman" w:hAnsi="Times New Roman" w:eastAsia="仿宋" w:cs="Times New Roman"/>
          <w:sz w:val="32"/>
          <w:szCs w:val="32"/>
        </w:rPr>
        <w:t>1</w:t>
      </w:r>
      <w:r>
        <w:rPr>
          <w:rFonts w:hint="eastAsia" w:ascii="Times New Roman" w:hAnsi="Times New Roman" w:eastAsia="仿宋" w:cs="Times New Roman"/>
          <w:sz w:val="32"/>
          <w:szCs w:val="32"/>
        </w:rPr>
        <w:t>1.76万元；项目支出255.67万元，主要为精神障碍监护人责任险和以奖代补经费</w:t>
      </w:r>
      <w:r>
        <w:rPr>
          <w:rFonts w:ascii="Times New Roman" w:hAnsi="Times New Roman" w:eastAsia="仿宋" w:cs="Times New Roman"/>
          <w:sz w:val="32"/>
          <w:szCs w:val="32"/>
        </w:rPr>
        <w:t>4</w:t>
      </w:r>
      <w:r>
        <w:rPr>
          <w:rFonts w:hint="eastAsia" w:ascii="Times New Roman" w:hAnsi="Times New Roman" w:eastAsia="仿宋" w:cs="Times New Roman"/>
          <w:sz w:val="32"/>
          <w:szCs w:val="32"/>
        </w:rPr>
        <w:t>6.8万元，铁路护路经费</w:t>
      </w:r>
      <w:r>
        <w:rPr>
          <w:rFonts w:ascii="Times New Roman" w:hAnsi="Times New Roman" w:eastAsia="仿宋" w:cs="Times New Roman"/>
          <w:sz w:val="32"/>
          <w:szCs w:val="32"/>
        </w:rPr>
        <w:t>9</w:t>
      </w:r>
      <w:r>
        <w:rPr>
          <w:rFonts w:hint="eastAsia" w:ascii="Times New Roman" w:hAnsi="Times New Roman" w:eastAsia="仿宋" w:cs="Times New Roman"/>
          <w:sz w:val="32"/>
          <w:szCs w:val="32"/>
        </w:rPr>
        <w:t>.46万元，综治视联网租赁费41.12万元，综治经费</w:t>
      </w:r>
      <w:r>
        <w:rPr>
          <w:rFonts w:ascii="Times New Roman" w:hAnsi="Times New Roman" w:eastAsia="仿宋" w:cs="Times New Roman"/>
          <w:sz w:val="32"/>
          <w:szCs w:val="32"/>
        </w:rPr>
        <w:t>52</w:t>
      </w:r>
      <w:r>
        <w:rPr>
          <w:rFonts w:hint="eastAsia" w:ascii="Times New Roman" w:hAnsi="Times New Roman" w:eastAsia="仿宋" w:cs="Times New Roman"/>
          <w:sz w:val="32"/>
          <w:szCs w:val="32"/>
        </w:rPr>
        <w:t>万元，平安建设经费</w:t>
      </w:r>
      <w:r>
        <w:rPr>
          <w:rFonts w:ascii="Times New Roman" w:hAnsi="Times New Roman" w:eastAsia="仿宋" w:cs="Times New Roman"/>
          <w:sz w:val="32"/>
          <w:szCs w:val="32"/>
        </w:rPr>
        <w:t>4.25</w:t>
      </w:r>
      <w:r>
        <w:rPr>
          <w:rFonts w:hint="eastAsia" w:ascii="Times New Roman" w:hAnsi="Times New Roman" w:eastAsia="仿宋" w:cs="Times New Roman"/>
          <w:sz w:val="32"/>
          <w:szCs w:val="32"/>
        </w:rPr>
        <w:t>万元，综治网格员经费</w:t>
      </w:r>
      <w:r>
        <w:rPr>
          <w:rFonts w:ascii="Times New Roman" w:hAnsi="Times New Roman" w:eastAsia="仿宋" w:cs="Times New Roman"/>
          <w:sz w:val="32"/>
          <w:szCs w:val="32"/>
        </w:rPr>
        <w:t>12.12</w:t>
      </w:r>
      <w:r>
        <w:rPr>
          <w:rFonts w:hint="eastAsia" w:ascii="Times New Roman" w:hAnsi="Times New Roman" w:eastAsia="仿宋" w:cs="Times New Roman"/>
          <w:sz w:val="32"/>
          <w:szCs w:val="32"/>
        </w:rPr>
        <w:t>万元，综治视联网经费49.73万元，政法网租赁维保费</w:t>
      </w:r>
      <w:r>
        <w:rPr>
          <w:rFonts w:ascii="Times New Roman" w:hAnsi="Times New Roman" w:eastAsia="仿宋" w:cs="Times New Roman"/>
          <w:sz w:val="32"/>
          <w:szCs w:val="32"/>
        </w:rPr>
        <w:t>13.05</w:t>
      </w:r>
      <w:r>
        <w:rPr>
          <w:rFonts w:hint="eastAsia" w:ascii="Times New Roman" w:hAnsi="Times New Roman" w:eastAsia="仿宋" w:cs="Times New Roman"/>
          <w:sz w:val="32"/>
          <w:szCs w:val="32"/>
        </w:rPr>
        <w:t>万元，综治中心劳务派遣人员经费17.1万元，见义勇为基金10万元。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21年部门预算收支安排</w:t>
      </w:r>
      <w:r>
        <w:rPr>
          <w:rFonts w:hint="eastAsia" w:ascii="Times New Roman" w:hAnsi="Times New Roman" w:eastAsia="仿宋" w:cs="Times New Roman"/>
          <w:sz w:val="32"/>
          <w:szCs w:val="32"/>
        </w:rPr>
        <w:t>379.28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20年减少116.1万元，其中：基本支出减少1</w:t>
      </w:r>
      <w:r>
        <w:rPr>
          <w:rFonts w:ascii="Times New Roman" w:hAnsi="Times New Roman" w:eastAsia="仿宋" w:cs="Times New Roman"/>
          <w:sz w:val="32"/>
          <w:szCs w:val="32"/>
        </w:rPr>
        <w:t>2.</w:t>
      </w:r>
      <w:r>
        <w:rPr>
          <w:rFonts w:hint="eastAsia" w:ascii="Times New Roman" w:hAnsi="Times New Roman" w:eastAsia="仿宋" w:cs="Times New Roman"/>
          <w:sz w:val="32"/>
          <w:szCs w:val="32"/>
        </w:rPr>
        <w:t>18万元，主要是人员经费减少所至；项目支出减少103.92万元，主要为本年度综治中心建设经费减少所至。</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21年，我部门机关运行经费共计安排11.76万元，</w:t>
      </w:r>
      <w:r>
        <w:rPr>
          <w:rFonts w:hint="eastAsia" w:ascii="Times New Roman" w:hAnsi="Times New Roman" w:eastAsia="仿宋" w:cs="仿宋"/>
          <w:sz w:val="32"/>
          <w:szCs w:val="32"/>
        </w:rPr>
        <w:t>主要用于保证机关正常运转的办公费、邮电费、福利费、工会经费、交通费用等支出。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2021年，我部门财政拨款“三公”经费预算安排0万元，其中：因公出国（境）费0万元；公务用车购置及运维费0万元（其中：公务用车购置费0万元，公务用车运行维护费0万元)，</w:t>
      </w:r>
      <w:r>
        <w:rPr>
          <w:rFonts w:hint="eastAsia" w:ascii="Times New Roman" w:hAnsi="Times New Roman" w:eastAsia="仿宋" w:cs="Times New Roman"/>
          <w:sz w:val="32"/>
          <w:szCs w:val="32"/>
        </w:rPr>
        <w:t>与上年持平，无增减变化</w:t>
      </w:r>
      <w:r>
        <w:rPr>
          <w:rFonts w:hint="eastAsia" w:ascii="仿宋_GB2312" w:hAnsi="Times New Roman" w:eastAsia="仿宋_GB2312" w:cs="Times New Roman"/>
          <w:sz w:val="32"/>
          <w:szCs w:val="32"/>
        </w:rPr>
        <w:t>；公务接待费0万元，较上年预算减少0.5万元，</w:t>
      </w:r>
      <w:r>
        <w:rPr>
          <w:rFonts w:hint="eastAsia" w:ascii="Times New Roman" w:hAnsi="Times New Roman" w:eastAsia="仿宋" w:cs="Times New Roman"/>
          <w:sz w:val="32"/>
          <w:szCs w:val="32"/>
        </w:rPr>
        <w:t>主要是压缩开支，厉行节约所至</w:t>
      </w:r>
      <w:r>
        <w:rPr>
          <w:rFonts w:hint="eastAsia" w:ascii="仿宋_GB2312" w:hAnsi="Times New Roman" w:eastAsia="仿宋_GB2312" w:cs="Times New Roman"/>
          <w:sz w:val="32"/>
          <w:szCs w:val="32"/>
        </w:rPr>
        <w:t>。</w:t>
      </w:r>
    </w:p>
    <w:p>
      <w:pPr>
        <w:autoSpaceDE w:val="0"/>
        <w:autoSpaceDN w:val="0"/>
        <w:adjustRightInd w:val="0"/>
        <w:ind w:left="198" w:firstLine="960" w:firstLineChars="300"/>
        <w:jc w:val="left"/>
        <w:rPr>
          <w:rFonts w:ascii="黑体" w:hAnsi="黑体" w:eastAsia="黑体" w:cs="Times New Roman"/>
          <w:sz w:val="32"/>
          <w:szCs w:val="32"/>
        </w:rPr>
      </w:pPr>
      <w:bookmarkStart w:id="4" w:name="_GoBack"/>
      <w:bookmarkEnd w:id="4"/>
      <w:r>
        <w:rPr>
          <w:rFonts w:hint="eastAsia" w:ascii="黑体" w:hAnsi="黑体" w:eastAsia="黑体" w:cs="Times New Roman"/>
          <w:sz w:val="32"/>
          <w:szCs w:val="32"/>
        </w:rPr>
        <w:t>五、绩效预算信息</w:t>
      </w:r>
    </w:p>
    <w:p>
      <w:pPr>
        <w:widowControl/>
        <w:snapToGrid w:val="0"/>
        <w:spacing w:line="560" w:lineRule="atLeast"/>
        <w:ind w:firstLine="640"/>
        <w:jc w:val="left"/>
        <w:rPr>
          <w:rFonts w:ascii="仿宋" w:hAnsi="仿宋" w:eastAsia="仿宋" w:cs="宋体"/>
          <w:color w:val="000000"/>
          <w:kern w:val="0"/>
          <w:sz w:val="32"/>
          <w:szCs w:val="32"/>
        </w:rPr>
      </w:pPr>
      <w:bookmarkStart w:id="0" w:name="_Toc471398463"/>
      <w:r>
        <w:rPr>
          <w:rFonts w:hint="eastAsia" w:ascii="Times New Roman" w:hAnsi="Times New Roman" w:eastAsia="仿宋" w:cs="Times New Roman"/>
          <w:b/>
          <w:sz w:val="32"/>
          <w:szCs w:val="32"/>
        </w:rPr>
        <w:t>总体绩效目标：</w:t>
      </w:r>
      <w:r>
        <w:rPr>
          <w:rFonts w:hint="eastAsia" w:ascii="仿宋" w:hAnsi="仿宋" w:eastAsia="仿宋"/>
          <w:sz w:val="32"/>
        </w:rPr>
        <w:t>紧密围绕县委、县政府中心工作，</w:t>
      </w:r>
      <w:r>
        <w:rPr>
          <w:rFonts w:hint="eastAsia" w:ascii="仿宋" w:hAnsi="仿宋" w:eastAsia="仿宋" w:cs="宋体"/>
          <w:color w:val="000000"/>
          <w:kern w:val="0"/>
          <w:sz w:val="32"/>
          <w:szCs w:val="32"/>
        </w:rPr>
        <w:t>通过对全县科局、乡镇进行年度平安建设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部门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保障重大项目建设和经济发展环境明显改善，促进人民群众安全感和满意度进一步提升。</w:t>
      </w:r>
    </w:p>
    <w:p>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职责分类绩效目标：</w:t>
      </w:r>
    </w:p>
    <w:p>
      <w:pPr>
        <w:widowControl/>
        <w:shd w:val="clear" w:color="auto" w:fill="FFFFFF"/>
        <w:spacing w:line="560" w:lineRule="atLeast"/>
        <w:ind w:firstLine="800" w:firstLineChars="250"/>
        <w:jc w:val="left"/>
        <w:rPr>
          <w:rFonts w:ascii="仿宋_GB2312" w:hAnsi="宋体" w:eastAsia="仿宋_GB2312" w:cs="宋体"/>
          <w:color w:val="343434"/>
          <w:kern w:val="0"/>
          <w:sz w:val="32"/>
          <w:szCs w:val="32"/>
        </w:rPr>
      </w:pPr>
      <w:r>
        <w:rPr>
          <w:rFonts w:hint="eastAsia" w:ascii="仿宋" w:hAnsi="宋体" w:eastAsia="仿宋" w:cs="宋体"/>
          <w:color w:val="000000"/>
          <w:kern w:val="0"/>
          <w:sz w:val="32"/>
          <w:szCs w:val="32"/>
        </w:rPr>
        <w:t>一、根据党的路线、方针、政策和县委、县政府、市委政法委的部署，统一全县政法各部门的思想和行动。</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二、对一定时期内全县政法工作作出全局性部署，并督促贯彻落实。</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三、组织、协调、指导全县社会稳定和矛盾排查调处工作。</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四、检查县政法各部门执行法律法规和党的方针政策情况，结合实际研究制定严格公正执法、落实党的方针政策的具体措施。</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五、大力支持和严格监督县政法各部门依法行使职权，指导、协助县政法各部门在依法相互制约的同时密切配合，督促、推动大案要案查处工作，研究、协调有争议的重大、疑难案件。</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六、组织协调全县社会治安综合治理工作，充分发挥各职能部门作用，推进各项措施的落实。</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七、组织、协调、指导、督促全县法治建设工作。</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八、研究本地涉及国家安全稳定相关问题并作出决策。</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九、认真开展政法工作的调研和宣传工作，总结新经验，解决新问题。</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十、掌握全县政法队伍建设情况；研究加强政法队伍建设和领导班子建设的措施；协助纪检监察部门查处涉及政法领导干部的大案要案。</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十一、办理县委、县政府和市委政法委交办的其他事项。</w:t>
      </w:r>
    </w:p>
    <w:p>
      <w:pPr>
        <w:autoSpaceDE w:val="0"/>
        <w:autoSpaceDN w:val="0"/>
        <w:adjustRightInd w:val="0"/>
        <w:ind w:left="198" w:firstLine="643" w:firstLineChars="200"/>
        <w:jc w:val="left"/>
        <w:rPr>
          <w:rFonts w:ascii="方正小标宋_GBK" w:eastAsia="方正小标宋_GBK"/>
          <w:sz w:val="32"/>
        </w:rPr>
      </w:pPr>
      <w:r>
        <w:rPr>
          <w:rFonts w:hint="eastAsia" w:ascii="Times New Roman" w:hAnsi="Times New Roman" w:eastAsia="仿宋" w:cs="Times New Roman"/>
          <w:b/>
          <w:sz w:val="32"/>
          <w:szCs w:val="32"/>
        </w:rPr>
        <w:t>部门职责及工作活动绩效目标指标：</w:t>
      </w:r>
      <w:bookmarkEnd w:id="0"/>
      <w:bookmarkStart w:id="1" w:name="_Toc535404678"/>
    </w:p>
    <w:p>
      <w:pPr>
        <w:widowControl/>
        <w:snapToGrid w:val="0"/>
        <w:spacing w:line="560" w:lineRule="atLeast"/>
        <w:ind w:firstLine="3200" w:firstLineChars="1000"/>
        <w:rPr>
          <w:rFonts w:hint="eastAsia" w:ascii="方正小标宋_GBK" w:hAnsi="Symbol" w:eastAsia="方正小标宋_GBK"/>
          <w:color w:val="FFFFFF"/>
          <w:sz w:val="32"/>
          <w:szCs w:val="32"/>
        </w:rPr>
      </w:pPr>
      <w:r>
        <w:rPr>
          <w:rStyle w:val="11"/>
          <w:rFonts w:hint="eastAsia" w:ascii="方正小标宋_GBK" w:hAnsi="Symbol" w:eastAsia="方正小标宋_GBK" w:cs="黑体"/>
          <w:color w:val="FFFFFF"/>
          <w:sz w:val="32"/>
          <w:szCs w:val="32"/>
        </w:rPr>
        <w:sym w:font="Symbol" w:char="F020"/>
      </w:r>
      <w:bookmarkEnd w:id="1"/>
    </w:p>
    <w:p>
      <w:pPr>
        <w:widowControl/>
        <w:snapToGrid w:val="0"/>
        <w:spacing w:line="560" w:lineRule="atLeast"/>
        <w:ind w:firstLine="3200" w:firstLineChars="1000"/>
        <w:rPr>
          <w:rFonts w:hint="eastAsia" w:ascii="方正小标宋_GBK" w:hAnsi="Symbol" w:eastAsia="方正小标宋_GBK"/>
          <w:color w:val="FFFFFF"/>
          <w:sz w:val="32"/>
          <w:szCs w:val="32"/>
        </w:rPr>
      </w:pPr>
    </w:p>
    <w:p>
      <w:pPr>
        <w:widowControl/>
        <w:snapToGrid w:val="0"/>
        <w:spacing w:line="560" w:lineRule="atLeast"/>
        <w:ind w:firstLine="3200" w:firstLineChars="1000"/>
        <w:rPr>
          <w:rFonts w:hint="eastAsia" w:ascii="方正小标宋_GBK" w:hAnsi="Symbol" w:eastAsia="方正小标宋_GBK"/>
          <w:color w:val="FFFFFF"/>
          <w:sz w:val="32"/>
          <w:szCs w:val="32"/>
        </w:rPr>
      </w:pPr>
    </w:p>
    <w:p>
      <w:pPr>
        <w:widowControl/>
        <w:snapToGrid w:val="0"/>
        <w:spacing w:line="560" w:lineRule="atLeast"/>
        <w:ind w:firstLine="3200" w:firstLineChars="1000"/>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216</w:t>
      </w:r>
      <w:r>
        <w:rPr>
          <w:rFonts w:hint="eastAsia" w:ascii="仿宋_GB2312" w:hAnsi="宋体" w:eastAsia="仿宋_GB2312" w:cs="宋体"/>
          <w:color w:val="000000"/>
          <w:kern w:val="0"/>
          <w:sz w:val="32"/>
          <w:szCs w:val="32"/>
        </w:rPr>
        <w:t>县委政法委</w:t>
      </w:r>
    </w:p>
    <w:tbl>
      <w:tblPr>
        <w:tblStyle w:val="9"/>
        <w:tblW w:w="111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1"/>
        <w:gridCol w:w="1134"/>
        <w:gridCol w:w="1843"/>
        <w:gridCol w:w="1559"/>
        <w:gridCol w:w="1901"/>
        <w:gridCol w:w="727"/>
        <w:gridCol w:w="700"/>
        <w:gridCol w:w="742"/>
        <w:gridCol w:w="8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职责</w:t>
            </w:r>
          </w:p>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活动</w:t>
            </w:r>
          </w:p>
        </w:tc>
        <w:tc>
          <w:tcPr>
            <w:tcW w:w="1134"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年度预算数</w:t>
            </w:r>
          </w:p>
        </w:tc>
        <w:tc>
          <w:tcPr>
            <w:tcW w:w="1843"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内容</w:t>
            </w:r>
          </w:p>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描述</w:t>
            </w:r>
          </w:p>
        </w:tc>
        <w:tc>
          <w:tcPr>
            <w:tcW w:w="1559"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绩效</w:t>
            </w:r>
          </w:p>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目标</w:t>
            </w:r>
          </w:p>
        </w:tc>
        <w:tc>
          <w:tcPr>
            <w:tcW w:w="1901"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绩效</w:t>
            </w:r>
          </w:p>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指标</w:t>
            </w:r>
          </w:p>
        </w:tc>
        <w:tc>
          <w:tcPr>
            <w:tcW w:w="2975" w:type="dxa"/>
            <w:gridSpan w:val="4"/>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评价标准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Merge w:val="continue"/>
            <w:vAlign w:val="center"/>
          </w:tcPr>
          <w:p>
            <w:pPr>
              <w:widowControl/>
              <w:snapToGrid w:val="0"/>
              <w:spacing w:line="240" w:lineRule="atLeast"/>
              <w:jc w:val="center"/>
              <w:rPr>
                <w:rFonts w:ascii="宋体" w:cs="宋体"/>
                <w:color w:val="000000"/>
                <w:kern w:val="0"/>
                <w:sz w:val="24"/>
                <w:szCs w:val="24"/>
              </w:rPr>
            </w:pPr>
          </w:p>
        </w:tc>
        <w:tc>
          <w:tcPr>
            <w:tcW w:w="1134" w:type="dxa"/>
            <w:vMerge w:val="continue"/>
            <w:vAlign w:val="center"/>
          </w:tcPr>
          <w:p>
            <w:pPr>
              <w:widowControl/>
              <w:snapToGrid w:val="0"/>
              <w:spacing w:line="240" w:lineRule="atLeast"/>
              <w:jc w:val="center"/>
              <w:rPr>
                <w:rFonts w:ascii="宋体" w:cs="宋体"/>
                <w:color w:val="000000"/>
                <w:kern w:val="0"/>
                <w:sz w:val="24"/>
                <w:szCs w:val="24"/>
              </w:rPr>
            </w:pPr>
          </w:p>
        </w:tc>
        <w:tc>
          <w:tcPr>
            <w:tcW w:w="1843" w:type="dxa"/>
            <w:vMerge w:val="continue"/>
            <w:vAlign w:val="center"/>
          </w:tcPr>
          <w:p>
            <w:pPr>
              <w:widowControl/>
              <w:snapToGrid w:val="0"/>
              <w:spacing w:line="240" w:lineRule="atLeast"/>
              <w:jc w:val="center"/>
              <w:rPr>
                <w:rFonts w:ascii="宋体" w:cs="宋体"/>
                <w:color w:val="000000"/>
                <w:kern w:val="0"/>
                <w:sz w:val="24"/>
                <w:szCs w:val="24"/>
              </w:rPr>
            </w:pPr>
          </w:p>
        </w:tc>
        <w:tc>
          <w:tcPr>
            <w:tcW w:w="1559" w:type="dxa"/>
            <w:vMerge w:val="continue"/>
            <w:vAlign w:val="center"/>
          </w:tcPr>
          <w:p>
            <w:pPr>
              <w:widowControl/>
              <w:snapToGrid w:val="0"/>
              <w:spacing w:line="240" w:lineRule="atLeast"/>
              <w:jc w:val="center"/>
              <w:rPr>
                <w:rFonts w:ascii="宋体" w:cs="宋体"/>
                <w:color w:val="000000"/>
                <w:kern w:val="0"/>
                <w:sz w:val="24"/>
                <w:szCs w:val="24"/>
              </w:rPr>
            </w:pPr>
          </w:p>
        </w:tc>
        <w:tc>
          <w:tcPr>
            <w:tcW w:w="1901" w:type="dxa"/>
            <w:vMerge w:val="continue"/>
            <w:vAlign w:val="center"/>
          </w:tcPr>
          <w:p>
            <w:pPr>
              <w:widowControl/>
              <w:snapToGrid w:val="0"/>
              <w:spacing w:line="240" w:lineRule="atLeast"/>
              <w:jc w:val="center"/>
              <w:rPr>
                <w:rFonts w:ascii="宋体" w:cs="宋体"/>
                <w:color w:val="000000"/>
                <w:kern w:val="0"/>
                <w:sz w:val="24"/>
                <w:szCs w:val="24"/>
              </w:rPr>
            </w:pPr>
          </w:p>
        </w:tc>
        <w:tc>
          <w:tcPr>
            <w:tcW w:w="727" w:type="dxa"/>
            <w:vAlign w:val="center"/>
          </w:tcPr>
          <w:p>
            <w:pPr>
              <w:widowControl/>
              <w:jc w:val="center"/>
              <w:rPr>
                <w:rFonts w:ascii="宋体" w:cs="宋体"/>
                <w:b/>
                <w:bCs/>
                <w:kern w:val="0"/>
                <w:sz w:val="24"/>
                <w:szCs w:val="24"/>
              </w:rPr>
            </w:pPr>
            <w:r>
              <w:rPr>
                <w:rFonts w:hint="eastAsia" w:ascii="宋体" w:hAnsi="宋体" w:cs="宋体"/>
                <w:b/>
                <w:bCs/>
                <w:kern w:val="0"/>
                <w:sz w:val="24"/>
                <w:szCs w:val="24"/>
              </w:rPr>
              <w:t>优</w:t>
            </w:r>
          </w:p>
        </w:tc>
        <w:tc>
          <w:tcPr>
            <w:tcW w:w="700" w:type="dxa"/>
            <w:vAlign w:val="center"/>
          </w:tcPr>
          <w:p>
            <w:pPr>
              <w:widowControl/>
              <w:jc w:val="center"/>
              <w:rPr>
                <w:rFonts w:ascii="宋体" w:cs="宋体"/>
                <w:b/>
                <w:bCs/>
                <w:kern w:val="0"/>
                <w:sz w:val="24"/>
                <w:szCs w:val="24"/>
              </w:rPr>
            </w:pPr>
            <w:r>
              <w:rPr>
                <w:rFonts w:hint="eastAsia" w:ascii="宋体" w:hAnsi="宋体" w:cs="宋体"/>
                <w:b/>
                <w:bCs/>
                <w:kern w:val="0"/>
                <w:sz w:val="24"/>
                <w:szCs w:val="24"/>
              </w:rPr>
              <w:t>良</w:t>
            </w:r>
          </w:p>
        </w:tc>
        <w:tc>
          <w:tcPr>
            <w:tcW w:w="742" w:type="dxa"/>
            <w:vAlign w:val="center"/>
          </w:tcPr>
          <w:p>
            <w:pPr>
              <w:widowControl/>
              <w:jc w:val="center"/>
              <w:rPr>
                <w:rFonts w:ascii="宋体" w:cs="宋体"/>
                <w:b/>
                <w:bCs/>
                <w:kern w:val="0"/>
                <w:sz w:val="24"/>
                <w:szCs w:val="24"/>
              </w:rPr>
            </w:pPr>
            <w:r>
              <w:rPr>
                <w:rFonts w:hint="eastAsia" w:ascii="宋体" w:hAnsi="宋体" w:cs="宋体"/>
                <w:b/>
                <w:bCs/>
                <w:kern w:val="0"/>
                <w:sz w:val="24"/>
                <w:szCs w:val="24"/>
              </w:rPr>
              <w:t>中</w:t>
            </w:r>
          </w:p>
        </w:tc>
        <w:tc>
          <w:tcPr>
            <w:tcW w:w="806" w:type="dxa"/>
            <w:vAlign w:val="center"/>
          </w:tcPr>
          <w:p>
            <w:pPr>
              <w:widowControl/>
              <w:jc w:val="center"/>
              <w:rPr>
                <w:rFonts w:ascii="宋体" w:cs="宋体"/>
                <w:b/>
                <w:bCs/>
                <w:kern w:val="0"/>
                <w:sz w:val="24"/>
                <w:szCs w:val="24"/>
              </w:rPr>
            </w:pPr>
            <w:r>
              <w:rPr>
                <w:rFonts w:hint="eastAsia" w:ascii="宋体" w:hAnsi="宋体" w:cs="宋体"/>
                <w:b/>
                <w:bCs/>
                <w:kern w:val="0"/>
                <w:sz w:val="24"/>
                <w:szCs w:val="24"/>
              </w:rPr>
              <w:t>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color w:val="000000"/>
                <w:kern w:val="0"/>
                <w:sz w:val="24"/>
                <w:szCs w:val="24"/>
              </w:rPr>
            </w:pPr>
            <w:r>
              <w:rPr>
                <w:rFonts w:hint="eastAsia" w:ascii="宋体" w:cs="宋体"/>
                <w:color w:val="000000"/>
                <w:kern w:val="0"/>
                <w:sz w:val="24"/>
                <w:szCs w:val="24"/>
              </w:rPr>
              <w:t>开展社会治安综合治理</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520000</w:t>
            </w:r>
          </w:p>
        </w:tc>
        <w:tc>
          <w:tcPr>
            <w:tcW w:w="1843" w:type="dxa"/>
            <w:vAlign w:val="center"/>
          </w:tcPr>
          <w:p>
            <w:pPr>
              <w:widowControl/>
              <w:snapToGrid w:val="0"/>
              <w:spacing w:line="240" w:lineRule="atLeast"/>
              <w:jc w:val="center"/>
              <w:rPr>
                <w:rFonts w:ascii="宋体" w:cs="宋体"/>
                <w:color w:val="000000"/>
                <w:kern w:val="0"/>
                <w:szCs w:val="21"/>
              </w:rPr>
            </w:pPr>
            <w:r>
              <w:rPr>
                <w:rFonts w:hint="eastAsia" w:ascii="仿宋_GB2312" w:hAnsi="宋体" w:eastAsia="仿宋_GB2312" w:cs="宋体"/>
                <w:color w:val="000000"/>
                <w:kern w:val="0"/>
                <w:szCs w:val="21"/>
              </w:rPr>
              <w:t>开展护路宣传、治安联防</w:t>
            </w:r>
            <w:r>
              <w:rPr>
                <w:rFonts w:ascii="仿宋_GB2312" w:hAnsi="宋体" w:eastAsia="仿宋_GB2312" w:cs="宋体"/>
                <w:color w:val="000000"/>
                <w:kern w:val="0"/>
                <w:szCs w:val="21"/>
              </w:rPr>
              <w:t>,</w:t>
            </w:r>
            <w:r>
              <w:rPr>
                <w:rFonts w:hint="eastAsia" w:ascii="仿宋_GB2312" w:hAnsi="宋体" w:eastAsia="仿宋_GB2312" w:cs="宋体"/>
                <w:color w:val="000000"/>
                <w:kern w:val="0"/>
                <w:szCs w:val="21"/>
              </w:rPr>
              <w:t>化解矛盾</w:t>
            </w:r>
          </w:p>
        </w:tc>
        <w:tc>
          <w:tcPr>
            <w:tcW w:w="1559" w:type="dxa"/>
            <w:vAlign w:val="center"/>
          </w:tcPr>
          <w:p>
            <w:pPr>
              <w:widowControl/>
              <w:snapToGrid w:val="0"/>
              <w:spacing w:line="240" w:lineRule="atLeast"/>
              <w:jc w:val="center"/>
              <w:rPr>
                <w:rFonts w:ascii="宋体" w:cs="宋体"/>
                <w:color w:val="000000"/>
                <w:kern w:val="0"/>
                <w:szCs w:val="21"/>
              </w:rPr>
            </w:pPr>
            <w:r>
              <w:rPr>
                <w:rFonts w:hint="eastAsia" w:ascii="宋体" w:cs="宋体"/>
                <w:color w:val="000000"/>
                <w:kern w:val="0"/>
                <w:szCs w:val="21"/>
              </w:rPr>
              <w:t>确保全县社会政治稳定</w:t>
            </w:r>
          </w:p>
        </w:tc>
        <w:tc>
          <w:tcPr>
            <w:tcW w:w="1901" w:type="dxa"/>
            <w:vAlign w:val="center"/>
          </w:tcPr>
          <w:p>
            <w:pPr>
              <w:jc w:val="center"/>
              <w:rPr>
                <w:rFonts w:ascii="宋体" w:cs="宋体"/>
                <w:sz w:val="18"/>
                <w:szCs w:val="18"/>
              </w:rPr>
            </w:pPr>
            <w:r>
              <w:rPr>
                <w:rFonts w:hint="eastAsia"/>
                <w:sz w:val="18"/>
                <w:szCs w:val="18"/>
              </w:rPr>
              <w:t>完成的安保任务占任务总数的比率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kern w:val="0"/>
                <w:sz w:val="24"/>
                <w:szCs w:val="24"/>
              </w:rPr>
              <w:t>推进综治中心建设</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776450</w:t>
            </w:r>
          </w:p>
        </w:tc>
        <w:tc>
          <w:tcPr>
            <w:tcW w:w="1843"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综治中心建设运行良好</w:t>
            </w:r>
            <w:r>
              <w:rPr>
                <w:rFonts w:ascii="宋体" w:cs="宋体"/>
                <w:kern w:val="0"/>
                <w:szCs w:val="21"/>
              </w:rPr>
              <w:t>,</w:t>
            </w:r>
            <w:r>
              <w:rPr>
                <w:rFonts w:hint="eastAsia" w:ascii="宋体" w:hAnsi="宋体" w:cs="宋体"/>
                <w:kern w:val="0"/>
                <w:szCs w:val="21"/>
              </w:rPr>
              <w:t>充分发挥作用</w:t>
            </w:r>
          </w:p>
        </w:tc>
        <w:tc>
          <w:tcPr>
            <w:tcW w:w="1559"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综治中心建设达到上级要求</w:t>
            </w:r>
          </w:p>
        </w:tc>
        <w:tc>
          <w:tcPr>
            <w:tcW w:w="1901"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合格的模块占系统总模块的比率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kern w:val="0"/>
                <w:sz w:val="24"/>
                <w:szCs w:val="24"/>
              </w:rPr>
              <w:t>表彰奖励见义勇为</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500000</w:t>
            </w:r>
          </w:p>
        </w:tc>
        <w:tc>
          <w:tcPr>
            <w:tcW w:w="1843"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对见义勇为先进人员给予奖励</w:t>
            </w:r>
          </w:p>
        </w:tc>
        <w:tc>
          <w:tcPr>
            <w:tcW w:w="1559"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倡导见义勇为行为</w:t>
            </w:r>
            <w:r>
              <w:rPr>
                <w:rFonts w:ascii="宋体" w:cs="宋体"/>
                <w:kern w:val="0"/>
                <w:szCs w:val="21"/>
              </w:rPr>
              <w:t>,</w:t>
            </w:r>
            <w:r>
              <w:rPr>
                <w:rFonts w:hint="eastAsia" w:ascii="宋体" w:hAnsi="宋体" w:cs="宋体"/>
                <w:kern w:val="0"/>
                <w:szCs w:val="21"/>
              </w:rPr>
              <w:t>弘扬正气</w:t>
            </w:r>
          </w:p>
        </w:tc>
        <w:tc>
          <w:tcPr>
            <w:tcW w:w="1901"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帮扶见义勇为人员覆盖率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hAns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hAns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以上</w:t>
            </w:r>
          </w:p>
        </w:tc>
        <w:tc>
          <w:tcPr>
            <w:tcW w:w="806" w:type="dxa"/>
            <w:vAlign w:val="center"/>
          </w:tcPr>
          <w:p>
            <w:pPr>
              <w:widowControl/>
              <w:jc w:val="center"/>
              <w:rPr>
                <w:rFonts w:ascii="宋体" w:hAnsi="宋体" w:cs="宋体"/>
                <w:kern w:val="0"/>
                <w:sz w:val="24"/>
                <w:szCs w:val="24"/>
              </w:rPr>
            </w:pPr>
            <w:r>
              <w:rPr>
                <w:rFonts w:hint="eastAsia" w:ascii="宋体" w:hAnsi="宋体" w:cs="宋体"/>
                <w:kern w:val="0"/>
                <w:sz w:val="24"/>
                <w:szCs w:val="24"/>
              </w:rPr>
              <w:t>低于</w:t>
            </w:r>
            <w:r>
              <w:rPr>
                <w:rFonts w:ascii="宋体" w:hAnsi="宋体" w:cs="宋体"/>
                <w:kern w:val="0"/>
                <w:sz w:val="24"/>
                <w:szCs w:val="24"/>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kern w:val="0"/>
                <w:sz w:val="24"/>
                <w:szCs w:val="24"/>
              </w:rPr>
              <w:t>投保精神病人责任险</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482200</w:t>
            </w:r>
          </w:p>
        </w:tc>
        <w:tc>
          <w:tcPr>
            <w:tcW w:w="1843"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对全县精神病人全部投保责任险</w:t>
            </w:r>
          </w:p>
        </w:tc>
        <w:tc>
          <w:tcPr>
            <w:tcW w:w="1559"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确保对精神病人看护到位</w:t>
            </w:r>
          </w:p>
        </w:tc>
        <w:tc>
          <w:tcPr>
            <w:tcW w:w="1901"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精神病人责任险投保率覆盖率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w:t>
            </w:r>
            <w:r>
              <w:rPr>
                <w:rFonts w:ascii="宋体" w:cs="宋体"/>
                <w:kern w:val="0"/>
                <w:sz w:val="24"/>
                <w:szCs w:val="24"/>
              </w:rPr>
              <w:t>0</w:t>
            </w:r>
            <w:r>
              <w:rPr>
                <w:rFonts w:ascii="宋体" w:hAnsi="宋体" w:cs="宋体"/>
                <w:kern w:val="0"/>
                <w:sz w:val="24"/>
                <w:szCs w:val="24"/>
              </w:rPr>
              <w:t>%</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kern w:val="0"/>
                <w:sz w:val="24"/>
                <w:szCs w:val="24"/>
              </w:rPr>
            </w:pPr>
            <w:r>
              <w:rPr>
                <w:rFonts w:hint="eastAsia" w:ascii="宋体" w:hAnsi="宋体" w:cs="宋体"/>
                <w:kern w:val="0"/>
                <w:sz w:val="24"/>
                <w:szCs w:val="24"/>
              </w:rPr>
              <w:t>推进综治视联网建设</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773700</w:t>
            </w:r>
          </w:p>
        </w:tc>
        <w:tc>
          <w:tcPr>
            <w:tcW w:w="1843" w:type="dxa"/>
            <w:vAlign w:val="center"/>
          </w:tcPr>
          <w:p>
            <w:pPr>
              <w:widowControl/>
              <w:snapToGrid w:val="0"/>
              <w:spacing w:line="240" w:lineRule="atLeast"/>
              <w:jc w:val="center"/>
              <w:rPr>
                <w:rFonts w:ascii="宋体" w:cs="宋体"/>
                <w:kern w:val="0"/>
                <w:szCs w:val="21"/>
              </w:rPr>
            </w:pPr>
            <w:r>
              <w:rPr>
                <w:rFonts w:hint="eastAsia" w:ascii="宋体" w:hAnsi="宋体" w:cs="宋体"/>
                <w:kern w:val="0"/>
                <w:szCs w:val="21"/>
              </w:rPr>
              <w:t>推进综治视联网建设</w:t>
            </w:r>
          </w:p>
        </w:tc>
        <w:tc>
          <w:tcPr>
            <w:tcW w:w="1559" w:type="dxa"/>
            <w:vAlign w:val="center"/>
          </w:tcPr>
          <w:p>
            <w:pPr>
              <w:widowControl/>
              <w:snapToGrid w:val="0"/>
              <w:spacing w:line="240" w:lineRule="atLeast"/>
              <w:jc w:val="center"/>
              <w:rPr>
                <w:rFonts w:ascii="宋体" w:cs="宋体"/>
                <w:kern w:val="0"/>
                <w:szCs w:val="21"/>
              </w:rPr>
            </w:pPr>
            <w:r>
              <w:rPr>
                <w:rFonts w:hint="eastAsia" w:ascii="宋体" w:hAnsi="宋体" w:cs="宋体"/>
                <w:kern w:val="0"/>
                <w:szCs w:val="21"/>
              </w:rPr>
              <w:t>年内按照上级要求安装到位</w:t>
            </w:r>
          </w:p>
        </w:tc>
        <w:tc>
          <w:tcPr>
            <w:tcW w:w="1901" w:type="dxa"/>
            <w:vAlign w:val="center"/>
          </w:tcPr>
          <w:p>
            <w:pPr>
              <w:widowControl/>
              <w:snapToGrid w:val="0"/>
              <w:spacing w:line="240" w:lineRule="atLeast"/>
              <w:jc w:val="center"/>
              <w:rPr>
                <w:rFonts w:ascii="宋体" w:cs="宋体"/>
                <w:kern w:val="0"/>
                <w:szCs w:val="21"/>
              </w:rPr>
            </w:pPr>
            <w:r>
              <w:rPr>
                <w:rFonts w:hint="eastAsia" w:ascii="宋体" w:hAnsi="宋体" w:cs="宋体"/>
                <w:kern w:val="0"/>
                <w:szCs w:val="21"/>
              </w:rPr>
              <w:t>综治视联网设备安全运行率</w:t>
            </w:r>
          </w:p>
        </w:tc>
        <w:tc>
          <w:tcPr>
            <w:tcW w:w="727" w:type="dxa"/>
            <w:vAlign w:val="center"/>
          </w:tcPr>
          <w:p>
            <w:pPr>
              <w:widowControl/>
              <w:jc w:val="center"/>
              <w:rPr>
                <w:rFonts w:ascii="宋体" w:cs="宋体"/>
                <w:kern w:val="0"/>
                <w:sz w:val="24"/>
                <w:szCs w:val="24"/>
              </w:rPr>
            </w:pPr>
            <w:r>
              <w:rPr>
                <w:rFonts w:ascii="宋体" w:hAnsi="宋体" w:cs="宋体"/>
                <w:kern w:val="0"/>
                <w:sz w:val="24"/>
                <w:szCs w:val="24"/>
              </w:rPr>
              <w:t>98%</w:t>
            </w:r>
            <w:r>
              <w:rPr>
                <w:rFonts w:hint="eastAsia" w:ascii="宋体" w:hAnsi="宋体" w:cs="宋体"/>
                <w:kern w:val="0"/>
                <w:sz w:val="24"/>
                <w:szCs w:val="24"/>
              </w:rPr>
              <w:t>以上</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w:t>
            </w:r>
            <w:r>
              <w:rPr>
                <w:rFonts w:ascii="宋体" w:cs="宋体"/>
                <w:kern w:val="0"/>
                <w:sz w:val="24"/>
                <w:szCs w:val="24"/>
              </w:rPr>
              <w:t>0</w:t>
            </w:r>
            <w:r>
              <w:rPr>
                <w:rFonts w:ascii="宋体" w:hAnsi="宋体" w:cs="宋体"/>
                <w:kern w:val="0"/>
                <w:sz w:val="24"/>
                <w:szCs w:val="24"/>
              </w:rPr>
              <w:t>%</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hAnsi="宋体" w:cs="宋体"/>
                <w:kern w:val="0"/>
                <w:sz w:val="24"/>
                <w:szCs w:val="24"/>
              </w:rPr>
            </w:pPr>
            <w:r>
              <w:rPr>
                <w:rFonts w:hint="eastAsia" w:ascii="宋体" w:hAnsi="宋体" w:cs="宋体"/>
                <w:kern w:val="0"/>
                <w:sz w:val="24"/>
                <w:szCs w:val="24"/>
              </w:rPr>
              <w:t>开展铁路护路工作</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134872</w:t>
            </w:r>
          </w:p>
        </w:tc>
        <w:tc>
          <w:tcPr>
            <w:tcW w:w="1843" w:type="dxa"/>
            <w:vAlign w:val="center"/>
          </w:tcPr>
          <w:p>
            <w:pPr>
              <w:widowControl/>
              <w:snapToGrid w:val="0"/>
              <w:spacing w:line="240" w:lineRule="atLeast"/>
              <w:jc w:val="center"/>
              <w:rPr>
                <w:rFonts w:ascii="宋体" w:hAnsi="宋体" w:cs="宋体"/>
                <w:kern w:val="0"/>
                <w:szCs w:val="21"/>
              </w:rPr>
            </w:pPr>
            <w:r>
              <w:rPr>
                <w:rFonts w:hint="eastAsia" w:ascii="宋体" w:hAnsi="宋体" w:cs="宋体"/>
                <w:kern w:val="0"/>
                <w:szCs w:val="21"/>
              </w:rPr>
              <w:t>组织日常铁路沿线护路和特殊时期护路</w:t>
            </w:r>
          </w:p>
        </w:tc>
        <w:tc>
          <w:tcPr>
            <w:tcW w:w="1559" w:type="dxa"/>
            <w:vAlign w:val="center"/>
          </w:tcPr>
          <w:p>
            <w:pPr>
              <w:widowControl/>
              <w:snapToGrid w:val="0"/>
              <w:spacing w:line="240" w:lineRule="atLeast"/>
              <w:jc w:val="center"/>
              <w:rPr>
                <w:rFonts w:ascii="宋体" w:hAnsi="宋体" w:cs="宋体"/>
                <w:kern w:val="0"/>
                <w:szCs w:val="21"/>
              </w:rPr>
            </w:pPr>
            <w:r>
              <w:rPr>
                <w:rFonts w:hint="eastAsia" w:ascii="宋体" w:hAnsi="宋体" w:cs="宋体"/>
                <w:kern w:val="0"/>
                <w:szCs w:val="21"/>
              </w:rPr>
              <w:t>开展铁路护路,确保安全畅通</w:t>
            </w:r>
          </w:p>
        </w:tc>
        <w:tc>
          <w:tcPr>
            <w:tcW w:w="1901" w:type="dxa"/>
            <w:vAlign w:val="center"/>
          </w:tcPr>
          <w:p>
            <w:pPr>
              <w:jc w:val="center"/>
              <w:rPr>
                <w:rFonts w:ascii="宋体" w:cs="宋体"/>
                <w:sz w:val="18"/>
                <w:szCs w:val="18"/>
              </w:rPr>
            </w:pPr>
            <w:r>
              <w:rPr>
                <w:rFonts w:hint="eastAsia"/>
                <w:sz w:val="18"/>
                <w:szCs w:val="18"/>
              </w:rPr>
              <w:t>完成的安保任务占任务总数的比率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hAnsi="宋体" w:cs="宋体"/>
                <w:kern w:val="0"/>
                <w:sz w:val="24"/>
                <w:szCs w:val="24"/>
              </w:rPr>
            </w:pPr>
            <w:r>
              <w:rPr>
                <w:rFonts w:hint="eastAsia" w:ascii="宋体" w:hAnsi="宋体" w:cs="宋体"/>
                <w:kern w:val="0"/>
                <w:sz w:val="24"/>
                <w:szCs w:val="24"/>
              </w:rPr>
              <w:t>组织开展扫黑除恶斗争</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85000</w:t>
            </w:r>
          </w:p>
        </w:tc>
        <w:tc>
          <w:tcPr>
            <w:tcW w:w="1843" w:type="dxa"/>
            <w:vAlign w:val="center"/>
          </w:tcPr>
          <w:p>
            <w:pPr>
              <w:widowControl/>
              <w:snapToGrid w:val="0"/>
              <w:spacing w:line="240" w:lineRule="atLeast"/>
              <w:jc w:val="center"/>
              <w:rPr>
                <w:rFonts w:ascii="宋体" w:hAnsi="宋体" w:cs="宋体"/>
                <w:kern w:val="0"/>
                <w:szCs w:val="21"/>
              </w:rPr>
            </w:pPr>
            <w:r>
              <w:rPr>
                <w:rFonts w:hint="eastAsia" w:ascii="宋体" w:hAnsi="宋体" w:cs="宋体"/>
                <w:kern w:val="0"/>
                <w:szCs w:val="21"/>
              </w:rPr>
              <w:t>组织全县各级各部门开展扫黑除恶斗争</w:t>
            </w:r>
          </w:p>
        </w:tc>
        <w:tc>
          <w:tcPr>
            <w:tcW w:w="1559" w:type="dxa"/>
            <w:vAlign w:val="center"/>
          </w:tcPr>
          <w:p>
            <w:pPr>
              <w:widowControl/>
              <w:snapToGrid w:val="0"/>
              <w:spacing w:line="240" w:lineRule="atLeast"/>
              <w:jc w:val="center"/>
              <w:rPr>
                <w:rFonts w:ascii="宋体" w:hAnsi="宋体" w:cs="宋体"/>
                <w:kern w:val="0"/>
                <w:szCs w:val="21"/>
              </w:rPr>
            </w:pPr>
            <w:r>
              <w:rPr>
                <w:rFonts w:hint="eastAsia" w:ascii="宋体" w:hAnsi="宋体" w:cs="宋体"/>
                <w:kern w:val="0"/>
                <w:szCs w:val="21"/>
              </w:rPr>
              <w:t>打击黑恶势力,维护全县社会政治稳定</w:t>
            </w:r>
          </w:p>
        </w:tc>
        <w:tc>
          <w:tcPr>
            <w:tcW w:w="1901" w:type="dxa"/>
            <w:vAlign w:val="center"/>
          </w:tcPr>
          <w:p>
            <w:pPr>
              <w:jc w:val="center"/>
              <w:rPr>
                <w:sz w:val="18"/>
                <w:szCs w:val="18"/>
              </w:rPr>
            </w:pPr>
            <w:r>
              <w:rPr>
                <w:rFonts w:hint="eastAsia"/>
                <w:sz w:val="18"/>
                <w:szCs w:val="18"/>
              </w:rPr>
              <w:t>受调查群众满意率</w:t>
            </w:r>
          </w:p>
        </w:tc>
        <w:tc>
          <w:tcPr>
            <w:tcW w:w="727" w:type="dxa"/>
            <w:vAlign w:val="center"/>
          </w:tcPr>
          <w:p>
            <w:pPr>
              <w:widowControl/>
              <w:jc w:val="center"/>
              <w:rPr>
                <w:rFonts w:ascii="宋体" w:hAnsi="宋体" w:cs="宋体"/>
                <w:kern w:val="0"/>
                <w:sz w:val="24"/>
                <w:szCs w:val="24"/>
              </w:rPr>
            </w:pPr>
            <w:r>
              <w:rPr>
                <w:rFonts w:hint="eastAsia" w:ascii="宋体" w:hAnsi="宋体" w:cs="宋体"/>
                <w:kern w:val="0"/>
                <w:sz w:val="24"/>
                <w:szCs w:val="24"/>
              </w:rPr>
              <w:t>95%以上</w:t>
            </w:r>
          </w:p>
        </w:tc>
        <w:tc>
          <w:tcPr>
            <w:tcW w:w="700" w:type="dxa"/>
            <w:vAlign w:val="center"/>
          </w:tcPr>
          <w:p>
            <w:pPr>
              <w:widowControl/>
              <w:jc w:val="center"/>
              <w:rPr>
                <w:rFonts w:ascii="宋体" w:hAnsi="宋体" w:cs="宋体"/>
                <w:kern w:val="0"/>
                <w:sz w:val="24"/>
                <w:szCs w:val="24"/>
              </w:rPr>
            </w:pPr>
            <w:r>
              <w:rPr>
                <w:rFonts w:hint="eastAsia" w:ascii="宋体" w:hAnsi="宋体" w:cs="宋体"/>
                <w:kern w:val="0"/>
                <w:sz w:val="24"/>
                <w:szCs w:val="24"/>
              </w:rPr>
              <w:t>90%以上</w:t>
            </w:r>
          </w:p>
        </w:tc>
        <w:tc>
          <w:tcPr>
            <w:tcW w:w="742" w:type="dxa"/>
            <w:vAlign w:val="center"/>
          </w:tcPr>
          <w:p>
            <w:pPr>
              <w:widowControl/>
              <w:jc w:val="center"/>
              <w:rPr>
                <w:rFonts w:ascii="宋体" w:hAnsi="宋体" w:cs="宋体"/>
                <w:kern w:val="0"/>
                <w:sz w:val="24"/>
                <w:szCs w:val="24"/>
              </w:rPr>
            </w:pPr>
            <w:r>
              <w:rPr>
                <w:rFonts w:hint="eastAsia" w:ascii="宋体" w:hAnsi="宋体" w:cs="宋体"/>
                <w:kern w:val="0"/>
                <w:sz w:val="24"/>
                <w:szCs w:val="24"/>
              </w:rPr>
              <w:t>80%以上</w:t>
            </w:r>
          </w:p>
        </w:tc>
        <w:tc>
          <w:tcPr>
            <w:tcW w:w="806" w:type="dxa"/>
            <w:vAlign w:val="center"/>
          </w:tcPr>
          <w:p>
            <w:pPr>
              <w:widowControl/>
              <w:jc w:val="center"/>
              <w:rPr>
                <w:rFonts w:ascii="宋体" w:hAnsi="宋体" w:cs="宋体"/>
                <w:kern w:val="0"/>
                <w:sz w:val="24"/>
                <w:szCs w:val="24"/>
              </w:rPr>
            </w:pPr>
            <w:r>
              <w:rPr>
                <w:rFonts w:hint="eastAsia" w:ascii="宋体" w:hAnsi="宋体" w:cs="宋体"/>
                <w:kern w:val="0"/>
                <w:sz w:val="24"/>
                <w:szCs w:val="24"/>
              </w:rPr>
              <w:t>80%以下</w:t>
            </w:r>
          </w:p>
        </w:tc>
      </w:tr>
    </w:tbl>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2" w:name="_Toc471398468"/>
    </w:p>
    <w:p>
      <w:pPr>
        <w:ind w:firstLine="960" w:firstLineChars="300"/>
        <w:outlineLvl w:val="0"/>
        <w:rPr>
          <w:rFonts w:ascii="Times New Roman" w:hAnsi="Times New Roman" w:eastAsia="仿宋" w:cs="Times New Roman"/>
          <w:sz w:val="32"/>
          <w:szCs w:val="24"/>
        </w:rPr>
      </w:pPr>
      <w:r>
        <w:rPr>
          <w:rFonts w:ascii="Times New Roman" w:hAnsi="Times New Roman" w:eastAsia="仿宋" w:cs="Times New Roman"/>
          <w:sz w:val="32"/>
          <w:szCs w:val="24"/>
        </w:rPr>
        <w:t>2020</w:t>
      </w:r>
      <w:r>
        <w:rPr>
          <w:rFonts w:hint="eastAsia" w:ascii="Times New Roman" w:hAnsi="Times New Roman" w:eastAsia="仿宋" w:cs="Times New Roman"/>
          <w:sz w:val="32"/>
          <w:szCs w:val="24"/>
        </w:rPr>
        <w:t>年，我部门安排政府采购预算</w:t>
      </w:r>
      <w:r>
        <w:rPr>
          <w:rFonts w:ascii="Times New Roman" w:hAnsi="Times New Roman" w:eastAsia="仿宋" w:cs="Times New Roman"/>
          <w:sz w:val="32"/>
          <w:szCs w:val="24"/>
        </w:rPr>
        <w:t>202.205</w:t>
      </w:r>
      <w:r>
        <w:rPr>
          <w:rFonts w:hint="eastAsia" w:ascii="Times New Roman" w:hAnsi="Times New Roman" w:eastAsia="仿宋" w:cs="Times New Roman"/>
          <w:sz w:val="32"/>
          <w:szCs w:val="24"/>
        </w:rPr>
        <w:t>万元。具体内容见下表。</w:t>
      </w:r>
      <w:bookmarkEnd w:id="2"/>
    </w:p>
    <w:p>
      <w:pPr>
        <w:jc w:val="center"/>
        <w:outlineLvl w:val="0"/>
        <w:rPr>
          <w:rFonts w:ascii="方正小标宋_GBK" w:eastAsia="方正小标宋_GBK"/>
          <w:sz w:val="32"/>
        </w:rPr>
      </w:pPr>
      <w:bookmarkStart w:id="3" w:name="_Toc535404684"/>
      <w:r>
        <w:rPr>
          <w:rFonts w:hint="eastAsia" w:ascii="方正小标宋_GBK" w:eastAsia="方正小标宋_GBK"/>
          <w:sz w:val="32"/>
        </w:rPr>
        <w:t>部门政府采购预算</w:t>
      </w:r>
      <w:bookmarkEnd w:id="3"/>
    </w:p>
    <w:tbl>
      <w:tblPr>
        <w:tblStyle w:val="9"/>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5"/>
        <w:gridCol w:w="1066"/>
        <w:gridCol w:w="941"/>
        <w:gridCol w:w="1133"/>
        <w:gridCol w:w="851"/>
        <w:gridCol w:w="870"/>
        <w:gridCol w:w="973"/>
        <w:gridCol w:w="992"/>
        <w:gridCol w:w="992"/>
        <w:gridCol w:w="992"/>
        <w:gridCol w:w="587"/>
        <w:gridCol w:w="933"/>
        <w:gridCol w:w="933"/>
        <w:gridCol w:w="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249"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宋体" w:hAnsi="宋体" w:cs="宋体"/>
                <w:sz w:val="24"/>
              </w:rPr>
              <w:t>中共隆尧县委</w:t>
            </w:r>
            <w:r>
              <w:rPr>
                <w:rFonts w:hint="eastAsia" w:ascii="方正小标宋_GBK" w:eastAsia="方正小标宋_GBK"/>
                <w:sz w:val="24"/>
              </w:rPr>
              <w:t>政法委</w:t>
            </w:r>
          </w:p>
        </w:tc>
        <w:tc>
          <w:tcPr>
            <w:tcW w:w="6319"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81"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4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133"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数量单位</w:t>
            </w:r>
          </w:p>
        </w:tc>
        <w:tc>
          <w:tcPr>
            <w:tcW w:w="87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73"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319"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15"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66"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41" w:type="dxa"/>
            <w:vMerge w:val="continue"/>
            <w:vAlign w:val="center"/>
          </w:tcPr>
          <w:p>
            <w:pPr>
              <w:spacing w:line="300" w:lineRule="exact"/>
              <w:jc w:val="left"/>
              <w:outlineLvl w:val="0"/>
            </w:pPr>
          </w:p>
        </w:tc>
        <w:tc>
          <w:tcPr>
            <w:tcW w:w="1133" w:type="dxa"/>
            <w:vMerge w:val="continue"/>
            <w:vAlign w:val="center"/>
          </w:tcPr>
          <w:p>
            <w:pPr>
              <w:spacing w:line="300" w:lineRule="exact"/>
              <w:jc w:val="left"/>
              <w:outlineLvl w:val="0"/>
            </w:pPr>
          </w:p>
        </w:tc>
        <w:tc>
          <w:tcPr>
            <w:tcW w:w="851" w:type="dxa"/>
            <w:vMerge w:val="continue"/>
            <w:vAlign w:val="center"/>
          </w:tcPr>
          <w:p>
            <w:pPr>
              <w:spacing w:line="300" w:lineRule="exact"/>
              <w:jc w:val="left"/>
              <w:outlineLvl w:val="0"/>
            </w:pPr>
          </w:p>
        </w:tc>
        <w:tc>
          <w:tcPr>
            <w:tcW w:w="870" w:type="dxa"/>
            <w:vMerge w:val="continue"/>
            <w:vAlign w:val="center"/>
          </w:tcPr>
          <w:p>
            <w:pPr>
              <w:spacing w:line="300" w:lineRule="exact"/>
              <w:jc w:val="left"/>
              <w:outlineLvl w:val="0"/>
            </w:pPr>
          </w:p>
        </w:tc>
        <w:tc>
          <w:tcPr>
            <w:tcW w:w="973" w:type="dxa"/>
            <w:vMerge w:val="continue"/>
            <w:vAlign w:val="center"/>
          </w:tcPr>
          <w:p>
            <w:pPr>
              <w:spacing w:line="300" w:lineRule="exact"/>
              <w:jc w:val="left"/>
              <w:outlineLvl w:val="0"/>
            </w:pP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437"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90"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15" w:type="dxa"/>
            <w:vMerge w:val="continue"/>
            <w:vAlign w:val="center"/>
          </w:tcPr>
          <w:p>
            <w:pPr>
              <w:spacing w:line="300" w:lineRule="exact"/>
              <w:jc w:val="left"/>
              <w:outlineLvl w:val="0"/>
            </w:pPr>
          </w:p>
        </w:tc>
        <w:tc>
          <w:tcPr>
            <w:tcW w:w="1066" w:type="dxa"/>
            <w:vMerge w:val="continue"/>
            <w:vAlign w:val="center"/>
          </w:tcPr>
          <w:p>
            <w:pPr>
              <w:spacing w:line="300" w:lineRule="exact"/>
              <w:jc w:val="left"/>
              <w:outlineLvl w:val="0"/>
            </w:pPr>
          </w:p>
        </w:tc>
        <w:tc>
          <w:tcPr>
            <w:tcW w:w="941" w:type="dxa"/>
            <w:vMerge w:val="continue"/>
            <w:vAlign w:val="center"/>
          </w:tcPr>
          <w:p>
            <w:pPr>
              <w:spacing w:line="300" w:lineRule="exact"/>
              <w:jc w:val="left"/>
              <w:outlineLvl w:val="0"/>
            </w:pPr>
          </w:p>
        </w:tc>
        <w:tc>
          <w:tcPr>
            <w:tcW w:w="1133" w:type="dxa"/>
            <w:vMerge w:val="continue"/>
            <w:vAlign w:val="center"/>
          </w:tcPr>
          <w:p>
            <w:pPr>
              <w:spacing w:line="300" w:lineRule="exact"/>
              <w:jc w:val="left"/>
              <w:outlineLvl w:val="0"/>
            </w:pPr>
          </w:p>
        </w:tc>
        <w:tc>
          <w:tcPr>
            <w:tcW w:w="851" w:type="dxa"/>
            <w:vMerge w:val="continue"/>
            <w:vAlign w:val="center"/>
          </w:tcPr>
          <w:p>
            <w:pPr>
              <w:spacing w:line="300" w:lineRule="exact"/>
              <w:jc w:val="left"/>
              <w:outlineLvl w:val="0"/>
            </w:pPr>
          </w:p>
        </w:tc>
        <w:tc>
          <w:tcPr>
            <w:tcW w:w="870" w:type="dxa"/>
            <w:vMerge w:val="continue"/>
            <w:vAlign w:val="center"/>
          </w:tcPr>
          <w:p>
            <w:pPr>
              <w:spacing w:line="300" w:lineRule="exact"/>
              <w:jc w:val="left"/>
              <w:outlineLvl w:val="0"/>
            </w:pPr>
          </w:p>
        </w:tc>
        <w:tc>
          <w:tcPr>
            <w:tcW w:w="973" w:type="dxa"/>
            <w:vMerge w:val="continue"/>
            <w:vAlign w:val="center"/>
          </w:tcPr>
          <w:p>
            <w:pPr>
              <w:spacing w:line="300" w:lineRule="exact"/>
              <w:jc w:val="left"/>
              <w:outlineLvl w:val="0"/>
            </w:pPr>
          </w:p>
        </w:tc>
        <w:tc>
          <w:tcPr>
            <w:tcW w:w="992" w:type="dxa"/>
            <w:vMerge w:val="continue"/>
            <w:vAlign w:val="center"/>
          </w:tcPr>
          <w:p>
            <w:pPr>
              <w:spacing w:line="300" w:lineRule="exact"/>
              <w:jc w:val="left"/>
              <w:outlineLvl w:val="0"/>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587"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33"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3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90"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66" w:type="dxa"/>
            <w:vAlign w:val="center"/>
          </w:tcPr>
          <w:p>
            <w:pPr>
              <w:spacing w:line="300" w:lineRule="exact"/>
              <w:jc w:val="right"/>
              <w:rPr>
                <w:rFonts w:ascii="方正书宋_GBK" w:eastAsia="方正书宋_GBK"/>
                <w:b/>
              </w:rPr>
            </w:pPr>
            <w:r>
              <w:rPr>
                <w:rFonts w:ascii="方正书宋_GBK" w:eastAsia="方正书宋_GBK"/>
                <w:b/>
              </w:rPr>
              <w:t>202.205</w:t>
            </w:r>
          </w:p>
        </w:tc>
        <w:tc>
          <w:tcPr>
            <w:tcW w:w="941" w:type="dxa"/>
            <w:vAlign w:val="center"/>
          </w:tcPr>
          <w:p>
            <w:pPr>
              <w:spacing w:line="300" w:lineRule="exact"/>
              <w:jc w:val="left"/>
              <w:rPr>
                <w:rFonts w:ascii="方正书宋_GBK" w:eastAsia="方正书宋_GBK"/>
                <w:b/>
              </w:rPr>
            </w:pPr>
          </w:p>
        </w:tc>
        <w:tc>
          <w:tcPr>
            <w:tcW w:w="1133" w:type="dxa"/>
            <w:vAlign w:val="center"/>
          </w:tcPr>
          <w:p>
            <w:pPr>
              <w:spacing w:line="300" w:lineRule="exact"/>
              <w:jc w:val="left"/>
              <w:rPr>
                <w:rFonts w:ascii="方正书宋_GBK" w:eastAsia="方正书宋_GBK"/>
                <w:b/>
              </w:rPr>
            </w:pPr>
          </w:p>
        </w:tc>
        <w:tc>
          <w:tcPr>
            <w:tcW w:w="851" w:type="dxa"/>
            <w:vAlign w:val="center"/>
          </w:tcPr>
          <w:p>
            <w:pPr>
              <w:spacing w:line="300" w:lineRule="exact"/>
              <w:jc w:val="left"/>
              <w:rPr>
                <w:rFonts w:ascii="方正书宋_GBK" w:eastAsia="方正书宋_GBK"/>
                <w:b/>
              </w:rPr>
            </w:pPr>
          </w:p>
        </w:tc>
        <w:tc>
          <w:tcPr>
            <w:tcW w:w="870" w:type="dxa"/>
            <w:vAlign w:val="center"/>
          </w:tcPr>
          <w:p>
            <w:pPr>
              <w:spacing w:line="300" w:lineRule="exact"/>
              <w:jc w:val="right"/>
              <w:rPr>
                <w:rFonts w:ascii="方正书宋_GBK" w:eastAsia="方正书宋_GBK"/>
                <w:b/>
              </w:rPr>
            </w:pPr>
          </w:p>
        </w:tc>
        <w:tc>
          <w:tcPr>
            <w:tcW w:w="973"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587" w:type="dxa"/>
            <w:vAlign w:val="center"/>
          </w:tcPr>
          <w:p>
            <w:pPr>
              <w:spacing w:line="300" w:lineRule="exact"/>
              <w:jc w:val="right"/>
              <w:rPr>
                <w:rFonts w:ascii="方正书宋_GBK" w:eastAsia="方正书宋_GBK"/>
                <w:b/>
              </w:rPr>
            </w:pPr>
          </w:p>
        </w:tc>
        <w:tc>
          <w:tcPr>
            <w:tcW w:w="933" w:type="dxa"/>
            <w:vAlign w:val="center"/>
          </w:tcPr>
          <w:p>
            <w:pPr>
              <w:spacing w:line="300" w:lineRule="exact"/>
              <w:jc w:val="right"/>
              <w:rPr>
                <w:rFonts w:ascii="方正书宋_GBK" w:eastAsia="方正书宋_GBK"/>
                <w:b/>
              </w:rPr>
            </w:pPr>
          </w:p>
        </w:tc>
        <w:tc>
          <w:tcPr>
            <w:tcW w:w="933" w:type="dxa"/>
            <w:vAlign w:val="center"/>
          </w:tcPr>
          <w:p>
            <w:pPr>
              <w:spacing w:line="300" w:lineRule="exact"/>
              <w:jc w:val="right"/>
              <w:rPr>
                <w:rFonts w:ascii="方正书宋_GBK" w:eastAsia="方正书宋_GBK"/>
                <w:b/>
              </w:rPr>
            </w:pPr>
          </w:p>
        </w:tc>
        <w:tc>
          <w:tcPr>
            <w:tcW w:w="89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center"/>
              <w:rPr>
                <w:rFonts w:ascii="方正书宋_GBK" w:eastAsia="方正书宋_GBK"/>
                <w:b/>
              </w:rPr>
            </w:pPr>
            <w:r>
              <w:rPr>
                <w:rFonts w:hint="eastAsia" w:ascii="宋体" w:hAnsi="宋体" w:cs="宋体"/>
                <w:b/>
              </w:rPr>
              <w:t>中共隆尧县委</w:t>
            </w:r>
            <w:r>
              <w:rPr>
                <w:rFonts w:hint="eastAsia" w:ascii="方正书宋_GBK" w:eastAsia="方正书宋_GBK"/>
                <w:b/>
              </w:rPr>
              <w:t>政法委</w:t>
            </w:r>
          </w:p>
        </w:tc>
        <w:tc>
          <w:tcPr>
            <w:tcW w:w="1066" w:type="dxa"/>
            <w:vAlign w:val="center"/>
          </w:tcPr>
          <w:p>
            <w:pPr>
              <w:spacing w:line="300" w:lineRule="exact"/>
              <w:jc w:val="right"/>
              <w:rPr>
                <w:rFonts w:ascii="方正书宋_GBK" w:eastAsia="方正书宋_GBK"/>
                <w:b/>
              </w:rPr>
            </w:pPr>
            <w:r>
              <w:rPr>
                <w:rFonts w:ascii="方正书宋_GBK" w:eastAsia="方正书宋_GBK"/>
                <w:b/>
              </w:rPr>
              <w:t>202.205</w:t>
            </w:r>
          </w:p>
        </w:tc>
        <w:tc>
          <w:tcPr>
            <w:tcW w:w="941" w:type="dxa"/>
            <w:vAlign w:val="center"/>
          </w:tcPr>
          <w:p>
            <w:pPr>
              <w:spacing w:line="300" w:lineRule="exact"/>
              <w:jc w:val="left"/>
              <w:rPr>
                <w:rFonts w:ascii="方正书宋_GBK" w:eastAsia="方正书宋_GBK"/>
                <w:b/>
              </w:rPr>
            </w:pPr>
          </w:p>
        </w:tc>
        <w:tc>
          <w:tcPr>
            <w:tcW w:w="1133" w:type="dxa"/>
            <w:vAlign w:val="center"/>
          </w:tcPr>
          <w:p>
            <w:pPr>
              <w:spacing w:line="300" w:lineRule="exact"/>
              <w:jc w:val="left"/>
              <w:rPr>
                <w:rFonts w:ascii="方正书宋_GBK" w:eastAsia="方正书宋_GBK"/>
                <w:b/>
              </w:rPr>
            </w:pPr>
          </w:p>
        </w:tc>
        <w:tc>
          <w:tcPr>
            <w:tcW w:w="851" w:type="dxa"/>
            <w:vAlign w:val="center"/>
          </w:tcPr>
          <w:p>
            <w:pPr>
              <w:spacing w:line="300" w:lineRule="exact"/>
              <w:jc w:val="left"/>
              <w:rPr>
                <w:rFonts w:ascii="方正书宋_GBK" w:eastAsia="方正书宋_GBK"/>
                <w:b/>
              </w:rPr>
            </w:pPr>
          </w:p>
        </w:tc>
        <w:tc>
          <w:tcPr>
            <w:tcW w:w="870" w:type="dxa"/>
            <w:vAlign w:val="center"/>
          </w:tcPr>
          <w:p>
            <w:pPr>
              <w:spacing w:line="300" w:lineRule="exact"/>
              <w:jc w:val="right"/>
              <w:rPr>
                <w:rFonts w:ascii="方正书宋_GBK" w:eastAsia="方正书宋_GBK"/>
                <w:b/>
              </w:rPr>
            </w:pPr>
          </w:p>
        </w:tc>
        <w:tc>
          <w:tcPr>
            <w:tcW w:w="973"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587" w:type="dxa"/>
            <w:vAlign w:val="center"/>
          </w:tcPr>
          <w:p>
            <w:pPr>
              <w:spacing w:line="300" w:lineRule="exact"/>
              <w:jc w:val="right"/>
              <w:rPr>
                <w:rFonts w:ascii="方正书宋_GBK" w:eastAsia="方正书宋_GBK"/>
                <w:b/>
              </w:rPr>
            </w:pPr>
          </w:p>
        </w:tc>
        <w:tc>
          <w:tcPr>
            <w:tcW w:w="933" w:type="dxa"/>
            <w:vAlign w:val="center"/>
          </w:tcPr>
          <w:p>
            <w:pPr>
              <w:spacing w:line="300" w:lineRule="exact"/>
              <w:jc w:val="right"/>
              <w:rPr>
                <w:rFonts w:ascii="方正书宋_GBK" w:eastAsia="方正书宋_GBK"/>
                <w:b/>
              </w:rPr>
            </w:pPr>
          </w:p>
        </w:tc>
        <w:tc>
          <w:tcPr>
            <w:tcW w:w="933" w:type="dxa"/>
            <w:vAlign w:val="center"/>
          </w:tcPr>
          <w:p>
            <w:pPr>
              <w:spacing w:line="300" w:lineRule="exact"/>
              <w:jc w:val="right"/>
              <w:rPr>
                <w:rFonts w:ascii="方正书宋_GBK" w:eastAsia="方正书宋_GBK"/>
                <w:b/>
              </w:rPr>
            </w:pPr>
          </w:p>
        </w:tc>
        <w:tc>
          <w:tcPr>
            <w:tcW w:w="89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方正书宋_GBK" w:eastAsia="方正书宋_GBK"/>
              </w:rPr>
            </w:pPr>
            <w:r>
              <w:rPr>
                <w:rFonts w:hint="eastAsia" w:ascii="宋体" w:hAnsi="宋体" w:cs="宋体"/>
              </w:rPr>
              <w:t>维稳经费</w:t>
            </w:r>
            <w:r>
              <w:rPr>
                <w:rFonts w:ascii="宋体" w:hAnsi="宋体" w:cs="宋体"/>
              </w:rPr>
              <w:t>/</w:t>
            </w:r>
            <w:r>
              <w:rPr>
                <w:rFonts w:hint="eastAsia" w:ascii="宋体" w:hAnsi="宋体" w:cs="宋体"/>
              </w:rPr>
              <w:t>综治视联网经费</w:t>
            </w:r>
          </w:p>
        </w:tc>
        <w:tc>
          <w:tcPr>
            <w:tcW w:w="1066" w:type="dxa"/>
            <w:vAlign w:val="center"/>
          </w:tcPr>
          <w:p>
            <w:pPr>
              <w:spacing w:line="300" w:lineRule="exact"/>
              <w:jc w:val="right"/>
              <w:rPr>
                <w:rFonts w:ascii="方正书宋_GBK" w:eastAsia="方正书宋_GBK"/>
              </w:rPr>
            </w:pPr>
            <w:r>
              <w:rPr>
                <w:rFonts w:ascii="方正书宋_GBK" w:eastAsia="方正书宋_GBK"/>
              </w:rPr>
              <w:t>77.37</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专用设备</w:t>
            </w:r>
          </w:p>
        </w:tc>
        <w:tc>
          <w:tcPr>
            <w:tcW w:w="1133" w:type="dxa"/>
            <w:vAlign w:val="center"/>
          </w:tcPr>
          <w:p>
            <w:pPr>
              <w:spacing w:line="300" w:lineRule="exact"/>
              <w:jc w:val="left"/>
              <w:rPr>
                <w:rFonts w:ascii="方正书宋_GBK" w:eastAsia="方正书宋_GBK"/>
              </w:rPr>
            </w:pPr>
            <w:r>
              <w:rPr>
                <w:rFonts w:ascii="方正书宋_GBK" w:eastAsia="方正书宋_GBK"/>
              </w:rPr>
              <w:t>A02</w:t>
            </w:r>
          </w:p>
        </w:tc>
        <w:tc>
          <w:tcPr>
            <w:tcW w:w="851" w:type="dxa"/>
            <w:vAlign w:val="center"/>
          </w:tcPr>
          <w:p>
            <w:pPr>
              <w:spacing w:line="300" w:lineRule="exact"/>
              <w:jc w:val="left"/>
              <w:rPr>
                <w:rFonts w:ascii="方正书宋_GBK" w:eastAsia="方正书宋_GBK"/>
              </w:rPr>
            </w:pPr>
            <w:r>
              <w:rPr>
                <w:rFonts w:hint="eastAsia" w:ascii="微软雅黑" w:hAnsi="微软雅黑" w:eastAsia="微软雅黑" w:cs="微软雅黑"/>
              </w:rPr>
              <w:t>套</w:t>
            </w:r>
          </w:p>
        </w:tc>
        <w:tc>
          <w:tcPr>
            <w:tcW w:w="870" w:type="dxa"/>
            <w:vAlign w:val="center"/>
          </w:tcPr>
          <w:p>
            <w:pPr>
              <w:spacing w:line="300" w:lineRule="exact"/>
              <w:jc w:val="right"/>
              <w:rPr>
                <w:rFonts w:ascii="方正书宋_GBK" w:eastAsia="方正书宋_GBK"/>
              </w:rPr>
            </w:pPr>
            <w:r>
              <w:rPr>
                <w:rFonts w:ascii="方正书宋_GBK" w:eastAsia="方正书宋_GBK"/>
              </w:rPr>
              <w:t>1</w:t>
            </w:r>
          </w:p>
        </w:tc>
        <w:tc>
          <w:tcPr>
            <w:tcW w:w="973" w:type="dxa"/>
            <w:vAlign w:val="center"/>
          </w:tcPr>
          <w:p>
            <w:pPr>
              <w:spacing w:line="300" w:lineRule="exact"/>
              <w:jc w:val="right"/>
              <w:rPr>
                <w:rFonts w:ascii="方正书宋_GBK" w:eastAsia="方正书宋_GBK"/>
              </w:rPr>
            </w:pPr>
            <w:r>
              <w:rPr>
                <w:rFonts w:ascii="方正书宋_GBK" w:eastAsia="方正书宋_GBK"/>
              </w:rPr>
              <w:t>77.37</w:t>
            </w:r>
          </w:p>
        </w:tc>
        <w:tc>
          <w:tcPr>
            <w:tcW w:w="992" w:type="dxa"/>
            <w:vAlign w:val="center"/>
          </w:tcPr>
          <w:p>
            <w:pPr>
              <w:spacing w:line="300" w:lineRule="exact"/>
              <w:jc w:val="right"/>
              <w:rPr>
                <w:rFonts w:ascii="方正书宋_GBK" w:eastAsia="方正书宋_GBK"/>
              </w:rPr>
            </w:pPr>
            <w:r>
              <w:rPr>
                <w:rFonts w:ascii="方正书宋_GBK" w:eastAsia="方正书宋_GBK"/>
              </w:rPr>
              <w:t>77.37</w:t>
            </w:r>
          </w:p>
        </w:tc>
        <w:tc>
          <w:tcPr>
            <w:tcW w:w="992" w:type="dxa"/>
            <w:vAlign w:val="center"/>
          </w:tcPr>
          <w:p>
            <w:pPr>
              <w:spacing w:line="300" w:lineRule="exact"/>
              <w:jc w:val="right"/>
              <w:rPr>
                <w:rFonts w:ascii="方正书宋_GBK" w:eastAsia="方正书宋_GBK"/>
              </w:rPr>
            </w:pPr>
            <w:r>
              <w:rPr>
                <w:rFonts w:ascii="方正书宋_GBK" w:eastAsia="方正书宋_GBK"/>
              </w:rPr>
              <w:t>77.37</w:t>
            </w:r>
          </w:p>
        </w:tc>
        <w:tc>
          <w:tcPr>
            <w:tcW w:w="992" w:type="dxa"/>
            <w:vAlign w:val="center"/>
          </w:tcPr>
          <w:p>
            <w:pPr>
              <w:spacing w:line="300" w:lineRule="exact"/>
              <w:jc w:val="right"/>
              <w:rPr>
                <w:rFonts w:ascii="方正书宋_GBK" w:eastAsia="方正书宋_GBK"/>
              </w:rPr>
            </w:pPr>
            <w:r>
              <w:rPr>
                <w:rFonts w:ascii="方正书宋_GBK" w:eastAsia="方正书宋_GBK"/>
              </w:rPr>
              <w:t>77.37</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方正书宋_GBK" w:eastAsia="方正书宋_GBK"/>
              </w:rPr>
            </w:pPr>
            <w:r>
              <w:rPr>
                <w:rFonts w:hint="eastAsia" w:ascii="宋体" w:hAnsi="宋体" w:cs="宋体"/>
              </w:rPr>
              <w:t>维稳经费</w:t>
            </w:r>
            <w:r>
              <w:rPr>
                <w:rFonts w:ascii="宋体" w:hAnsi="宋体" w:cs="宋体"/>
              </w:rPr>
              <w:t>/</w:t>
            </w:r>
            <w:r>
              <w:rPr>
                <w:rFonts w:hint="eastAsia" w:ascii="宋体" w:hAnsi="宋体" w:cs="宋体"/>
              </w:rPr>
              <w:t>综治中心建设</w:t>
            </w:r>
          </w:p>
        </w:tc>
        <w:tc>
          <w:tcPr>
            <w:tcW w:w="1066" w:type="dxa"/>
            <w:vAlign w:val="center"/>
          </w:tcPr>
          <w:p>
            <w:pPr>
              <w:spacing w:line="300" w:lineRule="exact"/>
              <w:jc w:val="right"/>
              <w:rPr>
                <w:rFonts w:ascii="方正书宋_GBK" w:eastAsia="方正书宋_GBK"/>
              </w:rPr>
            </w:pPr>
            <w:r>
              <w:rPr>
                <w:rFonts w:ascii="方正书宋_GBK" w:eastAsia="方正书宋_GBK"/>
              </w:rPr>
              <w:t>77.645</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专用设备</w:t>
            </w:r>
          </w:p>
        </w:tc>
        <w:tc>
          <w:tcPr>
            <w:tcW w:w="1133" w:type="dxa"/>
            <w:vAlign w:val="center"/>
          </w:tcPr>
          <w:p>
            <w:pPr>
              <w:spacing w:line="300" w:lineRule="exact"/>
              <w:jc w:val="left"/>
              <w:rPr>
                <w:rFonts w:ascii="方正书宋_GBK" w:eastAsia="方正书宋_GBK"/>
              </w:rPr>
            </w:pPr>
            <w:r>
              <w:rPr>
                <w:rFonts w:ascii="方正书宋_GBK" w:eastAsia="方正书宋_GBK"/>
              </w:rPr>
              <w:t>A02</w:t>
            </w:r>
          </w:p>
        </w:tc>
        <w:tc>
          <w:tcPr>
            <w:tcW w:w="851" w:type="dxa"/>
            <w:vAlign w:val="center"/>
          </w:tcPr>
          <w:p>
            <w:pPr>
              <w:spacing w:line="300" w:lineRule="exact"/>
              <w:jc w:val="left"/>
              <w:rPr>
                <w:rFonts w:ascii="宋体" w:cs="宋体"/>
              </w:rPr>
            </w:pPr>
            <w:r>
              <w:rPr>
                <w:rFonts w:hint="eastAsia" w:ascii="宋体" w:hAnsi="宋体" w:cs="宋体"/>
              </w:rPr>
              <w:t>套</w:t>
            </w:r>
          </w:p>
        </w:tc>
        <w:tc>
          <w:tcPr>
            <w:tcW w:w="870" w:type="dxa"/>
            <w:vAlign w:val="center"/>
          </w:tcPr>
          <w:p>
            <w:pPr>
              <w:spacing w:line="300" w:lineRule="exact"/>
              <w:jc w:val="right"/>
              <w:rPr>
                <w:rFonts w:ascii="方正书宋_GBK" w:eastAsia="方正书宋_GBK"/>
              </w:rPr>
            </w:pPr>
            <w:r>
              <w:rPr>
                <w:rFonts w:ascii="方正书宋_GBK" w:eastAsia="方正书宋_GBK"/>
              </w:rPr>
              <w:t>1</w:t>
            </w:r>
          </w:p>
        </w:tc>
        <w:tc>
          <w:tcPr>
            <w:tcW w:w="973" w:type="dxa"/>
            <w:vAlign w:val="center"/>
          </w:tcPr>
          <w:p>
            <w:pPr>
              <w:spacing w:line="300" w:lineRule="exact"/>
              <w:jc w:val="right"/>
              <w:rPr>
                <w:rFonts w:ascii="方正书宋_GBK" w:eastAsia="方正书宋_GBK"/>
              </w:rPr>
            </w:pPr>
            <w:r>
              <w:rPr>
                <w:rFonts w:ascii="方正书宋_GBK" w:eastAsia="方正书宋_GBK"/>
              </w:rPr>
              <w:t>77.645</w:t>
            </w:r>
          </w:p>
        </w:tc>
        <w:tc>
          <w:tcPr>
            <w:tcW w:w="992" w:type="dxa"/>
            <w:vAlign w:val="center"/>
          </w:tcPr>
          <w:p>
            <w:pPr>
              <w:spacing w:line="300" w:lineRule="exact"/>
              <w:jc w:val="right"/>
              <w:rPr>
                <w:rFonts w:ascii="方正书宋_GBK" w:eastAsia="方正书宋_GBK"/>
              </w:rPr>
            </w:pPr>
            <w:r>
              <w:rPr>
                <w:rFonts w:ascii="方正书宋_GBK" w:eastAsia="方正书宋_GBK"/>
              </w:rPr>
              <w:t>77.645</w:t>
            </w:r>
          </w:p>
        </w:tc>
        <w:tc>
          <w:tcPr>
            <w:tcW w:w="992" w:type="dxa"/>
            <w:vAlign w:val="center"/>
          </w:tcPr>
          <w:p>
            <w:pPr>
              <w:spacing w:line="300" w:lineRule="exact"/>
              <w:jc w:val="right"/>
              <w:rPr>
                <w:rFonts w:ascii="方正书宋_GBK" w:eastAsia="方正书宋_GBK"/>
              </w:rPr>
            </w:pPr>
            <w:r>
              <w:rPr>
                <w:rFonts w:ascii="方正书宋_GBK" w:eastAsia="方正书宋_GBK"/>
              </w:rPr>
              <w:t>77.645</w:t>
            </w:r>
          </w:p>
        </w:tc>
        <w:tc>
          <w:tcPr>
            <w:tcW w:w="992" w:type="dxa"/>
            <w:vAlign w:val="center"/>
          </w:tcPr>
          <w:p>
            <w:pPr>
              <w:spacing w:line="300" w:lineRule="exact"/>
              <w:jc w:val="right"/>
              <w:rPr>
                <w:rFonts w:ascii="方正书宋_GBK" w:eastAsia="方正书宋_GBK"/>
              </w:rPr>
            </w:pPr>
            <w:r>
              <w:rPr>
                <w:rFonts w:ascii="方正书宋_GBK" w:eastAsia="方正书宋_GBK"/>
              </w:rPr>
              <w:t>77.645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宋体" w:cs="宋体"/>
              </w:rPr>
            </w:pPr>
            <w:r>
              <w:rPr>
                <w:rFonts w:hint="eastAsia" w:ascii="宋体" w:hAnsi="宋体" w:cs="宋体"/>
              </w:rPr>
              <w:t>扫黑除恶经费</w:t>
            </w:r>
          </w:p>
        </w:tc>
        <w:tc>
          <w:tcPr>
            <w:tcW w:w="1066" w:type="dxa"/>
            <w:vAlign w:val="center"/>
          </w:tcPr>
          <w:p>
            <w:pPr>
              <w:spacing w:line="300" w:lineRule="exact"/>
              <w:jc w:val="right"/>
              <w:rPr>
                <w:rFonts w:ascii="方正书宋_GBK" w:eastAsia="方正书宋_GBK"/>
              </w:rPr>
            </w:pPr>
            <w:r>
              <w:rPr>
                <w:rFonts w:ascii="方正书宋_GBK" w:eastAsia="方正书宋_GBK"/>
              </w:rPr>
              <w:t>8.5</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印刷品</w:t>
            </w:r>
          </w:p>
        </w:tc>
        <w:tc>
          <w:tcPr>
            <w:tcW w:w="1133" w:type="dxa"/>
            <w:vAlign w:val="center"/>
          </w:tcPr>
          <w:p>
            <w:pPr>
              <w:spacing w:line="300" w:lineRule="exact"/>
              <w:jc w:val="left"/>
              <w:rPr>
                <w:rFonts w:ascii="方正书宋_GBK" w:eastAsia="方正书宋_GBK"/>
              </w:rPr>
            </w:pPr>
            <w:r>
              <w:rPr>
                <w:rFonts w:ascii="方正书宋_GBK" w:eastAsia="方正书宋_GBK"/>
              </w:rPr>
              <w:t>A0802</w:t>
            </w:r>
          </w:p>
        </w:tc>
        <w:tc>
          <w:tcPr>
            <w:tcW w:w="851" w:type="dxa"/>
            <w:vAlign w:val="center"/>
          </w:tcPr>
          <w:p>
            <w:pPr>
              <w:spacing w:line="300" w:lineRule="exact"/>
              <w:jc w:val="left"/>
              <w:rPr>
                <w:rFonts w:ascii="宋体" w:cs="宋体"/>
              </w:rPr>
            </w:pPr>
            <w:r>
              <w:rPr>
                <w:rFonts w:hint="eastAsia" w:ascii="宋体" w:hAnsi="宋体" w:cs="宋体"/>
              </w:rPr>
              <w:t>册</w:t>
            </w:r>
          </w:p>
        </w:tc>
        <w:tc>
          <w:tcPr>
            <w:tcW w:w="870" w:type="dxa"/>
            <w:vAlign w:val="center"/>
          </w:tcPr>
          <w:p>
            <w:pPr>
              <w:spacing w:line="300" w:lineRule="exact"/>
              <w:jc w:val="right"/>
              <w:rPr>
                <w:rFonts w:ascii="方正书宋_GBK" w:eastAsia="方正书宋_GBK"/>
              </w:rPr>
            </w:pPr>
            <w:r>
              <w:rPr>
                <w:rFonts w:ascii="方正书宋_GBK" w:eastAsia="方正书宋_GBK"/>
              </w:rPr>
              <w:t>42500</w:t>
            </w:r>
          </w:p>
        </w:tc>
        <w:tc>
          <w:tcPr>
            <w:tcW w:w="973" w:type="dxa"/>
            <w:vAlign w:val="center"/>
          </w:tcPr>
          <w:p>
            <w:pPr>
              <w:spacing w:line="300" w:lineRule="exact"/>
              <w:jc w:val="right"/>
              <w:rPr>
                <w:rFonts w:ascii="方正书宋_GBK" w:eastAsia="方正书宋_GBK"/>
              </w:rPr>
            </w:pPr>
            <w:r>
              <w:rPr>
                <w:rFonts w:ascii="方正书宋_GBK" w:eastAsia="方正书宋_GBK"/>
              </w:rPr>
              <w:t>0.0002</w:t>
            </w:r>
          </w:p>
        </w:tc>
        <w:tc>
          <w:tcPr>
            <w:tcW w:w="992" w:type="dxa"/>
            <w:vAlign w:val="center"/>
          </w:tcPr>
          <w:p>
            <w:pPr>
              <w:spacing w:line="300" w:lineRule="exact"/>
              <w:jc w:val="right"/>
              <w:rPr>
                <w:rFonts w:ascii="方正书宋_GBK" w:eastAsia="方正书宋_GBK"/>
              </w:rPr>
            </w:pPr>
            <w:r>
              <w:rPr>
                <w:rFonts w:ascii="方正书宋_GBK" w:eastAsia="方正书宋_GBK"/>
              </w:rPr>
              <w:t>8.5</w:t>
            </w:r>
          </w:p>
        </w:tc>
        <w:tc>
          <w:tcPr>
            <w:tcW w:w="992" w:type="dxa"/>
            <w:vAlign w:val="center"/>
          </w:tcPr>
          <w:p>
            <w:pPr>
              <w:spacing w:line="300" w:lineRule="exact"/>
              <w:jc w:val="right"/>
              <w:rPr>
                <w:rFonts w:ascii="方正书宋_GBK" w:eastAsia="方正书宋_GBK"/>
              </w:rPr>
            </w:pPr>
            <w:r>
              <w:rPr>
                <w:rFonts w:ascii="方正书宋_GBK" w:eastAsia="方正书宋_GBK"/>
              </w:rPr>
              <w:t>8.5</w:t>
            </w:r>
          </w:p>
        </w:tc>
        <w:tc>
          <w:tcPr>
            <w:tcW w:w="992" w:type="dxa"/>
            <w:vAlign w:val="center"/>
          </w:tcPr>
          <w:p>
            <w:pPr>
              <w:spacing w:line="300" w:lineRule="exact"/>
              <w:jc w:val="right"/>
              <w:rPr>
                <w:rFonts w:ascii="方正书宋_GBK" w:eastAsia="方正书宋_GBK"/>
              </w:rPr>
            </w:pPr>
            <w:r>
              <w:rPr>
                <w:rFonts w:ascii="方正书宋_GBK" w:eastAsia="方正书宋_GBK"/>
              </w:rPr>
              <w:t>8.5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方正书宋_GBK" w:eastAsia="方正书宋_GBK"/>
              </w:rPr>
            </w:pPr>
            <w:r>
              <w:rPr>
                <w:rFonts w:hint="eastAsia" w:ascii="宋体" w:hAnsi="宋体" w:cs="宋体"/>
              </w:rPr>
              <w:t>维稳经费</w:t>
            </w:r>
            <w:r>
              <w:rPr>
                <w:rFonts w:ascii="宋体" w:hAnsi="宋体" w:cs="宋体"/>
              </w:rPr>
              <w:t>/</w:t>
            </w:r>
            <w:r>
              <w:rPr>
                <w:rFonts w:hint="eastAsia" w:ascii="宋体" w:hAnsi="宋体" w:cs="宋体"/>
              </w:rPr>
              <w:t>铁路护路</w:t>
            </w:r>
          </w:p>
        </w:tc>
        <w:tc>
          <w:tcPr>
            <w:tcW w:w="1066" w:type="dxa"/>
            <w:vAlign w:val="center"/>
          </w:tcPr>
          <w:p>
            <w:pPr>
              <w:spacing w:line="300" w:lineRule="exact"/>
              <w:jc w:val="right"/>
              <w:rPr>
                <w:rFonts w:ascii="方正书宋_GBK" w:eastAsia="方正书宋_GBK"/>
              </w:rPr>
            </w:pPr>
            <w:r>
              <w:rPr>
                <w:rFonts w:ascii="方正书宋_GBK" w:eastAsia="方正书宋_GBK"/>
              </w:rPr>
              <w:t>1.5</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印刷品</w:t>
            </w:r>
          </w:p>
        </w:tc>
        <w:tc>
          <w:tcPr>
            <w:tcW w:w="1133" w:type="dxa"/>
            <w:vAlign w:val="center"/>
          </w:tcPr>
          <w:p>
            <w:pPr>
              <w:spacing w:line="300" w:lineRule="exact"/>
              <w:jc w:val="left"/>
              <w:rPr>
                <w:rFonts w:ascii="方正书宋_GBK" w:eastAsia="方正书宋_GBK"/>
              </w:rPr>
            </w:pPr>
            <w:r>
              <w:rPr>
                <w:rFonts w:ascii="方正书宋_GBK" w:eastAsia="方正书宋_GBK"/>
              </w:rPr>
              <w:t>A0802</w:t>
            </w:r>
          </w:p>
        </w:tc>
        <w:tc>
          <w:tcPr>
            <w:tcW w:w="851" w:type="dxa"/>
            <w:vAlign w:val="center"/>
          </w:tcPr>
          <w:p>
            <w:pPr>
              <w:spacing w:line="300" w:lineRule="exact"/>
              <w:jc w:val="left"/>
              <w:rPr>
                <w:rFonts w:ascii="宋体" w:cs="宋体"/>
              </w:rPr>
            </w:pPr>
            <w:r>
              <w:rPr>
                <w:rFonts w:hint="eastAsia" w:ascii="宋体" w:hAnsi="宋体" w:cs="宋体"/>
              </w:rPr>
              <w:t>幅</w:t>
            </w:r>
          </w:p>
        </w:tc>
        <w:tc>
          <w:tcPr>
            <w:tcW w:w="870" w:type="dxa"/>
            <w:vAlign w:val="center"/>
          </w:tcPr>
          <w:p>
            <w:pPr>
              <w:spacing w:line="300" w:lineRule="exact"/>
              <w:jc w:val="right"/>
              <w:rPr>
                <w:rFonts w:ascii="方正书宋_GBK" w:eastAsia="方正书宋_GBK"/>
              </w:rPr>
            </w:pPr>
            <w:r>
              <w:rPr>
                <w:rFonts w:ascii="方正书宋_GBK" w:eastAsia="方正书宋_GBK"/>
              </w:rPr>
              <w:t>10000</w:t>
            </w:r>
          </w:p>
        </w:tc>
        <w:tc>
          <w:tcPr>
            <w:tcW w:w="973" w:type="dxa"/>
            <w:vAlign w:val="center"/>
          </w:tcPr>
          <w:p>
            <w:pPr>
              <w:spacing w:line="300" w:lineRule="exact"/>
              <w:jc w:val="right"/>
              <w:rPr>
                <w:rFonts w:ascii="方正书宋_GBK" w:eastAsia="方正书宋_GBK"/>
              </w:rPr>
            </w:pPr>
            <w:r>
              <w:rPr>
                <w:rFonts w:ascii="方正书宋_GBK" w:eastAsia="方正书宋_GBK"/>
              </w:rPr>
              <w:t>0.00015</w:t>
            </w:r>
          </w:p>
        </w:tc>
        <w:tc>
          <w:tcPr>
            <w:tcW w:w="992" w:type="dxa"/>
            <w:vAlign w:val="center"/>
          </w:tcPr>
          <w:p>
            <w:pPr>
              <w:spacing w:line="300" w:lineRule="exact"/>
              <w:jc w:val="right"/>
              <w:rPr>
                <w:rFonts w:ascii="方正书宋_GBK" w:eastAsia="方正书宋_GBK"/>
              </w:rPr>
            </w:pPr>
            <w:r>
              <w:rPr>
                <w:rFonts w:ascii="方正书宋_GBK" w:eastAsia="方正书宋_GBK"/>
              </w:rPr>
              <w:t>1.5</w:t>
            </w:r>
          </w:p>
        </w:tc>
        <w:tc>
          <w:tcPr>
            <w:tcW w:w="992" w:type="dxa"/>
            <w:vAlign w:val="center"/>
          </w:tcPr>
          <w:p>
            <w:pPr>
              <w:spacing w:line="300" w:lineRule="exact"/>
              <w:jc w:val="right"/>
              <w:rPr>
                <w:rFonts w:ascii="方正书宋_GBK" w:eastAsia="方正书宋_GBK"/>
              </w:rPr>
            </w:pPr>
            <w:r>
              <w:rPr>
                <w:rFonts w:ascii="方正书宋_GBK" w:eastAsia="方正书宋_GBK"/>
              </w:rPr>
              <w:t>1.5</w:t>
            </w:r>
          </w:p>
        </w:tc>
        <w:tc>
          <w:tcPr>
            <w:tcW w:w="992" w:type="dxa"/>
            <w:vAlign w:val="center"/>
          </w:tcPr>
          <w:p>
            <w:pPr>
              <w:spacing w:line="300" w:lineRule="exact"/>
              <w:jc w:val="right"/>
              <w:rPr>
                <w:rFonts w:ascii="方正书宋_GBK" w:eastAsia="方正书宋_GBK"/>
              </w:rPr>
            </w:pPr>
            <w:r>
              <w:rPr>
                <w:rFonts w:ascii="方正书宋_GBK" w:eastAsia="方正书宋_GBK"/>
              </w:rPr>
              <w:t>1.5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方正书宋_GBK" w:eastAsia="方正书宋_GBK"/>
              </w:rPr>
            </w:pPr>
            <w:r>
              <w:rPr>
                <w:rFonts w:hint="eastAsia" w:ascii="宋体" w:hAnsi="宋体" w:cs="宋体"/>
              </w:rPr>
              <w:t>平安建设经费</w:t>
            </w:r>
          </w:p>
        </w:tc>
        <w:tc>
          <w:tcPr>
            <w:tcW w:w="1066" w:type="dxa"/>
            <w:vAlign w:val="center"/>
          </w:tcPr>
          <w:p>
            <w:pPr>
              <w:spacing w:line="300" w:lineRule="exact"/>
              <w:jc w:val="right"/>
              <w:rPr>
                <w:rFonts w:ascii="方正书宋_GBK" w:eastAsia="方正书宋_GBK"/>
              </w:rPr>
            </w:pPr>
            <w:r>
              <w:rPr>
                <w:rFonts w:ascii="方正书宋_GBK" w:eastAsia="方正书宋_GBK"/>
              </w:rPr>
              <w:t>4.25</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印刷品</w:t>
            </w:r>
          </w:p>
        </w:tc>
        <w:tc>
          <w:tcPr>
            <w:tcW w:w="1133" w:type="dxa"/>
            <w:vAlign w:val="center"/>
          </w:tcPr>
          <w:p>
            <w:pPr>
              <w:spacing w:line="300" w:lineRule="exact"/>
              <w:jc w:val="left"/>
              <w:rPr>
                <w:rFonts w:ascii="方正书宋_GBK" w:eastAsia="方正书宋_GBK"/>
              </w:rPr>
            </w:pPr>
            <w:r>
              <w:rPr>
                <w:rFonts w:ascii="方正书宋_GBK" w:eastAsia="方正书宋_GBK"/>
              </w:rPr>
              <w:t>A0802</w:t>
            </w:r>
          </w:p>
        </w:tc>
        <w:tc>
          <w:tcPr>
            <w:tcW w:w="851" w:type="dxa"/>
            <w:vAlign w:val="center"/>
          </w:tcPr>
          <w:p>
            <w:pPr>
              <w:spacing w:line="300" w:lineRule="exact"/>
              <w:jc w:val="left"/>
              <w:rPr>
                <w:rFonts w:ascii="宋体" w:cs="宋体"/>
              </w:rPr>
            </w:pPr>
            <w:r>
              <w:rPr>
                <w:rFonts w:hint="eastAsia" w:ascii="宋体" w:hAnsi="宋体" w:cs="宋体"/>
              </w:rPr>
              <w:t>册</w:t>
            </w:r>
          </w:p>
        </w:tc>
        <w:tc>
          <w:tcPr>
            <w:tcW w:w="870" w:type="dxa"/>
            <w:vAlign w:val="center"/>
          </w:tcPr>
          <w:p>
            <w:pPr>
              <w:spacing w:line="300" w:lineRule="exact"/>
              <w:jc w:val="right"/>
              <w:rPr>
                <w:rFonts w:ascii="方正书宋_GBK" w:eastAsia="方正书宋_GBK"/>
              </w:rPr>
            </w:pPr>
            <w:r>
              <w:rPr>
                <w:rFonts w:ascii="方正书宋_GBK" w:eastAsia="方正书宋_GBK"/>
              </w:rPr>
              <w:t>17000</w:t>
            </w:r>
          </w:p>
        </w:tc>
        <w:tc>
          <w:tcPr>
            <w:tcW w:w="973" w:type="dxa"/>
            <w:vAlign w:val="center"/>
          </w:tcPr>
          <w:p>
            <w:pPr>
              <w:spacing w:line="300" w:lineRule="exact"/>
              <w:jc w:val="right"/>
              <w:rPr>
                <w:rFonts w:ascii="方正书宋_GBK" w:eastAsia="方正书宋_GBK"/>
              </w:rPr>
            </w:pPr>
            <w:r>
              <w:rPr>
                <w:rFonts w:ascii="方正书宋_GBK" w:eastAsia="方正书宋_GBK"/>
              </w:rPr>
              <w:t>0.00025</w:t>
            </w:r>
          </w:p>
        </w:tc>
        <w:tc>
          <w:tcPr>
            <w:tcW w:w="992" w:type="dxa"/>
            <w:vAlign w:val="center"/>
          </w:tcPr>
          <w:p>
            <w:pPr>
              <w:spacing w:line="300" w:lineRule="exact"/>
              <w:jc w:val="right"/>
              <w:rPr>
                <w:rFonts w:ascii="方正书宋_GBK" w:eastAsia="方正书宋_GBK"/>
              </w:rPr>
            </w:pPr>
            <w:r>
              <w:rPr>
                <w:rFonts w:ascii="方正书宋_GBK" w:eastAsia="方正书宋_GBK"/>
              </w:rPr>
              <w:t>4.25</w:t>
            </w:r>
          </w:p>
        </w:tc>
        <w:tc>
          <w:tcPr>
            <w:tcW w:w="992" w:type="dxa"/>
            <w:vAlign w:val="center"/>
          </w:tcPr>
          <w:p>
            <w:pPr>
              <w:spacing w:line="300" w:lineRule="exact"/>
              <w:jc w:val="right"/>
              <w:rPr>
                <w:rFonts w:ascii="方正书宋_GBK" w:eastAsia="方正书宋_GBK"/>
              </w:rPr>
            </w:pPr>
            <w:r>
              <w:rPr>
                <w:rFonts w:ascii="方正书宋_GBK" w:eastAsia="方正书宋_GBK"/>
              </w:rPr>
              <w:t>4.25</w:t>
            </w:r>
          </w:p>
        </w:tc>
        <w:tc>
          <w:tcPr>
            <w:tcW w:w="992" w:type="dxa"/>
            <w:vAlign w:val="center"/>
          </w:tcPr>
          <w:p>
            <w:pPr>
              <w:spacing w:line="300" w:lineRule="exact"/>
              <w:jc w:val="right"/>
              <w:rPr>
                <w:rFonts w:ascii="方正书宋_GBK" w:eastAsia="方正书宋_GBK"/>
              </w:rPr>
            </w:pPr>
            <w:r>
              <w:rPr>
                <w:rFonts w:ascii="方正书宋_GBK" w:eastAsia="方正书宋_GBK"/>
              </w:rPr>
              <w:t>4.25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宋体" w:cs="宋体"/>
              </w:rPr>
            </w:pPr>
            <w:r>
              <w:rPr>
                <w:rFonts w:hint="eastAsia" w:ascii="宋体" w:hAnsi="宋体" w:cs="宋体"/>
              </w:rPr>
              <w:t>维稳经费</w:t>
            </w:r>
            <w:r>
              <w:rPr>
                <w:rFonts w:ascii="宋体" w:hAnsi="宋体" w:cs="宋体"/>
              </w:rPr>
              <w:t>/</w:t>
            </w:r>
            <w:r>
              <w:rPr>
                <w:rFonts w:hint="eastAsia" w:ascii="宋体" w:hAnsi="宋体" w:cs="宋体"/>
              </w:rPr>
              <w:t>综治经费</w:t>
            </w:r>
          </w:p>
        </w:tc>
        <w:tc>
          <w:tcPr>
            <w:tcW w:w="1066" w:type="dxa"/>
            <w:vAlign w:val="center"/>
          </w:tcPr>
          <w:p>
            <w:pPr>
              <w:spacing w:line="300" w:lineRule="exact"/>
              <w:jc w:val="right"/>
              <w:rPr>
                <w:rFonts w:ascii="方正书宋_GBK" w:eastAsia="方正书宋_GBK"/>
              </w:rPr>
            </w:pPr>
            <w:r>
              <w:rPr>
                <w:rFonts w:ascii="方正书宋_GBK" w:eastAsia="方正书宋_GBK"/>
              </w:rPr>
              <w:t>31.5</w:t>
            </w:r>
          </w:p>
        </w:tc>
        <w:tc>
          <w:tcPr>
            <w:tcW w:w="941" w:type="dxa"/>
            <w:vAlign w:val="center"/>
          </w:tcPr>
          <w:p>
            <w:pPr>
              <w:spacing w:line="300" w:lineRule="exact"/>
              <w:jc w:val="left"/>
              <w:rPr>
                <w:rFonts w:ascii="方正书宋_GBK" w:eastAsia="方正书宋_GBK"/>
              </w:rPr>
            </w:pPr>
            <w:r>
              <w:rPr>
                <w:rFonts w:hint="eastAsia" w:ascii="微软雅黑" w:hAnsi="微软雅黑" w:eastAsia="微软雅黑" w:cs="微软雅黑"/>
              </w:rPr>
              <w:t>印刷品</w:t>
            </w:r>
          </w:p>
        </w:tc>
        <w:tc>
          <w:tcPr>
            <w:tcW w:w="1133" w:type="dxa"/>
            <w:vAlign w:val="center"/>
          </w:tcPr>
          <w:p>
            <w:pPr>
              <w:spacing w:line="300" w:lineRule="exact"/>
              <w:jc w:val="left"/>
              <w:rPr>
                <w:rFonts w:ascii="方正书宋_GBK" w:eastAsia="方正书宋_GBK"/>
              </w:rPr>
            </w:pPr>
            <w:r>
              <w:rPr>
                <w:rFonts w:ascii="方正书宋_GBK" w:eastAsia="方正书宋_GBK"/>
              </w:rPr>
              <w:t>A0202</w:t>
            </w:r>
          </w:p>
        </w:tc>
        <w:tc>
          <w:tcPr>
            <w:tcW w:w="851" w:type="dxa"/>
            <w:vAlign w:val="center"/>
          </w:tcPr>
          <w:p>
            <w:pPr>
              <w:spacing w:line="300" w:lineRule="exact"/>
              <w:jc w:val="left"/>
              <w:rPr>
                <w:rFonts w:ascii="宋体" w:cs="宋体"/>
              </w:rPr>
            </w:pPr>
            <w:r>
              <w:rPr>
                <w:rFonts w:hint="eastAsia" w:ascii="宋体" w:hAnsi="宋体" w:cs="宋体"/>
              </w:rPr>
              <w:t>册</w:t>
            </w:r>
          </w:p>
        </w:tc>
        <w:tc>
          <w:tcPr>
            <w:tcW w:w="870" w:type="dxa"/>
            <w:vAlign w:val="center"/>
          </w:tcPr>
          <w:p>
            <w:pPr>
              <w:spacing w:line="300" w:lineRule="exact"/>
              <w:jc w:val="right"/>
              <w:rPr>
                <w:rFonts w:ascii="方正书宋_GBK" w:eastAsia="方正书宋_GBK"/>
              </w:rPr>
            </w:pPr>
            <w:r>
              <w:rPr>
                <w:rFonts w:ascii="方正书宋_GBK" w:eastAsia="方正书宋_GBK"/>
              </w:rPr>
              <w:t>157500</w:t>
            </w:r>
          </w:p>
        </w:tc>
        <w:tc>
          <w:tcPr>
            <w:tcW w:w="973" w:type="dxa"/>
            <w:vAlign w:val="center"/>
          </w:tcPr>
          <w:p>
            <w:pPr>
              <w:spacing w:line="300" w:lineRule="exact"/>
              <w:jc w:val="right"/>
              <w:rPr>
                <w:rFonts w:ascii="方正书宋_GBK" w:eastAsia="方正书宋_GBK"/>
              </w:rPr>
            </w:pPr>
            <w:r>
              <w:rPr>
                <w:rFonts w:ascii="方正书宋_GBK" w:eastAsia="方正书宋_GBK"/>
              </w:rPr>
              <w:t>0.0002</w:t>
            </w:r>
          </w:p>
        </w:tc>
        <w:tc>
          <w:tcPr>
            <w:tcW w:w="992" w:type="dxa"/>
            <w:vAlign w:val="center"/>
          </w:tcPr>
          <w:p>
            <w:pPr>
              <w:spacing w:line="300" w:lineRule="exact"/>
              <w:jc w:val="right"/>
              <w:rPr>
                <w:rFonts w:ascii="方正书宋_GBK" w:eastAsia="方正书宋_GBK"/>
              </w:rPr>
            </w:pPr>
            <w:r>
              <w:rPr>
                <w:rFonts w:ascii="方正书宋_GBK" w:eastAsia="方正书宋_GBK"/>
              </w:rPr>
              <w:t>31.5</w:t>
            </w:r>
          </w:p>
        </w:tc>
        <w:tc>
          <w:tcPr>
            <w:tcW w:w="992" w:type="dxa"/>
            <w:vAlign w:val="center"/>
          </w:tcPr>
          <w:p>
            <w:pPr>
              <w:spacing w:line="300" w:lineRule="exact"/>
              <w:jc w:val="right"/>
              <w:rPr>
                <w:rFonts w:ascii="方正书宋_GBK" w:eastAsia="方正书宋_GBK"/>
              </w:rPr>
            </w:pPr>
            <w:r>
              <w:rPr>
                <w:rFonts w:ascii="方正书宋_GBK" w:eastAsia="方正书宋_GBK"/>
              </w:rPr>
              <w:t>31.5</w:t>
            </w:r>
          </w:p>
        </w:tc>
        <w:tc>
          <w:tcPr>
            <w:tcW w:w="992" w:type="dxa"/>
            <w:vAlign w:val="center"/>
          </w:tcPr>
          <w:p>
            <w:pPr>
              <w:spacing w:line="300" w:lineRule="exact"/>
              <w:jc w:val="right"/>
              <w:rPr>
                <w:rFonts w:ascii="方正书宋_GBK" w:eastAsia="方正书宋_GBK"/>
              </w:rPr>
            </w:pPr>
            <w:r>
              <w:rPr>
                <w:rFonts w:ascii="方正书宋_GBK" w:eastAsia="方正书宋_GBK"/>
              </w:rPr>
              <w:t>31.5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宋体" w:cs="宋体"/>
              </w:rPr>
            </w:pPr>
            <w:r>
              <w:rPr>
                <w:rFonts w:hint="eastAsia" w:ascii="宋体" w:hAnsi="宋体" w:cs="宋体"/>
              </w:rPr>
              <w:t>日常办公费</w:t>
            </w:r>
          </w:p>
        </w:tc>
        <w:tc>
          <w:tcPr>
            <w:tcW w:w="1066" w:type="dxa"/>
            <w:vAlign w:val="center"/>
          </w:tcPr>
          <w:p>
            <w:pPr>
              <w:spacing w:line="300" w:lineRule="exact"/>
              <w:jc w:val="right"/>
              <w:rPr>
                <w:rFonts w:ascii="方正书宋_GBK" w:eastAsia="方正书宋_GBK"/>
              </w:rPr>
            </w:pPr>
            <w:r>
              <w:rPr>
                <w:rFonts w:ascii="方正书宋_GBK" w:eastAsia="方正书宋_GBK"/>
              </w:rPr>
              <w:t>1.44</w:t>
            </w:r>
          </w:p>
        </w:tc>
        <w:tc>
          <w:tcPr>
            <w:tcW w:w="941" w:type="dxa"/>
            <w:vAlign w:val="center"/>
          </w:tcPr>
          <w:p>
            <w:pPr>
              <w:spacing w:line="300" w:lineRule="exact"/>
              <w:jc w:val="left"/>
              <w:rPr>
                <w:rFonts w:ascii="方正书宋_GBK" w:eastAsia="方正书宋_GBK"/>
              </w:rPr>
            </w:pPr>
            <w:r>
              <w:rPr>
                <w:rFonts w:hint="eastAsia" w:ascii="微软雅黑" w:hAnsi="微软雅黑" w:eastAsia="微软雅黑" w:cs="微软雅黑"/>
              </w:rPr>
              <w:t>打印纸</w:t>
            </w:r>
          </w:p>
        </w:tc>
        <w:tc>
          <w:tcPr>
            <w:tcW w:w="1133" w:type="dxa"/>
            <w:vAlign w:val="center"/>
          </w:tcPr>
          <w:p>
            <w:pPr>
              <w:spacing w:line="300" w:lineRule="exact"/>
              <w:jc w:val="left"/>
              <w:rPr>
                <w:rFonts w:ascii="方正书宋_GBK" w:eastAsia="方正书宋_GBK"/>
              </w:rPr>
            </w:pPr>
            <w:r>
              <w:rPr>
                <w:rFonts w:ascii="方正书宋_GBK" w:eastAsia="方正书宋_GBK"/>
              </w:rPr>
              <w:t>A0901</w:t>
            </w:r>
          </w:p>
        </w:tc>
        <w:tc>
          <w:tcPr>
            <w:tcW w:w="851" w:type="dxa"/>
            <w:vAlign w:val="center"/>
          </w:tcPr>
          <w:p>
            <w:pPr>
              <w:spacing w:line="300" w:lineRule="exact"/>
              <w:jc w:val="left"/>
              <w:rPr>
                <w:rFonts w:ascii="宋体" w:cs="宋体"/>
              </w:rPr>
            </w:pPr>
            <w:r>
              <w:rPr>
                <w:rFonts w:hint="eastAsia" w:ascii="宋体" w:hAnsi="宋体" w:cs="宋体"/>
              </w:rPr>
              <w:t>箱</w:t>
            </w:r>
          </w:p>
        </w:tc>
        <w:tc>
          <w:tcPr>
            <w:tcW w:w="870" w:type="dxa"/>
            <w:vAlign w:val="center"/>
          </w:tcPr>
          <w:p>
            <w:pPr>
              <w:spacing w:line="300" w:lineRule="exact"/>
              <w:jc w:val="right"/>
              <w:rPr>
                <w:rFonts w:ascii="方正书宋_GBK" w:eastAsia="方正书宋_GBK"/>
              </w:rPr>
            </w:pPr>
            <w:r>
              <w:rPr>
                <w:rFonts w:ascii="方正书宋_GBK" w:eastAsia="方正书宋_GBK"/>
              </w:rPr>
              <w:t>50</w:t>
            </w:r>
          </w:p>
        </w:tc>
        <w:tc>
          <w:tcPr>
            <w:tcW w:w="973" w:type="dxa"/>
            <w:vAlign w:val="center"/>
          </w:tcPr>
          <w:p>
            <w:pPr>
              <w:spacing w:line="300" w:lineRule="exact"/>
              <w:jc w:val="right"/>
              <w:rPr>
                <w:rFonts w:ascii="方正书宋_GBK" w:eastAsia="方正书宋_GBK"/>
              </w:rPr>
            </w:pPr>
            <w:r>
              <w:rPr>
                <w:rFonts w:ascii="方正书宋_GBK" w:eastAsia="方正书宋_GBK"/>
              </w:rPr>
              <w:t>0.0288</w:t>
            </w:r>
          </w:p>
        </w:tc>
        <w:tc>
          <w:tcPr>
            <w:tcW w:w="992" w:type="dxa"/>
            <w:vAlign w:val="center"/>
          </w:tcPr>
          <w:p>
            <w:pPr>
              <w:spacing w:line="300" w:lineRule="exact"/>
              <w:jc w:val="right"/>
              <w:rPr>
                <w:rFonts w:ascii="方正书宋_GBK" w:eastAsia="方正书宋_GBK"/>
              </w:rPr>
            </w:pPr>
            <w:r>
              <w:rPr>
                <w:rFonts w:ascii="方正书宋_GBK" w:eastAsia="方正书宋_GBK"/>
              </w:rPr>
              <w:t>1.44</w:t>
            </w:r>
          </w:p>
        </w:tc>
        <w:tc>
          <w:tcPr>
            <w:tcW w:w="992" w:type="dxa"/>
            <w:vAlign w:val="center"/>
          </w:tcPr>
          <w:p>
            <w:pPr>
              <w:spacing w:line="300" w:lineRule="exact"/>
              <w:jc w:val="right"/>
              <w:rPr>
                <w:rFonts w:ascii="方正书宋_GBK" w:eastAsia="方正书宋_GBK"/>
              </w:rPr>
            </w:pPr>
            <w:r>
              <w:rPr>
                <w:rFonts w:ascii="方正书宋_GBK" w:eastAsia="方正书宋_GBK"/>
              </w:rPr>
              <w:t>1.44</w:t>
            </w:r>
          </w:p>
        </w:tc>
        <w:tc>
          <w:tcPr>
            <w:tcW w:w="992" w:type="dxa"/>
            <w:vAlign w:val="center"/>
          </w:tcPr>
          <w:p>
            <w:pPr>
              <w:spacing w:line="300" w:lineRule="exact"/>
              <w:jc w:val="right"/>
              <w:rPr>
                <w:rFonts w:ascii="方正书宋_GBK" w:eastAsia="方正书宋_GBK"/>
              </w:rPr>
            </w:pPr>
            <w:r>
              <w:rPr>
                <w:rFonts w:ascii="方正书宋_GBK" w:eastAsia="方正书宋_GBK"/>
              </w:rPr>
              <w:t>1.44</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中共隆尧县委政法委</w:t>
      </w:r>
      <w:r>
        <w:rPr>
          <w:rFonts w:ascii="Times New Roman" w:hAnsi="Times New Roman" w:eastAsia="仿宋" w:cs="Times New Roman"/>
          <w:color w:val="000000"/>
          <w:sz w:val="32"/>
          <w:szCs w:val="32"/>
        </w:rPr>
        <w:t>2020</w:t>
      </w:r>
      <w:r>
        <w:rPr>
          <w:rFonts w:hint="eastAsia" w:ascii="Times New Roman" w:hAnsi="Times New Roman" w:eastAsia="仿宋" w:cs="Times New Roman"/>
          <w:color w:val="000000"/>
          <w:sz w:val="32"/>
          <w:szCs w:val="32"/>
        </w:rPr>
        <w:t>年末固定资产金额为</w:t>
      </w:r>
      <w:r>
        <w:rPr>
          <w:rFonts w:ascii="Times New Roman" w:hAnsi="Times New Roman" w:eastAsia="仿宋" w:cs="Times New Roman"/>
          <w:color w:val="000000"/>
          <w:sz w:val="32"/>
          <w:szCs w:val="32"/>
        </w:rPr>
        <w:t>8.79</w:t>
      </w:r>
      <w:r>
        <w:rPr>
          <w:rFonts w:hint="eastAsia" w:ascii="Times New Roman" w:hAnsi="Times New Roman" w:eastAsia="仿宋" w:cs="Times New Roman"/>
          <w:color w:val="000000"/>
          <w:sz w:val="32"/>
          <w:szCs w:val="32"/>
        </w:rPr>
        <w:t>万元（详见下表），本年度拟购置固定资产总额为</w:t>
      </w:r>
      <w:r>
        <w:rPr>
          <w:rFonts w:ascii="Times New Roman" w:hAnsi="Times New Roman" w:eastAsia="仿宋" w:cs="Times New Roman"/>
          <w:color w:val="000000"/>
          <w:sz w:val="32"/>
          <w:szCs w:val="32"/>
        </w:rPr>
        <w:t>155.015</w:t>
      </w:r>
      <w:r>
        <w:rPr>
          <w:rFonts w:hint="eastAsia" w:ascii="Times New Roman" w:hAnsi="Times New Roman" w:eastAsia="仿宋" w:cs="Times New Roman"/>
          <w:color w:val="000000"/>
          <w:sz w:val="32"/>
          <w:szCs w:val="32"/>
        </w:rPr>
        <w:t>万元，主要为综治视联网和综治中心建设设备等，已列入政府采购预算表，详见政府采购预算表。</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河北省隆尧县县直部门固定资产占用情况表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编制部门：县委政法委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2020</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kern w:val="0"/>
                <w:sz w:val="22"/>
              </w:rPr>
            </w:pPr>
            <w:r>
              <w:rPr>
                <w:rFonts w:ascii="Times New Roman" w:hAnsi="Times New Roman" w:eastAsia="仿宋" w:cs="Times New Roman"/>
                <w:color w:val="000000"/>
                <w:kern w:val="0"/>
                <w:sz w:val="22"/>
              </w:rPr>
              <w:t>8.79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8.79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方正小标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书宋_GBK">
    <w:altName w:val="SimSun-ExtB"/>
    <w:panose1 w:val="00000000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宋体-方正超大字符集">
    <w:altName w:val="SimSun-ExtB"/>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NWUyOWExZTdhZTQ4YjUyNTVjYWZhNDc3NGUxOTUwZGQifQ=="/>
  </w:docVars>
  <w:rsids>
    <w:rsidRoot w:val="00C67CC4"/>
    <w:rsid w:val="0000235E"/>
    <w:rsid w:val="00042705"/>
    <w:rsid w:val="0009273E"/>
    <w:rsid w:val="000A2C43"/>
    <w:rsid w:val="00107486"/>
    <w:rsid w:val="001215C5"/>
    <w:rsid w:val="00126D48"/>
    <w:rsid w:val="00142B55"/>
    <w:rsid w:val="00150A79"/>
    <w:rsid w:val="0016599B"/>
    <w:rsid w:val="001C48E4"/>
    <w:rsid w:val="001E4E80"/>
    <w:rsid w:val="002047CF"/>
    <w:rsid w:val="00247AFA"/>
    <w:rsid w:val="00302D6F"/>
    <w:rsid w:val="003173FF"/>
    <w:rsid w:val="00324894"/>
    <w:rsid w:val="00332066"/>
    <w:rsid w:val="003445CB"/>
    <w:rsid w:val="003A3974"/>
    <w:rsid w:val="003B56C8"/>
    <w:rsid w:val="003C639F"/>
    <w:rsid w:val="003E1026"/>
    <w:rsid w:val="003F3856"/>
    <w:rsid w:val="003F4292"/>
    <w:rsid w:val="004006F2"/>
    <w:rsid w:val="004248B4"/>
    <w:rsid w:val="00425FEC"/>
    <w:rsid w:val="00432CE7"/>
    <w:rsid w:val="004346C1"/>
    <w:rsid w:val="00455043"/>
    <w:rsid w:val="004555F9"/>
    <w:rsid w:val="00457F8E"/>
    <w:rsid w:val="0046545D"/>
    <w:rsid w:val="00470B3A"/>
    <w:rsid w:val="004766F2"/>
    <w:rsid w:val="00476B31"/>
    <w:rsid w:val="00487571"/>
    <w:rsid w:val="004B7C86"/>
    <w:rsid w:val="004D4790"/>
    <w:rsid w:val="00500708"/>
    <w:rsid w:val="00511E21"/>
    <w:rsid w:val="00591711"/>
    <w:rsid w:val="0062062F"/>
    <w:rsid w:val="00626607"/>
    <w:rsid w:val="00627EBB"/>
    <w:rsid w:val="006A5F6D"/>
    <w:rsid w:val="006A604C"/>
    <w:rsid w:val="006B468A"/>
    <w:rsid w:val="006D357E"/>
    <w:rsid w:val="006E18BE"/>
    <w:rsid w:val="006F594D"/>
    <w:rsid w:val="00700228"/>
    <w:rsid w:val="00743238"/>
    <w:rsid w:val="00747CA6"/>
    <w:rsid w:val="00773720"/>
    <w:rsid w:val="007941F0"/>
    <w:rsid w:val="007B20EC"/>
    <w:rsid w:val="007E66E3"/>
    <w:rsid w:val="008261AE"/>
    <w:rsid w:val="00853878"/>
    <w:rsid w:val="00875648"/>
    <w:rsid w:val="0087709D"/>
    <w:rsid w:val="00897A2F"/>
    <w:rsid w:val="008B0E8B"/>
    <w:rsid w:val="008C34D3"/>
    <w:rsid w:val="008F3ABD"/>
    <w:rsid w:val="0090256E"/>
    <w:rsid w:val="00951A42"/>
    <w:rsid w:val="009731E3"/>
    <w:rsid w:val="0099353C"/>
    <w:rsid w:val="009B0475"/>
    <w:rsid w:val="009B3890"/>
    <w:rsid w:val="009C78BB"/>
    <w:rsid w:val="009D2EC4"/>
    <w:rsid w:val="00A322BC"/>
    <w:rsid w:val="00A42FA0"/>
    <w:rsid w:val="00A5050A"/>
    <w:rsid w:val="00A608C8"/>
    <w:rsid w:val="00AB391C"/>
    <w:rsid w:val="00AD14FB"/>
    <w:rsid w:val="00AD776C"/>
    <w:rsid w:val="00AE42F7"/>
    <w:rsid w:val="00B03901"/>
    <w:rsid w:val="00B07D69"/>
    <w:rsid w:val="00B44F0F"/>
    <w:rsid w:val="00BA7E1B"/>
    <w:rsid w:val="00BB637A"/>
    <w:rsid w:val="00BC4B45"/>
    <w:rsid w:val="00BC4C2B"/>
    <w:rsid w:val="00BF3F0E"/>
    <w:rsid w:val="00C25A3D"/>
    <w:rsid w:val="00C40AA4"/>
    <w:rsid w:val="00C6084C"/>
    <w:rsid w:val="00C67CC4"/>
    <w:rsid w:val="00C805F2"/>
    <w:rsid w:val="00C906FF"/>
    <w:rsid w:val="00CE6BF7"/>
    <w:rsid w:val="00CF5E6F"/>
    <w:rsid w:val="00D14D61"/>
    <w:rsid w:val="00D4579E"/>
    <w:rsid w:val="00D62B9A"/>
    <w:rsid w:val="00DD0623"/>
    <w:rsid w:val="00E421C6"/>
    <w:rsid w:val="00E464CE"/>
    <w:rsid w:val="00E57191"/>
    <w:rsid w:val="00E62B52"/>
    <w:rsid w:val="00E64EEC"/>
    <w:rsid w:val="00EB261A"/>
    <w:rsid w:val="00EC119D"/>
    <w:rsid w:val="00EC3709"/>
    <w:rsid w:val="00ED3497"/>
    <w:rsid w:val="00F1586A"/>
    <w:rsid w:val="00F17F39"/>
    <w:rsid w:val="00F21DB4"/>
    <w:rsid w:val="00F30761"/>
    <w:rsid w:val="00F50D6B"/>
    <w:rsid w:val="00F73D27"/>
    <w:rsid w:val="00F95463"/>
    <w:rsid w:val="00FD0EEE"/>
    <w:rsid w:val="00FF4D70"/>
    <w:rsid w:val="02D17B65"/>
    <w:rsid w:val="1AA0760C"/>
    <w:rsid w:val="62FA46DB"/>
    <w:rsid w:val="6A503237"/>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semiHidden="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6"/>
    <w:uiPriority w:val="99"/>
    <w:rPr>
      <w:rFonts w:ascii="宋体" w:hAnsi="Courier New" w:cs="Courier New"/>
      <w:szCs w:val="21"/>
    </w:rPr>
  </w:style>
  <w:style w:type="paragraph" w:styleId="3">
    <w:name w:val="Balloon Text"/>
    <w:basedOn w:val="1"/>
    <w:link w:val="17"/>
    <w:semiHidden/>
    <w:unhideWhenUsed/>
    <w:uiPriority w:val="99"/>
    <w:rPr>
      <w:sz w:val="18"/>
      <w:szCs w:val="18"/>
    </w:rPr>
  </w:style>
  <w:style w:type="paragraph" w:styleId="4">
    <w:name w:val="footer"/>
    <w:basedOn w:val="1"/>
    <w:link w:val="12"/>
    <w:uiPriority w:val="99"/>
    <w:pPr>
      <w:tabs>
        <w:tab w:val="center" w:pos="4153"/>
        <w:tab w:val="right" w:pos="8306"/>
      </w:tabs>
      <w:snapToGrid w:val="0"/>
      <w:jc w:val="left"/>
    </w:pPr>
    <w:rPr>
      <w:rFonts w:ascii="Times New Roman" w:hAnsi="Times New Roman" w:cs="Times New Roman"/>
      <w:kern w:val="0"/>
      <w:sz w:val="18"/>
      <w:szCs w:val="18"/>
    </w:rPr>
  </w:style>
  <w:style w:type="paragraph" w:styleId="5">
    <w:name w:val="header"/>
    <w:basedOn w:val="1"/>
    <w:link w:val="13"/>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6">
    <w:name w:val="toc 1"/>
    <w:basedOn w:val="1"/>
    <w:next w:val="1"/>
    <w:uiPriority w:val="99"/>
    <w:rPr>
      <w:rFonts w:ascii="Times New Roman" w:hAnsi="Times New Roman" w:cs="Times New Roman"/>
      <w:szCs w:val="24"/>
    </w:rPr>
  </w:style>
  <w:style w:type="paragraph" w:styleId="7">
    <w:name w:val="footnote text"/>
    <w:basedOn w:val="1"/>
    <w:link w:val="14"/>
    <w:uiPriority w:val="99"/>
    <w:pPr>
      <w:snapToGrid w:val="0"/>
      <w:jc w:val="left"/>
    </w:pPr>
    <w:rPr>
      <w:sz w:val="18"/>
      <w:szCs w:val="18"/>
    </w:rPr>
  </w:style>
  <w:style w:type="paragraph" w:styleId="8">
    <w:name w:val="toc 2"/>
    <w:basedOn w:val="1"/>
    <w:next w:val="1"/>
    <w:uiPriority w:val="99"/>
    <w:pPr>
      <w:ind w:left="420" w:leftChars="200"/>
    </w:pPr>
    <w:rPr>
      <w:rFonts w:ascii="Times New Roman" w:hAnsi="Times New Roman" w:cs="Times New Roman"/>
      <w:szCs w:val="24"/>
    </w:rPr>
  </w:style>
  <w:style w:type="character" w:styleId="11">
    <w:name w:val="footnote reference"/>
    <w:basedOn w:val="10"/>
    <w:uiPriority w:val="99"/>
    <w:rPr>
      <w:rFonts w:cs="Times New Roman"/>
      <w:vertAlign w:val="superscript"/>
    </w:rPr>
  </w:style>
  <w:style w:type="character" w:customStyle="1" w:styleId="12">
    <w:name w:val="页脚 Char"/>
    <w:basedOn w:val="10"/>
    <w:link w:val="4"/>
    <w:semiHidden/>
    <w:locked/>
    <w:uiPriority w:val="99"/>
    <w:rPr>
      <w:rFonts w:ascii="Times New Roman" w:hAnsi="Times New Roman" w:eastAsia="宋体"/>
      <w:sz w:val="18"/>
    </w:rPr>
  </w:style>
  <w:style w:type="character" w:customStyle="1" w:styleId="13">
    <w:name w:val="页眉 Char"/>
    <w:basedOn w:val="10"/>
    <w:link w:val="5"/>
    <w:semiHidden/>
    <w:locked/>
    <w:uiPriority w:val="99"/>
    <w:rPr>
      <w:rFonts w:ascii="Times New Roman" w:hAnsi="Times New Roman" w:eastAsia="宋体"/>
      <w:sz w:val="18"/>
    </w:rPr>
  </w:style>
  <w:style w:type="character" w:customStyle="1" w:styleId="14">
    <w:name w:val="脚注文本 Char"/>
    <w:basedOn w:val="10"/>
    <w:link w:val="7"/>
    <w:semiHidden/>
    <w:uiPriority w:val="99"/>
    <w:rPr>
      <w:rFonts w:ascii="Calibri" w:hAnsi="Calibri" w:cs="黑体"/>
      <w:sz w:val="18"/>
      <w:szCs w:val="18"/>
    </w:rPr>
  </w:style>
  <w:style w:type="paragraph" w:customStyle="1" w:styleId="15">
    <w:name w:val="Char"/>
    <w:basedOn w:val="1"/>
    <w:uiPriority w:val="99"/>
    <w:rPr>
      <w:rFonts w:ascii="Times New Roman" w:hAnsi="Times New Roman" w:cs="Times New Roman"/>
      <w:szCs w:val="24"/>
    </w:rPr>
  </w:style>
  <w:style w:type="character" w:customStyle="1" w:styleId="16">
    <w:name w:val="纯文本 Char"/>
    <w:basedOn w:val="10"/>
    <w:link w:val="2"/>
    <w:qFormat/>
    <w:locked/>
    <w:uiPriority w:val="99"/>
    <w:rPr>
      <w:rFonts w:ascii="宋体" w:hAnsi="Courier New" w:cs="Courier New"/>
      <w:kern w:val="2"/>
      <w:sz w:val="21"/>
      <w:szCs w:val="21"/>
    </w:rPr>
  </w:style>
  <w:style w:type="character" w:customStyle="1" w:styleId="17">
    <w:name w:val="批注框文本 Char"/>
    <w:basedOn w:val="10"/>
    <w:link w:val="3"/>
    <w:semiHidden/>
    <w:uiPriority w:val="99"/>
    <w:rPr>
      <w:rFonts w:ascii="Calibri" w:hAnsi="Calibri" w:cs="黑体"/>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3870</Words>
  <Characters>4327</Characters>
  <Lines>33</Lines>
  <Paragraphs>9</Paragraphs>
  <TotalTime>5</TotalTime>
  <ScaleCrop>false</ScaleCrop>
  <LinksUpToDate>false</LinksUpToDate>
  <CharactersWithSpaces>4368</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微信用户</cp:lastModifiedBy>
  <cp:lastPrinted>2020-02-08T05:46:00Z</cp:lastPrinted>
  <dcterms:modified xsi:type="dcterms:W3CDTF">2022-08-30T02:09:53Z</dcterms:modified>
  <cp:revision>78</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493292F02D144EA79EA508DA0F5B821A</vt:lpwstr>
  </property>
</Properties>
</file>