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eastAsia="方正小标宋_GBK" w:cs="Times New Roman"/>
          <w:sz w:val="44"/>
          <w:szCs w:val="44"/>
        </w:rPr>
      </w:pPr>
    </w:p>
    <w:p>
      <w:pPr>
        <w:jc w:val="center"/>
        <w:rPr>
          <w:rFonts w:ascii="Times New Roman" w:hAnsi="Times New Roman" w:eastAsia="方正小标宋_GBK" w:cs="Times New Roman"/>
          <w:sz w:val="44"/>
          <w:szCs w:val="44"/>
        </w:rPr>
      </w:pPr>
      <w:r>
        <w:rPr>
          <w:rFonts w:hint="eastAsia" w:ascii="Times New Roman" w:hAnsi="Times New Roman" w:eastAsia="方正小标宋_GBK" w:cs="Times New Roman"/>
          <w:sz w:val="44"/>
          <w:szCs w:val="44"/>
        </w:rPr>
        <w:t>中共隆尧县委政法委</w:t>
      </w:r>
      <w:r>
        <w:rPr>
          <w:rFonts w:ascii="Times New Roman" w:hAnsi="Times New Roman" w:eastAsia="方正小标宋_GBK" w:cs="Times New Roman"/>
          <w:sz w:val="44"/>
          <w:szCs w:val="44"/>
        </w:rPr>
        <w:t>20</w:t>
      </w:r>
      <w:r>
        <w:rPr>
          <w:rFonts w:hint="eastAsia" w:ascii="Times New Roman" w:hAnsi="Times New Roman" w:eastAsia="方正小标宋_GBK" w:cs="Times New Roman"/>
          <w:sz w:val="44"/>
          <w:szCs w:val="44"/>
        </w:rPr>
        <w:t>21年部门预算信息公开情况说明</w:t>
      </w:r>
    </w:p>
    <w:p>
      <w:pPr>
        <w:jc w:val="center"/>
        <w:rPr>
          <w:rFonts w:ascii="Times New Roman" w:hAnsi="Times New Roman" w:eastAsia="方正小标宋_GBK" w:cs="Times New Roman"/>
          <w:sz w:val="44"/>
          <w:szCs w:val="44"/>
        </w:rPr>
      </w:pPr>
    </w:p>
    <w:p>
      <w:pPr>
        <w:ind w:firstLine="640" w:firstLineChars="200"/>
        <w:rPr>
          <w:rFonts w:ascii="仿宋" w:hAnsi="仿宋" w:eastAsia="仿宋" w:cs="Times New Roman"/>
          <w:sz w:val="32"/>
          <w:szCs w:val="32"/>
        </w:rPr>
      </w:pPr>
      <w:r>
        <w:rPr>
          <w:rFonts w:hint="eastAsia" w:ascii="仿宋" w:hAnsi="仿宋" w:eastAsia="仿宋" w:cs="Times New Roman"/>
          <w:sz w:val="32"/>
          <w:szCs w:val="32"/>
        </w:rPr>
        <w:t>按照《预算法》、《地方预决算公开操作规程》和《河北省县级预算公开办法》规定，现将中共隆尧县委政法委</w:t>
      </w:r>
      <w:r>
        <w:rPr>
          <w:rFonts w:ascii="仿宋" w:hAnsi="仿宋" w:eastAsia="仿宋" w:cs="Times New Roman"/>
          <w:sz w:val="32"/>
          <w:szCs w:val="32"/>
        </w:rPr>
        <w:t>20</w:t>
      </w:r>
      <w:r>
        <w:rPr>
          <w:rFonts w:hint="eastAsia" w:ascii="仿宋" w:hAnsi="仿宋" w:eastAsia="仿宋" w:cs="Times New Roman"/>
          <w:sz w:val="32"/>
          <w:szCs w:val="32"/>
        </w:rPr>
        <w:t>21年部门预算公开如下：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autoSpaceDE w:val="0"/>
        <w:autoSpaceDN w:val="0"/>
        <w:adjustRightInd w:val="0"/>
        <w:snapToGrid w:val="0"/>
        <w:spacing w:line="560" w:lineRule="atLeast"/>
        <w:ind w:left="-359" w:leftChars="-171" w:firstLine="643" w:firstLineChars="200"/>
        <w:rPr>
          <w:rFonts w:ascii="仿宋" w:hAnsi="仿宋" w:eastAsia="仿宋" w:cs="宋体"/>
          <w:kern w:val="0"/>
          <w:sz w:val="32"/>
          <w:szCs w:val="32"/>
        </w:rPr>
      </w:pPr>
      <w:r>
        <w:rPr>
          <w:rFonts w:hint="eastAsia" w:ascii="仿宋" w:hAnsi="仿宋" w:eastAsia="仿宋" w:cs="Times New Roman"/>
          <w:b/>
          <w:sz w:val="32"/>
          <w:szCs w:val="32"/>
        </w:rPr>
        <w:t>部门职责：</w:t>
      </w:r>
      <w:r>
        <w:rPr>
          <w:rFonts w:hint="eastAsia" w:ascii="仿宋" w:hAnsi="仿宋" w:eastAsia="仿宋" w:cs="仿宋_GB2312"/>
          <w:kern w:val="0"/>
          <w:sz w:val="32"/>
          <w:szCs w:val="32"/>
          <w:lang w:val="zh-CN"/>
        </w:rPr>
        <w:t>县委政法委是县委主管政法方面工作的综合职能部门</w:t>
      </w:r>
      <w:r>
        <w:rPr>
          <w:rFonts w:ascii="仿宋" w:hAnsi="仿宋" w:eastAsia="仿宋" w:cs="仿宋_GB2312"/>
          <w:kern w:val="0"/>
          <w:sz w:val="32"/>
          <w:szCs w:val="32"/>
          <w:lang w:val="zh-CN"/>
        </w:rPr>
        <w:t>;</w:t>
      </w:r>
      <w:r>
        <w:rPr>
          <w:rFonts w:hint="eastAsia" w:ascii="仿宋" w:hAnsi="仿宋" w:eastAsia="仿宋" w:cs="仿宋_GB2312"/>
          <w:kern w:val="0"/>
          <w:sz w:val="32"/>
          <w:szCs w:val="32"/>
          <w:lang w:val="zh-CN"/>
        </w:rPr>
        <w:t>主要职责是</w:t>
      </w:r>
      <w:r>
        <w:rPr>
          <w:rFonts w:ascii="仿宋" w:hAnsi="仿宋" w:eastAsia="仿宋" w:cs="仿宋_GB2312"/>
          <w:kern w:val="0"/>
          <w:sz w:val="32"/>
          <w:szCs w:val="32"/>
          <w:lang w:val="zh-CN"/>
        </w:rPr>
        <w:t>:</w:t>
      </w:r>
      <w:r>
        <w:rPr>
          <w:rFonts w:hint="eastAsia" w:ascii="仿宋" w:hAnsi="仿宋" w:eastAsia="仿宋" w:cs="宋体"/>
          <w:kern w:val="0"/>
          <w:sz w:val="32"/>
          <w:szCs w:val="32"/>
        </w:rPr>
        <w:t>贯彻落实中央和省、市委有关政法工作、政法干部队伍建设和社会治安综合治理工作的方针、政策、指示，根据上级政法委员会、社会治安综合治理委员会和县委、县政府的部署，指导政法各部门和综合治理成员单位的工作。围绕县委、县政府改革和发展的中心工作，对一定时期内的政法工作和社会治安综合治理工作作出部署，并督促贯彻落实；参与依法治县方针的实施。组织、协调、指导维护社会稳定工作，督促有关部门抓好落实。组织开展政法工作和社会治安综合治理工作调查研究，提出政法工作改革和加强社会治安综合治理工作的意见。检查监督政法部门执行法律法规和党的方针政策的情况，研究制定严肃执法、落实党的方针政策的具体措施，督促纠正执法中存在的问题，协助有关部门查处执法中的违法违纪问题。支持、监督政法各部门依法行使职权，组织查处地方和部门保护主义及非法干涉、干预和影响政法干警依法执行公务的事件；督促、协调政法各部门密切配合查处大案要案，研究、协调有争议的重大、疑难案件；指导全县政法部门信访工作。组织协调社会治安综合治理工作，研究制定并督促落实社会治安综合治理的有关措施。研究制定加强政法干部队伍建设的措施；组织指导政法部门干部队伍的教育管理和培训工作。组织、指导有关部门开展政法、综治宣传工作，推广政法、综合治理工作的先进经验，表彰政法、综合治理工作的先进单位和先进个人。</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r>
        <w:rPr>
          <w:rFonts w:hint="eastAsia" w:ascii="仿宋" w:hAnsi="仿宋" w:eastAsia="仿宋" w:cs="宋体"/>
          <w:kern w:val="0"/>
          <w:sz w:val="32"/>
          <w:szCs w:val="32"/>
        </w:rPr>
        <w:t>根据上述职责，政法委设</w:t>
      </w:r>
      <w:r>
        <w:rPr>
          <w:rFonts w:ascii="仿宋" w:hAnsi="仿宋" w:eastAsia="仿宋" w:cs="宋体"/>
          <w:kern w:val="0"/>
          <w:sz w:val="32"/>
          <w:szCs w:val="32"/>
        </w:rPr>
        <w:t>5</w:t>
      </w:r>
      <w:r>
        <w:rPr>
          <w:rFonts w:hint="eastAsia" w:ascii="仿宋" w:hAnsi="仿宋" w:eastAsia="仿宋" w:cs="宋体"/>
          <w:kern w:val="0"/>
          <w:sz w:val="32"/>
          <w:szCs w:val="32"/>
        </w:rPr>
        <w:t>个内设机构：分别是办公室、法治执法监督股、维稳指导股、综治督导股、反邪教协调股。</w:t>
      </w:r>
    </w:p>
    <w:p>
      <w:pPr>
        <w:jc w:val="center"/>
        <w:outlineLvl w:val="0"/>
        <w:rPr>
          <w:rFonts w:ascii="Times New Roman" w:hAnsi="Times New Roman" w:eastAsia="方正小标宋_GBK" w:cs="Times New Roman"/>
          <w:sz w:val="32"/>
          <w:szCs w:val="24"/>
        </w:rPr>
      </w:pPr>
      <w:r>
        <w:rPr>
          <w:rFonts w:hint="eastAsia" w:ascii="Times New Roman" w:hAnsi="Times New Roman" w:eastAsia="方正小标宋_GBK" w:cs="Times New Roman"/>
          <w:sz w:val="32"/>
          <w:szCs w:val="24"/>
        </w:rPr>
        <w:t>部门机构设置情况</w:t>
      </w:r>
    </w:p>
    <w:tbl>
      <w:tblPr>
        <w:tblStyle w:val="9"/>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hint="eastAsia"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宋体" w:hAnsi="宋体" w:cs="宋体"/>
                <w:szCs w:val="24"/>
              </w:rPr>
              <w:t>县委</w:t>
            </w:r>
            <w:r>
              <w:rPr>
                <w:rFonts w:hint="eastAsia" w:ascii="Times New Roman" w:hAnsi="Times New Roman" w:eastAsia="方正书宋_GBK" w:cs="Times New Roman"/>
                <w:szCs w:val="24"/>
              </w:rPr>
              <w:t>政法委</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bl>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按照预算管理有关规定，目前我县部门预算的编制实行综合预算管理，即全部收入和支出都反映的预算中。中共隆尧县委政法委的收支包含在部门预算中。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、收入说明</w:t>
      </w:r>
    </w:p>
    <w:p>
      <w:pPr>
        <w:ind w:firstLine="640"/>
        <w:rPr>
          <w:rFonts w:ascii="仿宋_GB2312" w:hAnsi="Times New Roman" w:eastAsia="仿宋_GB2312" w:cs="Times New Roman"/>
          <w:sz w:val="32"/>
          <w:szCs w:val="32"/>
        </w:rPr>
      </w:pPr>
      <w:r>
        <w:rPr>
          <w:rFonts w:hint="eastAsia" w:ascii="Times New Roman" w:hAnsi="Times New Roman" w:eastAsia="仿宋" w:cs="Times New Roman"/>
          <w:sz w:val="32"/>
          <w:szCs w:val="32"/>
        </w:rPr>
        <w:t>反映本部门当年全部收入。</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21年预算收入379.28万元，其中：一般公共预算收入379.28万元</w:t>
      </w:r>
      <w:r>
        <w:rPr>
          <w:rFonts w:hint="eastAsia" w:ascii="Times New Roman" w:hAnsi="Times New Roman" w:eastAsia="仿宋" w:cs="Times New Roman"/>
          <w:sz w:val="32"/>
          <w:szCs w:val="32"/>
          <w:lang w:eastAsia="zh-CN"/>
        </w:rPr>
        <w:t>，</w:t>
      </w:r>
      <w:r>
        <w:rPr>
          <w:rFonts w:hint="eastAsia" w:ascii="仿宋_GB2312" w:hAnsi="Times New Roman" w:eastAsia="仿宋_GB2312" w:cs="Times New Roman"/>
          <w:sz w:val="32"/>
          <w:szCs w:val="32"/>
        </w:rPr>
        <w:t>基金预算收入0万元，财政专户核拨收入0万元，其他来源收入0万元。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收支预算总表支出栏、基本支出表、项目支出表按经济分类和支出功能分类科目编制，反映中共隆尧县委政法委年度部门预算中支出预算的总体情况。</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21年部门支出预算为379.28万元，其中基本支出</w:t>
      </w:r>
      <w:r>
        <w:rPr>
          <w:rFonts w:ascii="Times New Roman" w:hAnsi="Times New Roman" w:eastAsia="仿宋" w:cs="Times New Roman"/>
          <w:sz w:val="32"/>
          <w:szCs w:val="32"/>
        </w:rPr>
        <w:t>1</w:t>
      </w:r>
      <w:r>
        <w:rPr>
          <w:rFonts w:hint="eastAsia" w:ascii="Times New Roman" w:hAnsi="Times New Roman" w:eastAsia="仿宋" w:cs="Times New Roman"/>
          <w:sz w:val="32"/>
          <w:szCs w:val="32"/>
        </w:rPr>
        <w:t>23.61万元，包括人员经费</w:t>
      </w:r>
      <w:r>
        <w:rPr>
          <w:rFonts w:ascii="Times New Roman" w:hAnsi="Times New Roman" w:eastAsia="仿宋" w:cs="Times New Roman"/>
          <w:sz w:val="32"/>
          <w:szCs w:val="32"/>
        </w:rPr>
        <w:t>1</w:t>
      </w:r>
      <w:r>
        <w:rPr>
          <w:rFonts w:hint="eastAsia" w:ascii="Times New Roman" w:hAnsi="Times New Roman" w:eastAsia="仿宋" w:cs="Times New Roman"/>
          <w:sz w:val="32"/>
          <w:szCs w:val="32"/>
        </w:rPr>
        <w:t>11.85万元和日常公用经费</w:t>
      </w:r>
      <w:r>
        <w:rPr>
          <w:rFonts w:ascii="Times New Roman" w:hAnsi="Times New Roman" w:eastAsia="仿宋" w:cs="Times New Roman"/>
          <w:sz w:val="32"/>
          <w:szCs w:val="32"/>
        </w:rPr>
        <w:t>1</w:t>
      </w:r>
      <w:r>
        <w:rPr>
          <w:rFonts w:hint="eastAsia" w:ascii="Times New Roman" w:hAnsi="Times New Roman" w:eastAsia="仿宋" w:cs="Times New Roman"/>
          <w:sz w:val="32"/>
          <w:szCs w:val="32"/>
        </w:rPr>
        <w:t>1.76万元；项目支出255.67万元，主要为精神障碍监护人责任险和以奖代补经费</w:t>
      </w:r>
      <w:r>
        <w:rPr>
          <w:rFonts w:ascii="Times New Roman" w:hAnsi="Times New Roman" w:eastAsia="仿宋" w:cs="Times New Roman"/>
          <w:sz w:val="32"/>
          <w:szCs w:val="32"/>
        </w:rPr>
        <w:t>4</w:t>
      </w:r>
      <w:r>
        <w:rPr>
          <w:rFonts w:hint="eastAsia" w:ascii="Times New Roman" w:hAnsi="Times New Roman" w:eastAsia="仿宋" w:cs="Times New Roman"/>
          <w:sz w:val="32"/>
          <w:szCs w:val="32"/>
        </w:rPr>
        <w:t>6.8万元，铁路护路经费</w:t>
      </w:r>
      <w:r>
        <w:rPr>
          <w:rFonts w:ascii="Times New Roman" w:hAnsi="Times New Roman" w:eastAsia="仿宋" w:cs="Times New Roman"/>
          <w:sz w:val="32"/>
          <w:szCs w:val="32"/>
        </w:rPr>
        <w:t>9</w:t>
      </w:r>
      <w:r>
        <w:rPr>
          <w:rFonts w:hint="eastAsia" w:ascii="Times New Roman" w:hAnsi="Times New Roman" w:eastAsia="仿宋" w:cs="Times New Roman"/>
          <w:sz w:val="32"/>
          <w:szCs w:val="32"/>
        </w:rPr>
        <w:t>.46万元，综治视联网租赁费41.12万元，综治经费</w:t>
      </w:r>
      <w:r>
        <w:rPr>
          <w:rFonts w:ascii="Times New Roman" w:hAnsi="Times New Roman" w:eastAsia="仿宋" w:cs="Times New Roman"/>
          <w:sz w:val="32"/>
          <w:szCs w:val="32"/>
        </w:rPr>
        <w:t>52</w:t>
      </w:r>
      <w:r>
        <w:rPr>
          <w:rFonts w:hint="eastAsia" w:ascii="Times New Roman" w:hAnsi="Times New Roman" w:eastAsia="仿宋" w:cs="Times New Roman"/>
          <w:sz w:val="32"/>
          <w:szCs w:val="32"/>
        </w:rPr>
        <w:t>万元，平安建设经费</w:t>
      </w:r>
      <w:r>
        <w:rPr>
          <w:rFonts w:ascii="Times New Roman" w:hAnsi="Times New Roman" w:eastAsia="仿宋" w:cs="Times New Roman"/>
          <w:sz w:val="32"/>
          <w:szCs w:val="32"/>
        </w:rPr>
        <w:t>4.25</w:t>
      </w:r>
      <w:r>
        <w:rPr>
          <w:rFonts w:hint="eastAsia" w:ascii="Times New Roman" w:hAnsi="Times New Roman" w:eastAsia="仿宋" w:cs="Times New Roman"/>
          <w:sz w:val="32"/>
          <w:szCs w:val="32"/>
        </w:rPr>
        <w:t>万元，综治网格员经费</w:t>
      </w:r>
      <w:r>
        <w:rPr>
          <w:rFonts w:ascii="Times New Roman" w:hAnsi="Times New Roman" w:eastAsia="仿宋" w:cs="Times New Roman"/>
          <w:sz w:val="32"/>
          <w:szCs w:val="32"/>
        </w:rPr>
        <w:t>12.12</w:t>
      </w:r>
      <w:r>
        <w:rPr>
          <w:rFonts w:hint="eastAsia" w:ascii="Times New Roman" w:hAnsi="Times New Roman" w:eastAsia="仿宋" w:cs="Times New Roman"/>
          <w:sz w:val="32"/>
          <w:szCs w:val="32"/>
        </w:rPr>
        <w:t>万元，综治视联网经费49.73万元，政法网租赁维保费</w:t>
      </w:r>
      <w:r>
        <w:rPr>
          <w:rFonts w:ascii="Times New Roman" w:hAnsi="Times New Roman" w:eastAsia="仿宋" w:cs="Times New Roman"/>
          <w:sz w:val="32"/>
          <w:szCs w:val="32"/>
        </w:rPr>
        <w:t>13.05</w:t>
      </w:r>
      <w:r>
        <w:rPr>
          <w:rFonts w:hint="eastAsia" w:ascii="Times New Roman" w:hAnsi="Times New Roman" w:eastAsia="仿宋" w:cs="Times New Roman"/>
          <w:sz w:val="32"/>
          <w:szCs w:val="32"/>
        </w:rPr>
        <w:t>万元，综治中心劳务派遣人员经费17.1万元，见义勇为基金10万元。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w:t>
      </w:r>
      <w:r>
        <w:rPr>
          <w:rFonts w:hint="eastAsia" w:ascii="Times New Roman" w:hAnsi="Times New Roman" w:eastAsia="仿宋" w:cs="Times New Roman"/>
          <w:color w:val="000000"/>
          <w:sz w:val="32"/>
          <w:szCs w:val="32"/>
        </w:rPr>
        <w:t>21年部门预算收支安排</w:t>
      </w:r>
      <w:r>
        <w:rPr>
          <w:rFonts w:hint="eastAsia" w:ascii="Times New Roman" w:hAnsi="Times New Roman" w:eastAsia="仿宋" w:cs="Times New Roman"/>
          <w:sz w:val="32"/>
          <w:szCs w:val="32"/>
        </w:rPr>
        <w:t>379.28</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w:t>
      </w:r>
      <w:r>
        <w:rPr>
          <w:rFonts w:ascii="Times New Roman" w:hAnsi="Times New Roman" w:eastAsia="仿宋" w:cs="Times New Roman"/>
          <w:sz w:val="32"/>
          <w:szCs w:val="32"/>
        </w:rPr>
        <w:t>20</w:t>
      </w:r>
      <w:r>
        <w:rPr>
          <w:rFonts w:hint="eastAsia" w:ascii="Times New Roman" w:hAnsi="Times New Roman" w:eastAsia="仿宋" w:cs="Times New Roman"/>
          <w:sz w:val="32"/>
          <w:szCs w:val="32"/>
        </w:rPr>
        <w:t>20年减少116.1万元，其中：基本支出减少1</w:t>
      </w:r>
      <w:r>
        <w:rPr>
          <w:rFonts w:ascii="Times New Roman" w:hAnsi="Times New Roman" w:eastAsia="仿宋" w:cs="Times New Roman"/>
          <w:sz w:val="32"/>
          <w:szCs w:val="32"/>
        </w:rPr>
        <w:t>2.</w:t>
      </w:r>
      <w:r>
        <w:rPr>
          <w:rFonts w:hint="eastAsia" w:ascii="Times New Roman" w:hAnsi="Times New Roman" w:eastAsia="仿宋" w:cs="Times New Roman"/>
          <w:sz w:val="32"/>
          <w:szCs w:val="32"/>
        </w:rPr>
        <w:t>18万元，主要是人员经费减少所至；项目支出减少103.92万元，主要为本年度综治中心建设经费减少所至。</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w:t>
      </w:r>
      <w:r>
        <w:rPr>
          <w:rFonts w:hint="eastAsia" w:ascii="Times New Roman" w:hAnsi="Times New Roman" w:eastAsia="仿宋" w:cs="Times New Roman"/>
          <w:sz w:val="32"/>
          <w:szCs w:val="32"/>
        </w:rPr>
        <w:t>21年，我部门机关运行经费共计安排11.76万元，</w:t>
      </w:r>
      <w:r>
        <w:rPr>
          <w:rFonts w:hint="eastAsia" w:ascii="Times New Roman" w:hAnsi="Times New Roman" w:eastAsia="仿宋" w:cs="仿宋"/>
          <w:sz w:val="32"/>
          <w:szCs w:val="32"/>
        </w:rPr>
        <w:t>主要用于保证机关正常运转的办公费、邮电费、福利费、工会经费、交通费用等支出。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四、财政拨款“三公”经费预算情况及增减变化原因</w:t>
      </w:r>
    </w:p>
    <w:p>
      <w:pPr>
        <w:autoSpaceDE w:val="0"/>
        <w:autoSpaceDN w:val="0"/>
        <w:adjustRightInd w:val="0"/>
        <w:ind w:left="198" w:firstLine="640" w:firstLineChars="200"/>
        <w:jc w:val="left"/>
        <w:rPr>
          <w:rFonts w:ascii="仿宋_GB2312" w:hAnsi="Times New Roman" w:eastAsia="仿宋_GB2312" w:cs="Times New Roman"/>
          <w:sz w:val="32"/>
          <w:szCs w:val="32"/>
        </w:rPr>
      </w:pPr>
      <w:r>
        <w:rPr>
          <w:rFonts w:hint="eastAsia" w:ascii="仿宋_GB2312" w:hAnsi="Times New Roman" w:eastAsia="仿宋_GB2312" w:cs="Times New Roman"/>
          <w:sz w:val="32"/>
          <w:szCs w:val="32"/>
        </w:rPr>
        <w:t>2021年，我部门财政拨款“三公”经费预算安排0万元，其中：因公出国（境）费0万元；公务用车购置及运维费0万元（其中：公务用车购置费0万元，公务用车运行维护费0万元)，</w:t>
      </w:r>
      <w:r>
        <w:rPr>
          <w:rFonts w:hint="eastAsia" w:ascii="Times New Roman" w:hAnsi="Times New Roman" w:eastAsia="仿宋" w:cs="Times New Roman"/>
          <w:sz w:val="32"/>
          <w:szCs w:val="32"/>
        </w:rPr>
        <w:t>与上年持平，无增减变化</w:t>
      </w:r>
      <w:r>
        <w:rPr>
          <w:rFonts w:hint="eastAsia" w:ascii="仿宋_GB2312" w:hAnsi="Times New Roman" w:eastAsia="仿宋_GB2312" w:cs="Times New Roman"/>
          <w:sz w:val="32"/>
          <w:szCs w:val="32"/>
        </w:rPr>
        <w:t>；公务接待费0万元，较上年预算减少0.5万元，</w:t>
      </w:r>
      <w:r>
        <w:rPr>
          <w:rFonts w:hint="eastAsia" w:ascii="Times New Roman" w:hAnsi="Times New Roman" w:eastAsia="仿宋" w:cs="Times New Roman"/>
          <w:sz w:val="32"/>
          <w:szCs w:val="32"/>
        </w:rPr>
        <w:t>主要是压缩开支，厉行节约所至</w:t>
      </w:r>
      <w:r>
        <w:rPr>
          <w:rFonts w:hint="eastAsia" w:ascii="仿宋_GB2312" w:hAnsi="Times New Roman" w:eastAsia="仿宋_GB2312" w:cs="Times New Roman"/>
          <w:sz w:val="32"/>
          <w:szCs w:val="32"/>
        </w:rPr>
        <w:t>。</w:t>
      </w:r>
    </w:p>
    <w:p>
      <w:pPr>
        <w:autoSpaceDE w:val="0"/>
        <w:autoSpaceDN w:val="0"/>
        <w:adjustRightInd w:val="0"/>
        <w:ind w:left="198" w:firstLine="960" w:firstLineChars="300"/>
        <w:jc w:val="left"/>
        <w:rPr>
          <w:rFonts w:ascii="黑体" w:hAnsi="黑体" w:eastAsia="黑体" w:cs="Times New Roman"/>
          <w:sz w:val="32"/>
          <w:szCs w:val="32"/>
        </w:rPr>
      </w:pPr>
      <w:bookmarkStart w:id="4" w:name="_GoBack"/>
      <w:bookmarkEnd w:id="4"/>
      <w:r>
        <w:rPr>
          <w:rFonts w:hint="eastAsia" w:ascii="黑体" w:hAnsi="黑体" w:eastAsia="黑体" w:cs="Times New Roman"/>
          <w:sz w:val="32"/>
          <w:szCs w:val="32"/>
        </w:rPr>
        <w:t>五、绩效预算信息</w:t>
      </w:r>
    </w:p>
    <w:p>
      <w:pPr>
        <w:widowControl/>
        <w:snapToGrid w:val="0"/>
        <w:spacing w:line="560" w:lineRule="atLeast"/>
        <w:ind w:firstLine="640"/>
        <w:jc w:val="left"/>
        <w:rPr>
          <w:rFonts w:ascii="仿宋" w:hAnsi="仿宋" w:eastAsia="仿宋" w:cs="宋体"/>
          <w:color w:val="000000"/>
          <w:kern w:val="0"/>
          <w:sz w:val="32"/>
          <w:szCs w:val="32"/>
        </w:rPr>
      </w:pPr>
      <w:bookmarkStart w:id="0" w:name="_Toc471398463"/>
      <w:r>
        <w:rPr>
          <w:rFonts w:hint="eastAsia" w:ascii="Times New Roman" w:hAnsi="Times New Roman" w:eastAsia="仿宋" w:cs="Times New Roman"/>
          <w:b/>
          <w:sz w:val="32"/>
          <w:szCs w:val="32"/>
        </w:rPr>
        <w:t>总体绩效目标：</w:t>
      </w:r>
      <w:r>
        <w:rPr>
          <w:rFonts w:hint="eastAsia" w:ascii="仿宋" w:hAnsi="仿宋" w:eastAsia="仿宋"/>
          <w:sz w:val="32"/>
        </w:rPr>
        <w:t>紧密围绕县委、县政府中心工作，</w:t>
      </w:r>
      <w:r>
        <w:rPr>
          <w:rFonts w:hint="eastAsia" w:ascii="仿宋" w:hAnsi="仿宋" w:eastAsia="仿宋" w:cs="宋体"/>
          <w:color w:val="000000"/>
          <w:kern w:val="0"/>
          <w:sz w:val="32"/>
          <w:szCs w:val="32"/>
        </w:rPr>
        <w:t>通过对全县科局、乡镇进行年度平安建设考评，对全县境内进行护路宣传、治安联防、巡路护线，排除隐患，化解矛盾；对全县政法单位进行执法状况考核；对符合政策条件的涉法涉诉救助对象开展司法救助，开展全县维稳、矛盾纠纷排查，严格落实维稳事件领导责任追究、风险评估等各项工作。同时加强对预算收支管理，建立健全内部管理制度，部门整体支出绩效明显。采取有力措施，维护社会政治安全。保持严打高压态势。通过对全县以“见义勇为”先进个人的表彰奖励，弘扬正气，倡导社会文明之风。社会治安稳定、无重大政治事件，重大非法聚集事项，暴力恐怖事件发生。综治民调提质进位，综治和信访考核分别保先进位，企业发展环境优化，投资创业者人身、财产、心理安全。保障重大项目建设和经济发展环境明显改善，促进人民群众安全感和满意度进一步提升。</w:t>
      </w:r>
    </w:p>
    <w:p>
      <w:pPr>
        <w:autoSpaceDE w:val="0"/>
        <w:autoSpaceDN w:val="0"/>
        <w:adjustRightInd w:val="0"/>
        <w:ind w:left="198" w:firstLine="643" w:firstLineChars="200"/>
        <w:jc w:val="left"/>
        <w:rPr>
          <w:rFonts w:ascii="Times New Roman" w:hAnsi="Times New Roman" w:eastAsia="仿宋" w:cs="Times New Roman"/>
          <w:b/>
          <w:sz w:val="32"/>
          <w:szCs w:val="32"/>
        </w:rPr>
      </w:pPr>
      <w:r>
        <w:rPr>
          <w:rFonts w:hint="eastAsia" w:ascii="Times New Roman" w:hAnsi="Times New Roman" w:eastAsia="仿宋" w:cs="Times New Roman"/>
          <w:b/>
          <w:sz w:val="32"/>
          <w:szCs w:val="32"/>
        </w:rPr>
        <w:t>职责分类绩效目标：</w:t>
      </w:r>
    </w:p>
    <w:p>
      <w:pPr>
        <w:widowControl/>
        <w:shd w:val="clear" w:color="auto" w:fill="FFFFFF"/>
        <w:spacing w:line="560" w:lineRule="atLeast"/>
        <w:ind w:firstLine="800" w:firstLineChars="250"/>
        <w:jc w:val="left"/>
        <w:rPr>
          <w:rFonts w:ascii="仿宋_GB2312" w:hAnsi="宋体" w:eastAsia="仿宋_GB2312" w:cs="宋体"/>
          <w:color w:val="343434"/>
          <w:kern w:val="0"/>
          <w:sz w:val="32"/>
          <w:szCs w:val="32"/>
        </w:rPr>
      </w:pPr>
      <w:r>
        <w:rPr>
          <w:rFonts w:hint="eastAsia" w:ascii="仿宋" w:hAnsi="宋体" w:eastAsia="仿宋" w:cs="宋体"/>
          <w:color w:val="000000"/>
          <w:kern w:val="0"/>
          <w:sz w:val="32"/>
          <w:szCs w:val="32"/>
        </w:rPr>
        <w:t>一、根据党的路线、方针、政策和县委、县政府、市委政法委的部署，统一全县政法各部门的思想和行动。</w:t>
      </w:r>
    </w:p>
    <w:p>
      <w:pPr>
        <w:widowControl/>
        <w:shd w:val="clear" w:color="auto" w:fill="FFFFFF"/>
        <w:spacing w:line="560" w:lineRule="atLeast"/>
        <w:jc w:val="left"/>
        <w:rPr>
          <w:rFonts w:ascii="仿宋_GB2312" w:hAnsi="宋体" w:eastAsia="仿宋_GB2312" w:cs="宋体"/>
          <w:color w:val="343434"/>
          <w:kern w:val="0"/>
          <w:sz w:val="32"/>
          <w:szCs w:val="32"/>
        </w:rPr>
      </w:pPr>
      <w:r>
        <w:rPr>
          <w:rFonts w:ascii="仿宋" w:hAnsi="宋体" w:eastAsia="仿宋" w:cs="宋体"/>
          <w:color w:val="000000"/>
          <w:kern w:val="0"/>
          <w:sz w:val="32"/>
          <w:szCs w:val="32"/>
        </w:rPr>
        <w:t>    </w:t>
      </w:r>
      <w:r>
        <w:rPr>
          <w:rFonts w:hint="eastAsia" w:ascii="仿宋" w:hAnsi="宋体" w:eastAsia="仿宋" w:cs="宋体"/>
          <w:color w:val="000000"/>
          <w:kern w:val="0"/>
          <w:sz w:val="32"/>
          <w:szCs w:val="32"/>
        </w:rPr>
        <w:t>二、对一定时期内全县政法工作作出全局性部署，并督促贯彻落实。</w:t>
      </w:r>
    </w:p>
    <w:p>
      <w:pPr>
        <w:widowControl/>
        <w:shd w:val="clear" w:color="auto" w:fill="FFFFFF"/>
        <w:spacing w:line="560" w:lineRule="atLeast"/>
        <w:jc w:val="left"/>
        <w:rPr>
          <w:rFonts w:ascii="仿宋_GB2312" w:hAnsi="宋体" w:eastAsia="仿宋_GB2312" w:cs="宋体"/>
          <w:color w:val="343434"/>
          <w:kern w:val="0"/>
          <w:sz w:val="32"/>
          <w:szCs w:val="32"/>
        </w:rPr>
      </w:pPr>
      <w:r>
        <w:rPr>
          <w:rFonts w:ascii="仿宋" w:hAnsi="宋体" w:eastAsia="仿宋" w:cs="宋体"/>
          <w:color w:val="000000"/>
          <w:kern w:val="0"/>
          <w:sz w:val="32"/>
          <w:szCs w:val="32"/>
        </w:rPr>
        <w:t>    </w:t>
      </w:r>
      <w:r>
        <w:rPr>
          <w:rFonts w:hint="eastAsia" w:ascii="仿宋" w:hAnsi="宋体" w:eastAsia="仿宋" w:cs="宋体"/>
          <w:color w:val="000000"/>
          <w:kern w:val="0"/>
          <w:sz w:val="32"/>
          <w:szCs w:val="32"/>
        </w:rPr>
        <w:t>三、组织、协调、指导全县社会稳定和矛盾排查调处工作。</w:t>
      </w:r>
    </w:p>
    <w:p>
      <w:pPr>
        <w:widowControl/>
        <w:shd w:val="clear" w:color="auto" w:fill="FFFFFF"/>
        <w:spacing w:line="560" w:lineRule="atLeast"/>
        <w:jc w:val="left"/>
        <w:rPr>
          <w:rFonts w:ascii="仿宋_GB2312" w:hAnsi="宋体" w:eastAsia="仿宋_GB2312" w:cs="宋体"/>
          <w:color w:val="343434"/>
          <w:kern w:val="0"/>
          <w:sz w:val="32"/>
          <w:szCs w:val="32"/>
        </w:rPr>
      </w:pPr>
      <w:r>
        <w:rPr>
          <w:rFonts w:ascii="仿宋" w:hAnsi="宋体" w:eastAsia="仿宋" w:cs="宋体"/>
          <w:color w:val="000000"/>
          <w:kern w:val="0"/>
          <w:sz w:val="32"/>
          <w:szCs w:val="32"/>
        </w:rPr>
        <w:t>    </w:t>
      </w:r>
      <w:r>
        <w:rPr>
          <w:rFonts w:hint="eastAsia" w:ascii="仿宋" w:hAnsi="宋体" w:eastAsia="仿宋" w:cs="宋体"/>
          <w:color w:val="000000"/>
          <w:kern w:val="0"/>
          <w:sz w:val="32"/>
          <w:szCs w:val="32"/>
        </w:rPr>
        <w:t>四、检查县政法各部门执行法律法规和党的方针政策情况，结合实际研究制定严格公正执法、落实党的方针政策的具体措施。</w:t>
      </w:r>
    </w:p>
    <w:p>
      <w:pPr>
        <w:widowControl/>
        <w:shd w:val="clear" w:color="auto" w:fill="FFFFFF"/>
        <w:spacing w:line="560" w:lineRule="atLeast"/>
        <w:jc w:val="left"/>
        <w:rPr>
          <w:rFonts w:ascii="仿宋_GB2312" w:hAnsi="宋体" w:eastAsia="仿宋_GB2312" w:cs="宋体"/>
          <w:color w:val="343434"/>
          <w:kern w:val="0"/>
          <w:sz w:val="32"/>
          <w:szCs w:val="32"/>
        </w:rPr>
      </w:pPr>
      <w:r>
        <w:rPr>
          <w:rFonts w:ascii="仿宋" w:hAnsi="宋体" w:eastAsia="仿宋" w:cs="宋体"/>
          <w:color w:val="000000"/>
          <w:kern w:val="0"/>
          <w:sz w:val="32"/>
          <w:szCs w:val="32"/>
        </w:rPr>
        <w:t>    </w:t>
      </w:r>
      <w:r>
        <w:rPr>
          <w:rFonts w:hint="eastAsia" w:ascii="仿宋" w:hAnsi="宋体" w:eastAsia="仿宋" w:cs="宋体"/>
          <w:color w:val="000000"/>
          <w:kern w:val="0"/>
          <w:sz w:val="32"/>
          <w:szCs w:val="32"/>
        </w:rPr>
        <w:t>五、大力支持和严格监督县政法各部门依法行使职权，指导、协助县政法各部门在依法相互制约的同时密切配合，督促、推动大案要案查处工作，研究、协调有争议的重大、疑难案件。</w:t>
      </w:r>
    </w:p>
    <w:p>
      <w:pPr>
        <w:widowControl/>
        <w:shd w:val="clear" w:color="auto" w:fill="FFFFFF"/>
        <w:spacing w:line="560" w:lineRule="atLeast"/>
        <w:jc w:val="left"/>
        <w:rPr>
          <w:rFonts w:ascii="仿宋_GB2312" w:hAnsi="宋体" w:eastAsia="仿宋_GB2312" w:cs="宋体"/>
          <w:color w:val="343434"/>
          <w:kern w:val="0"/>
          <w:sz w:val="32"/>
          <w:szCs w:val="32"/>
        </w:rPr>
      </w:pPr>
      <w:r>
        <w:rPr>
          <w:rFonts w:ascii="仿宋" w:hAnsi="宋体" w:eastAsia="仿宋" w:cs="宋体"/>
          <w:color w:val="000000"/>
          <w:kern w:val="0"/>
          <w:sz w:val="32"/>
          <w:szCs w:val="32"/>
        </w:rPr>
        <w:t>    </w:t>
      </w:r>
      <w:r>
        <w:rPr>
          <w:rFonts w:hint="eastAsia" w:ascii="仿宋" w:hAnsi="宋体" w:eastAsia="仿宋" w:cs="宋体"/>
          <w:color w:val="000000"/>
          <w:kern w:val="0"/>
          <w:sz w:val="32"/>
          <w:szCs w:val="32"/>
        </w:rPr>
        <w:t>六、组织协调全县社会治安综合治理工作，充分发挥各职能部门作用，推进各项措施的落实。</w:t>
      </w:r>
    </w:p>
    <w:p>
      <w:pPr>
        <w:widowControl/>
        <w:shd w:val="clear" w:color="auto" w:fill="FFFFFF"/>
        <w:spacing w:line="560" w:lineRule="atLeast"/>
        <w:jc w:val="left"/>
        <w:rPr>
          <w:rFonts w:ascii="仿宋_GB2312" w:hAnsi="宋体" w:eastAsia="仿宋_GB2312" w:cs="宋体"/>
          <w:color w:val="343434"/>
          <w:kern w:val="0"/>
          <w:sz w:val="32"/>
          <w:szCs w:val="32"/>
        </w:rPr>
      </w:pPr>
      <w:r>
        <w:rPr>
          <w:rFonts w:ascii="仿宋" w:hAnsi="宋体" w:eastAsia="仿宋" w:cs="宋体"/>
          <w:color w:val="000000"/>
          <w:kern w:val="0"/>
          <w:sz w:val="32"/>
          <w:szCs w:val="32"/>
        </w:rPr>
        <w:t>    </w:t>
      </w:r>
      <w:r>
        <w:rPr>
          <w:rFonts w:hint="eastAsia" w:ascii="仿宋" w:hAnsi="宋体" w:eastAsia="仿宋" w:cs="宋体"/>
          <w:color w:val="000000"/>
          <w:kern w:val="0"/>
          <w:sz w:val="32"/>
          <w:szCs w:val="32"/>
        </w:rPr>
        <w:t>七、组织、协调、指导、督促全县法治建设工作。</w:t>
      </w:r>
    </w:p>
    <w:p>
      <w:pPr>
        <w:widowControl/>
        <w:shd w:val="clear" w:color="auto" w:fill="FFFFFF"/>
        <w:spacing w:line="560" w:lineRule="atLeast"/>
        <w:jc w:val="left"/>
        <w:rPr>
          <w:rFonts w:ascii="仿宋_GB2312" w:hAnsi="宋体" w:eastAsia="仿宋_GB2312" w:cs="宋体"/>
          <w:color w:val="343434"/>
          <w:kern w:val="0"/>
          <w:sz w:val="32"/>
          <w:szCs w:val="32"/>
        </w:rPr>
      </w:pPr>
      <w:r>
        <w:rPr>
          <w:rFonts w:ascii="仿宋" w:hAnsi="宋体" w:eastAsia="仿宋" w:cs="宋体"/>
          <w:color w:val="000000"/>
          <w:kern w:val="0"/>
          <w:sz w:val="32"/>
          <w:szCs w:val="32"/>
        </w:rPr>
        <w:t>    </w:t>
      </w:r>
      <w:r>
        <w:rPr>
          <w:rFonts w:hint="eastAsia" w:ascii="仿宋" w:hAnsi="宋体" w:eastAsia="仿宋" w:cs="宋体"/>
          <w:color w:val="000000"/>
          <w:kern w:val="0"/>
          <w:sz w:val="32"/>
          <w:szCs w:val="32"/>
        </w:rPr>
        <w:t>八、研究本地涉及国家安全稳定相关问题并作出决策。</w:t>
      </w:r>
    </w:p>
    <w:p>
      <w:pPr>
        <w:widowControl/>
        <w:shd w:val="clear" w:color="auto" w:fill="FFFFFF"/>
        <w:spacing w:line="560" w:lineRule="atLeast"/>
        <w:jc w:val="left"/>
        <w:rPr>
          <w:rFonts w:ascii="仿宋_GB2312" w:hAnsi="宋体" w:eastAsia="仿宋_GB2312" w:cs="宋体"/>
          <w:color w:val="343434"/>
          <w:kern w:val="0"/>
          <w:sz w:val="32"/>
          <w:szCs w:val="32"/>
        </w:rPr>
      </w:pPr>
      <w:r>
        <w:rPr>
          <w:rFonts w:ascii="仿宋" w:hAnsi="宋体" w:eastAsia="仿宋" w:cs="宋体"/>
          <w:color w:val="000000"/>
          <w:kern w:val="0"/>
          <w:sz w:val="32"/>
          <w:szCs w:val="32"/>
        </w:rPr>
        <w:t>    </w:t>
      </w:r>
      <w:r>
        <w:rPr>
          <w:rFonts w:hint="eastAsia" w:ascii="仿宋" w:hAnsi="宋体" w:eastAsia="仿宋" w:cs="宋体"/>
          <w:color w:val="000000"/>
          <w:kern w:val="0"/>
          <w:sz w:val="32"/>
          <w:szCs w:val="32"/>
        </w:rPr>
        <w:t>九、认真开展政法工作的调研和宣传工作，总结新经验，解决新问题。</w:t>
      </w:r>
    </w:p>
    <w:p>
      <w:pPr>
        <w:widowControl/>
        <w:shd w:val="clear" w:color="auto" w:fill="FFFFFF"/>
        <w:spacing w:line="560" w:lineRule="atLeast"/>
        <w:jc w:val="left"/>
        <w:rPr>
          <w:rFonts w:ascii="仿宋_GB2312" w:hAnsi="宋体" w:eastAsia="仿宋_GB2312" w:cs="宋体"/>
          <w:color w:val="343434"/>
          <w:kern w:val="0"/>
          <w:sz w:val="32"/>
          <w:szCs w:val="32"/>
        </w:rPr>
      </w:pPr>
      <w:r>
        <w:rPr>
          <w:rFonts w:ascii="仿宋" w:hAnsi="宋体" w:eastAsia="仿宋" w:cs="宋体"/>
          <w:color w:val="000000"/>
          <w:kern w:val="0"/>
          <w:sz w:val="32"/>
          <w:szCs w:val="32"/>
        </w:rPr>
        <w:t>    </w:t>
      </w:r>
      <w:r>
        <w:rPr>
          <w:rFonts w:hint="eastAsia" w:ascii="仿宋" w:hAnsi="宋体" w:eastAsia="仿宋" w:cs="宋体"/>
          <w:color w:val="000000"/>
          <w:kern w:val="0"/>
          <w:sz w:val="32"/>
          <w:szCs w:val="32"/>
        </w:rPr>
        <w:t>十、掌握全县政法队伍建设情况；研究加强政法队伍建设和领导班子建设的措施；协助纪检监察部门查处涉及政法领导干部的大案要案。</w:t>
      </w:r>
    </w:p>
    <w:p>
      <w:pPr>
        <w:widowControl/>
        <w:shd w:val="clear" w:color="auto" w:fill="FFFFFF"/>
        <w:spacing w:line="560" w:lineRule="atLeast"/>
        <w:jc w:val="left"/>
        <w:rPr>
          <w:rFonts w:ascii="仿宋_GB2312" w:hAnsi="宋体" w:eastAsia="仿宋_GB2312" w:cs="宋体"/>
          <w:color w:val="343434"/>
          <w:kern w:val="0"/>
          <w:sz w:val="32"/>
          <w:szCs w:val="32"/>
        </w:rPr>
      </w:pPr>
      <w:r>
        <w:rPr>
          <w:rFonts w:ascii="仿宋" w:hAnsi="宋体" w:eastAsia="仿宋" w:cs="宋体"/>
          <w:color w:val="000000"/>
          <w:kern w:val="0"/>
          <w:sz w:val="32"/>
          <w:szCs w:val="32"/>
        </w:rPr>
        <w:t>    </w:t>
      </w:r>
      <w:r>
        <w:rPr>
          <w:rFonts w:hint="eastAsia" w:ascii="仿宋" w:hAnsi="宋体" w:eastAsia="仿宋" w:cs="宋体"/>
          <w:color w:val="000000"/>
          <w:kern w:val="0"/>
          <w:sz w:val="32"/>
          <w:szCs w:val="32"/>
        </w:rPr>
        <w:t>十一、办理县委、县政府和市委政法委交办的其他事项。</w:t>
      </w:r>
    </w:p>
    <w:p>
      <w:pPr>
        <w:autoSpaceDE w:val="0"/>
        <w:autoSpaceDN w:val="0"/>
        <w:adjustRightInd w:val="0"/>
        <w:ind w:left="198" w:firstLine="643" w:firstLineChars="200"/>
        <w:jc w:val="left"/>
        <w:rPr>
          <w:rFonts w:ascii="方正小标宋_GBK" w:eastAsia="方正小标宋_GBK"/>
          <w:sz w:val="32"/>
        </w:rPr>
      </w:pPr>
      <w:r>
        <w:rPr>
          <w:rFonts w:hint="eastAsia" w:ascii="Times New Roman" w:hAnsi="Times New Roman" w:eastAsia="仿宋" w:cs="Times New Roman"/>
          <w:b/>
          <w:sz w:val="32"/>
          <w:szCs w:val="32"/>
        </w:rPr>
        <w:t>部门职责及工作活动绩效目标指标：</w:t>
      </w:r>
      <w:bookmarkEnd w:id="0"/>
      <w:bookmarkStart w:id="1" w:name="_Toc535404678"/>
    </w:p>
    <w:p>
      <w:pPr>
        <w:widowControl/>
        <w:snapToGrid w:val="0"/>
        <w:spacing w:line="560" w:lineRule="atLeast"/>
        <w:ind w:firstLine="3200" w:firstLineChars="1000"/>
        <w:rPr>
          <w:rFonts w:hint="eastAsia" w:ascii="方正小标宋_GBK" w:hAnsi="Symbol" w:eastAsia="方正小标宋_GBK"/>
          <w:color w:val="FFFFFF"/>
          <w:sz w:val="32"/>
          <w:szCs w:val="32"/>
        </w:rPr>
      </w:pPr>
      <w:r>
        <w:rPr>
          <w:rStyle w:val="11"/>
          <w:rFonts w:hint="eastAsia" w:ascii="方正小标宋_GBK" w:hAnsi="Symbol" w:eastAsia="方正小标宋_GBK" w:cs="黑体"/>
          <w:color w:val="FFFFFF"/>
          <w:sz w:val="32"/>
          <w:szCs w:val="32"/>
        </w:rPr>
        <w:sym w:font="Symbol" w:char="F020"/>
      </w:r>
      <w:bookmarkEnd w:id="1"/>
    </w:p>
    <w:p>
      <w:pPr>
        <w:widowControl/>
        <w:snapToGrid w:val="0"/>
        <w:spacing w:line="560" w:lineRule="atLeast"/>
        <w:ind w:firstLine="3200" w:firstLineChars="1000"/>
        <w:rPr>
          <w:rFonts w:hint="eastAsia" w:ascii="方正小标宋_GBK" w:hAnsi="Symbol" w:eastAsia="方正小标宋_GBK"/>
          <w:color w:val="FFFFFF"/>
          <w:sz w:val="32"/>
          <w:szCs w:val="32"/>
        </w:rPr>
      </w:pPr>
    </w:p>
    <w:p>
      <w:pPr>
        <w:widowControl/>
        <w:snapToGrid w:val="0"/>
        <w:spacing w:line="560" w:lineRule="atLeast"/>
        <w:ind w:firstLine="3200" w:firstLineChars="1000"/>
        <w:rPr>
          <w:rFonts w:hint="eastAsia" w:ascii="方正小标宋_GBK" w:hAnsi="Symbol" w:eastAsia="方正小标宋_GBK"/>
          <w:color w:val="FFFFFF"/>
          <w:sz w:val="32"/>
          <w:szCs w:val="32"/>
        </w:rPr>
      </w:pPr>
    </w:p>
    <w:p>
      <w:pPr>
        <w:widowControl/>
        <w:snapToGrid w:val="0"/>
        <w:spacing w:line="560" w:lineRule="atLeast"/>
        <w:ind w:firstLine="3200" w:firstLineChars="1000"/>
        <w:rPr>
          <w:rFonts w:ascii="仿宋_GB2312" w:hAnsi="宋体" w:eastAsia="仿宋_GB2312" w:cs="宋体"/>
          <w:color w:val="000000"/>
          <w:kern w:val="0"/>
          <w:sz w:val="32"/>
          <w:szCs w:val="32"/>
        </w:rPr>
      </w:pPr>
      <w:r>
        <w:rPr>
          <w:rFonts w:ascii="仿宋_GB2312" w:hAnsi="宋体" w:eastAsia="仿宋_GB2312" w:cs="宋体"/>
          <w:color w:val="000000"/>
          <w:kern w:val="0"/>
          <w:sz w:val="32"/>
          <w:szCs w:val="32"/>
        </w:rPr>
        <w:t>216</w:t>
      </w:r>
      <w:r>
        <w:rPr>
          <w:rFonts w:hint="eastAsia" w:ascii="仿宋_GB2312" w:hAnsi="宋体" w:eastAsia="仿宋_GB2312" w:cs="宋体"/>
          <w:color w:val="000000"/>
          <w:kern w:val="0"/>
          <w:sz w:val="32"/>
          <w:szCs w:val="32"/>
        </w:rPr>
        <w:t>县委政法委</w:t>
      </w:r>
    </w:p>
    <w:tbl>
      <w:tblPr>
        <w:tblStyle w:val="9"/>
        <w:tblW w:w="1111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701"/>
        <w:gridCol w:w="1134"/>
        <w:gridCol w:w="1843"/>
        <w:gridCol w:w="1559"/>
        <w:gridCol w:w="1901"/>
        <w:gridCol w:w="727"/>
        <w:gridCol w:w="700"/>
        <w:gridCol w:w="742"/>
        <w:gridCol w:w="80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vMerge w:val="restart"/>
            <w:vAlign w:val="center"/>
          </w:tcPr>
          <w:p>
            <w:pPr>
              <w:widowControl/>
              <w:snapToGrid w:val="0"/>
              <w:spacing w:line="240" w:lineRule="atLeast"/>
              <w:jc w:val="center"/>
              <w:rPr>
                <w:rFonts w:ascii="宋体" w:cs="宋体"/>
                <w:color w:val="000000"/>
                <w:kern w:val="0"/>
                <w:sz w:val="24"/>
                <w:szCs w:val="24"/>
              </w:rPr>
            </w:pPr>
            <w:r>
              <w:rPr>
                <w:rFonts w:hint="eastAsia" w:ascii="宋体" w:hAnsi="宋体" w:cs="宋体"/>
                <w:color w:val="000000"/>
                <w:kern w:val="0"/>
                <w:sz w:val="24"/>
                <w:szCs w:val="24"/>
              </w:rPr>
              <w:t>职责</w:t>
            </w:r>
          </w:p>
          <w:p>
            <w:pPr>
              <w:widowControl/>
              <w:snapToGrid w:val="0"/>
              <w:spacing w:line="240" w:lineRule="atLeast"/>
              <w:jc w:val="center"/>
              <w:rPr>
                <w:rFonts w:ascii="宋体" w:cs="宋体"/>
                <w:color w:val="000000"/>
                <w:kern w:val="0"/>
                <w:sz w:val="24"/>
                <w:szCs w:val="24"/>
              </w:rPr>
            </w:pPr>
            <w:r>
              <w:rPr>
                <w:rFonts w:hint="eastAsia" w:ascii="宋体" w:hAnsi="宋体" w:cs="宋体"/>
                <w:color w:val="000000"/>
                <w:kern w:val="0"/>
                <w:sz w:val="24"/>
                <w:szCs w:val="24"/>
              </w:rPr>
              <w:t>活动</w:t>
            </w:r>
          </w:p>
        </w:tc>
        <w:tc>
          <w:tcPr>
            <w:tcW w:w="1134" w:type="dxa"/>
            <w:vMerge w:val="restart"/>
            <w:vAlign w:val="center"/>
          </w:tcPr>
          <w:p>
            <w:pPr>
              <w:widowControl/>
              <w:snapToGrid w:val="0"/>
              <w:spacing w:line="240" w:lineRule="atLeast"/>
              <w:jc w:val="center"/>
              <w:rPr>
                <w:rFonts w:ascii="宋体" w:cs="宋体"/>
                <w:color w:val="000000"/>
                <w:kern w:val="0"/>
                <w:sz w:val="24"/>
                <w:szCs w:val="24"/>
              </w:rPr>
            </w:pPr>
            <w:r>
              <w:rPr>
                <w:rFonts w:hint="eastAsia" w:ascii="宋体" w:hAnsi="宋体" w:cs="宋体"/>
                <w:color w:val="000000"/>
                <w:kern w:val="0"/>
                <w:sz w:val="24"/>
                <w:szCs w:val="24"/>
              </w:rPr>
              <w:t>年度预算数</w:t>
            </w:r>
          </w:p>
        </w:tc>
        <w:tc>
          <w:tcPr>
            <w:tcW w:w="1843" w:type="dxa"/>
            <w:vMerge w:val="restart"/>
            <w:vAlign w:val="center"/>
          </w:tcPr>
          <w:p>
            <w:pPr>
              <w:widowControl/>
              <w:snapToGrid w:val="0"/>
              <w:spacing w:line="240" w:lineRule="atLeast"/>
              <w:jc w:val="center"/>
              <w:rPr>
                <w:rFonts w:ascii="宋体" w:cs="宋体"/>
                <w:color w:val="000000"/>
                <w:kern w:val="0"/>
                <w:sz w:val="24"/>
                <w:szCs w:val="24"/>
              </w:rPr>
            </w:pPr>
            <w:r>
              <w:rPr>
                <w:rFonts w:hint="eastAsia" w:ascii="宋体" w:hAnsi="宋体" w:cs="宋体"/>
                <w:color w:val="000000"/>
                <w:kern w:val="0"/>
                <w:sz w:val="24"/>
                <w:szCs w:val="24"/>
              </w:rPr>
              <w:t>内容</w:t>
            </w:r>
          </w:p>
          <w:p>
            <w:pPr>
              <w:widowControl/>
              <w:snapToGrid w:val="0"/>
              <w:spacing w:line="240" w:lineRule="atLeast"/>
              <w:jc w:val="center"/>
              <w:rPr>
                <w:rFonts w:ascii="宋体" w:cs="宋体"/>
                <w:color w:val="000000"/>
                <w:kern w:val="0"/>
                <w:sz w:val="24"/>
                <w:szCs w:val="24"/>
              </w:rPr>
            </w:pPr>
            <w:r>
              <w:rPr>
                <w:rFonts w:hint="eastAsia" w:ascii="宋体" w:hAnsi="宋体" w:cs="宋体"/>
                <w:color w:val="000000"/>
                <w:kern w:val="0"/>
                <w:sz w:val="24"/>
                <w:szCs w:val="24"/>
              </w:rPr>
              <w:t>描述</w:t>
            </w:r>
          </w:p>
        </w:tc>
        <w:tc>
          <w:tcPr>
            <w:tcW w:w="1559" w:type="dxa"/>
            <w:vMerge w:val="restart"/>
            <w:vAlign w:val="center"/>
          </w:tcPr>
          <w:p>
            <w:pPr>
              <w:widowControl/>
              <w:snapToGrid w:val="0"/>
              <w:spacing w:line="240" w:lineRule="atLeast"/>
              <w:jc w:val="center"/>
              <w:rPr>
                <w:rFonts w:ascii="宋体" w:cs="宋体"/>
                <w:color w:val="000000"/>
                <w:kern w:val="0"/>
                <w:sz w:val="24"/>
                <w:szCs w:val="24"/>
              </w:rPr>
            </w:pPr>
            <w:r>
              <w:rPr>
                <w:rFonts w:hint="eastAsia" w:ascii="宋体" w:hAnsi="宋体" w:cs="宋体"/>
                <w:color w:val="000000"/>
                <w:kern w:val="0"/>
                <w:sz w:val="24"/>
                <w:szCs w:val="24"/>
              </w:rPr>
              <w:t>绩效</w:t>
            </w:r>
          </w:p>
          <w:p>
            <w:pPr>
              <w:widowControl/>
              <w:snapToGrid w:val="0"/>
              <w:spacing w:line="240" w:lineRule="atLeast"/>
              <w:jc w:val="center"/>
              <w:rPr>
                <w:rFonts w:ascii="宋体" w:cs="宋体"/>
                <w:color w:val="000000"/>
                <w:kern w:val="0"/>
                <w:sz w:val="24"/>
                <w:szCs w:val="24"/>
              </w:rPr>
            </w:pPr>
            <w:r>
              <w:rPr>
                <w:rFonts w:hint="eastAsia" w:ascii="宋体" w:hAnsi="宋体" w:cs="宋体"/>
                <w:color w:val="000000"/>
                <w:kern w:val="0"/>
                <w:sz w:val="24"/>
                <w:szCs w:val="24"/>
              </w:rPr>
              <w:t>目标</w:t>
            </w:r>
          </w:p>
        </w:tc>
        <w:tc>
          <w:tcPr>
            <w:tcW w:w="1901" w:type="dxa"/>
            <w:vMerge w:val="restart"/>
            <w:vAlign w:val="center"/>
          </w:tcPr>
          <w:p>
            <w:pPr>
              <w:widowControl/>
              <w:snapToGrid w:val="0"/>
              <w:spacing w:line="240" w:lineRule="atLeast"/>
              <w:jc w:val="center"/>
              <w:rPr>
                <w:rFonts w:ascii="宋体" w:cs="宋体"/>
                <w:color w:val="000000"/>
                <w:kern w:val="0"/>
                <w:sz w:val="24"/>
                <w:szCs w:val="24"/>
              </w:rPr>
            </w:pPr>
            <w:r>
              <w:rPr>
                <w:rFonts w:hint="eastAsia" w:ascii="宋体" w:hAnsi="宋体" w:cs="宋体"/>
                <w:color w:val="000000"/>
                <w:kern w:val="0"/>
                <w:sz w:val="24"/>
                <w:szCs w:val="24"/>
              </w:rPr>
              <w:t>绩效</w:t>
            </w:r>
          </w:p>
          <w:p>
            <w:pPr>
              <w:widowControl/>
              <w:snapToGrid w:val="0"/>
              <w:spacing w:line="240" w:lineRule="atLeast"/>
              <w:jc w:val="center"/>
              <w:rPr>
                <w:rFonts w:ascii="宋体" w:cs="宋体"/>
                <w:color w:val="000000"/>
                <w:kern w:val="0"/>
                <w:sz w:val="24"/>
                <w:szCs w:val="24"/>
              </w:rPr>
            </w:pPr>
            <w:r>
              <w:rPr>
                <w:rFonts w:hint="eastAsia" w:ascii="宋体" w:hAnsi="宋体" w:cs="宋体"/>
                <w:color w:val="000000"/>
                <w:kern w:val="0"/>
                <w:sz w:val="24"/>
                <w:szCs w:val="24"/>
              </w:rPr>
              <w:t>指标</w:t>
            </w:r>
          </w:p>
        </w:tc>
        <w:tc>
          <w:tcPr>
            <w:tcW w:w="2975" w:type="dxa"/>
            <w:gridSpan w:val="4"/>
            <w:vAlign w:val="center"/>
          </w:tcPr>
          <w:p>
            <w:pPr>
              <w:widowControl/>
              <w:snapToGrid w:val="0"/>
              <w:spacing w:line="240" w:lineRule="atLeast"/>
              <w:jc w:val="center"/>
              <w:rPr>
                <w:rFonts w:ascii="宋体" w:cs="宋体"/>
                <w:color w:val="000000"/>
                <w:kern w:val="0"/>
                <w:sz w:val="24"/>
                <w:szCs w:val="24"/>
              </w:rPr>
            </w:pPr>
            <w:r>
              <w:rPr>
                <w:rFonts w:hint="eastAsia" w:ascii="宋体" w:hAnsi="宋体" w:cs="宋体"/>
                <w:color w:val="000000"/>
                <w:kern w:val="0"/>
                <w:sz w:val="24"/>
                <w:szCs w:val="24"/>
              </w:rPr>
              <w:t>评价标准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vMerge w:val="continue"/>
            <w:vAlign w:val="center"/>
          </w:tcPr>
          <w:p>
            <w:pPr>
              <w:widowControl/>
              <w:snapToGrid w:val="0"/>
              <w:spacing w:line="240" w:lineRule="atLeast"/>
              <w:jc w:val="center"/>
              <w:rPr>
                <w:rFonts w:ascii="宋体" w:cs="宋体"/>
                <w:color w:val="000000"/>
                <w:kern w:val="0"/>
                <w:sz w:val="24"/>
                <w:szCs w:val="24"/>
              </w:rPr>
            </w:pPr>
          </w:p>
        </w:tc>
        <w:tc>
          <w:tcPr>
            <w:tcW w:w="1134" w:type="dxa"/>
            <w:vMerge w:val="continue"/>
            <w:vAlign w:val="center"/>
          </w:tcPr>
          <w:p>
            <w:pPr>
              <w:widowControl/>
              <w:snapToGrid w:val="0"/>
              <w:spacing w:line="240" w:lineRule="atLeast"/>
              <w:jc w:val="center"/>
              <w:rPr>
                <w:rFonts w:ascii="宋体" w:cs="宋体"/>
                <w:color w:val="000000"/>
                <w:kern w:val="0"/>
                <w:sz w:val="24"/>
                <w:szCs w:val="24"/>
              </w:rPr>
            </w:pPr>
          </w:p>
        </w:tc>
        <w:tc>
          <w:tcPr>
            <w:tcW w:w="1843" w:type="dxa"/>
            <w:vMerge w:val="continue"/>
            <w:vAlign w:val="center"/>
          </w:tcPr>
          <w:p>
            <w:pPr>
              <w:widowControl/>
              <w:snapToGrid w:val="0"/>
              <w:spacing w:line="240" w:lineRule="atLeast"/>
              <w:jc w:val="center"/>
              <w:rPr>
                <w:rFonts w:ascii="宋体" w:cs="宋体"/>
                <w:color w:val="000000"/>
                <w:kern w:val="0"/>
                <w:sz w:val="24"/>
                <w:szCs w:val="24"/>
              </w:rPr>
            </w:pPr>
          </w:p>
        </w:tc>
        <w:tc>
          <w:tcPr>
            <w:tcW w:w="1559" w:type="dxa"/>
            <w:vMerge w:val="continue"/>
            <w:vAlign w:val="center"/>
          </w:tcPr>
          <w:p>
            <w:pPr>
              <w:widowControl/>
              <w:snapToGrid w:val="0"/>
              <w:spacing w:line="240" w:lineRule="atLeast"/>
              <w:jc w:val="center"/>
              <w:rPr>
                <w:rFonts w:ascii="宋体" w:cs="宋体"/>
                <w:color w:val="000000"/>
                <w:kern w:val="0"/>
                <w:sz w:val="24"/>
                <w:szCs w:val="24"/>
              </w:rPr>
            </w:pPr>
          </w:p>
        </w:tc>
        <w:tc>
          <w:tcPr>
            <w:tcW w:w="1901" w:type="dxa"/>
            <w:vMerge w:val="continue"/>
            <w:vAlign w:val="center"/>
          </w:tcPr>
          <w:p>
            <w:pPr>
              <w:widowControl/>
              <w:snapToGrid w:val="0"/>
              <w:spacing w:line="240" w:lineRule="atLeast"/>
              <w:jc w:val="center"/>
              <w:rPr>
                <w:rFonts w:ascii="宋体" w:cs="宋体"/>
                <w:color w:val="000000"/>
                <w:kern w:val="0"/>
                <w:sz w:val="24"/>
                <w:szCs w:val="24"/>
              </w:rPr>
            </w:pPr>
          </w:p>
        </w:tc>
        <w:tc>
          <w:tcPr>
            <w:tcW w:w="727" w:type="dxa"/>
            <w:vAlign w:val="center"/>
          </w:tcPr>
          <w:p>
            <w:pPr>
              <w:widowControl/>
              <w:jc w:val="center"/>
              <w:rPr>
                <w:rFonts w:ascii="宋体" w:cs="宋体"/>
                <w:b/>
                <w:bCs/>
                <w:kern w:val="0"/>
                <w:sz w:val="24"/>
                <w:szCs w:val="24"/>
              </w:rPr>
            </w:pPr>
            <w:r>
              <w:rPr>
                <w:rFonts w:hint="eastAsia" w:ascii="宋体" w:hAnsi="宋体" w:cs="宋体"/>
                <w:b/>
                <w:bCs/>
                <w:kern w:val="0"/>
                <w:sz w:val="24"/>
                <w:szCs w:val="24"/>
              </w:rPr>
              <w:t>优</w:t>
            </w:r>
          </w:p>
        </w:tc>
        <w:tc>
          <w:tcPr>
            <w:tcW w:w="700" w:type="dxa"/>
            <w:vAlign w:val="center"/>
          </w:tcPr>
          <w:p>
            <w:pPr>
              <w:widowControl/>
              <w:jc w:val="center"/>
              <w:rPr>
                <w:rFonts w:ascii="宋体" w:cs="宋体"/>
                <w:b/>
                <w:bCs/>
                <w:kern w:val="0"/>
                <w:sz w:val="24"/>
                <w:szCs w:val="24"/>
              </w:rPr>
            </w:pPr>
            <w:r>
              <w:rPr>
                <w:rFonts w:hint="eastAsia" w:ascii="宋体" w:hAnsi="宋体" w:cs="宋体"/>
                <w:b/>
                <w:bCs/>
                <w:kern w:val="0"/>
                <w:sz w:val="24"/>
                <w:szCs w:val="24"/>
              </w:rPr>
              <w:t>良</w:t>
            </w:r>
          </w:p>
        </w:tc>
        <w:tc>
          <w:tcPr>
            <w:tcW w:w="742" w:type="dxa"/>
            <w:vAlign w:val="center"/>
          </w:tcPr>
          <w:p>
            <w:pPr>
              <w:widowControl/>
              <w:jc w:val="center"/>
              <w:rPr>
                <w:rFonts w:ascii="宋体" w:cs="宋体"/>
                <w:b/>
                <w:bCs/>
                <w:kern w:val="0"/>
                <w:sz w:val="24"/>
                <w:szCs w:val="24"/>
              </w:rPr>
            </w:pPr>
            <w:r>
              <w:rPr>
                <w:rFonts w:hint="eastAsia" w:ascii="宋体" w:hAnsi="宋体" w:cs="宋体"/>
                <w:b/>
                <w:bCs/>
                <w:kern w:val="0"/>
                <w:sz w:val="24"/>
                <w:szCs w:val="24"/>
              </w:rPr>
              <w:t>中</w:t>
            </w:r>
          </w:p>
        </w:tc>
        <w:tc>
          <w:tcPr>
            <w:tcW w:w="806" w:type="dxa"/>
            <w:vAlign w:val="center"/>
          </w:tcPr>
          <w:p>
            <w:pPr>
              <w:widowControl/>
              <w:jc w:val="center"/>
              <w:rPr>
                <w:rFonts w:ascii="宋体" w:cs="宋体"/>
                <w:b/>
                <w:bCs/>
                <w:kern w:val="0"/>
                <w:sz w:val="24"/>
                <w:szCs w:val="24"/>
              </w:rPr>
            </w:pPr>
            <w:r>
              <w:rPr>
                <w:rFonts w:hint="eastAsia" w:ascii="宋体" w:hAnsi="宋体" w:cs="宋体"/>
                <w:b/>
                <w:bCs/>
                <w:kern w:val="0"/>
                <w:sz w:val="24"/>
                <w:szCs w:val="24"/>
              </w:rPr>
              <w:t>差</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vAlign w:val="center"/>
          </w:tcPr>
          <w:p>
            <w:pPr>
              <w:widowControl/>
              <w:snapToGrid w:val="0"/>
              <w:spacing w:line="240" w:lineRule="atLeast"/>
              <w:jc w:val="center"/>
              <w:rPr>
                <w:rFonts w:ascii="宋体" w:cs="宋体"/>
                <w:color w:val="000000"/>
                <w:kern w:val="0"/>
                <w:sz w:val="24"/>
                <w:szCs w:val="24"/>
              </w:rPr>
            </w:pPr>
            <w:r>
              <w:rPr>
                <w:rFonts w:hint="eastAsia" w:ascii="宋体" w:cs="宋体"/>
                <w:color w:val="000000"/>
                <w:kern w:val="0"/>
                <w:sz w:val="24"/>
                <w:szCs w:val="24"/>
              </w:rPr>
              <w:t>开展社会治安综合治理</w:t>
            </w:r>
          </w:p>
        </w:tc>
        <w:tc>
          <w:tcPr>
            <w:tcW w:w="1134" w:type="dxa"/>
            <w:vAlign w:val="center"/>
          </w:tcPr>
          <w:p>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520000</w:t>
            </w:r>
          </w:p>
        </w:tc>
        <w:tc>
          <w:tcPr>
            <w:tcW w:w="1843" w:type="dxa"/>
            <w:vAlign w:val="center"/>
          </w:tcPr>
          <w:p>
            <w:pPr>
              <w:widowControl/>
              <w:snapToGrid w:val="0"/>
              <w:spacing w:line="240" w:lineRule="atLeast"/>
              <w:jc w:val="center"/>
              <w:rPr>
                <w:rFonts w:ascii="宋体" w:cs="宋体"/>
                <w:color w:val="000000"/>
                <w:kern w:val="0"/>
                <w:szCs w:val="21"/>
              </w:rPr>
            </w:pPr>
            <w:r>
              <w:rPr>
                <w:rFonts w:hint="eastAsia" w:ascii="仿宋_GB2312" w:hAnsi="宋体" w:eastAsia="仿宋_GB2312" w:cs="宋体"/>
                <w:color w:val="000000"/>
                <w:kern w:val="0"/>
                <w:szCs w:val="21"/>
              </w:rPr>
              <w:t>开展护路宣传、治安联防</w:t>
            </w:r>
            <w:r>
              <w:rPr>
                <w:rFonts w:ascii="仿宋_GB2312" w:hAnsi="宋体" w:eastAsia="仿宋_GB2312" w:cs="宋体"/>
                <w:color w:val="000000"/>
                <w:kern w:val="0"/>
                <w:szCs w:val="21"/>
              </w:rPr>
              <w:t>,</w:t>
            </w:r>
            <w:r>
              <w:rPr>
                <w:rFonts w:hint="eastAsia" w:ascii="仿宋_GB2312" w:hAnsi="宋体" w:eastAsia="仿宋_GB2312" w:cs="宋体"/>
                <w:color w:val="000000"/>
                <w:kern w:val="0"/>
                <w:szCs w:val="21"/>
              </w:rPr>
              <w:t>化解矛盾</w:t>
            </w:r>
          </w:p>
        </w:tc>
        <w:tc>
          <w:tcPr>
            <w:tcW w:w="1559" w:type="dxa"/>
            <w:vAlign w:val="center"/>
          </w:tcPr>
          <w:p>
            <w:pPr>
              <w:widowControl/>
              <w:snapToGrid w:val="0"/>
              <w:spacing w:line="240" w:lineRule="atLeast"/>
              <w:jc w:val="center"/>
              <w:rPr>
                <w:rFonts w:ascii="宋体" w:cs="宋体"/>
                <w:color w:val="000000"/>
                <w:kern w:val="0"/>
                <w:szCs w:val="21"/>
              </w:rPr>
            </w:pPr>
            <w:r>
              <w:rPr>
                <w:rFonts w:hint="eastAsia" w:ascii="宋体" w:cs="宋体"/>
                <w:color w:val="000000"/>
                <w:kern w:val="0"/>
                <w:szCs w:val="21"/>
              </w:rPr>
              <w:t>确保全县社会政治稳定</w:t>
            </w:r>
          </w:p>
        </w:tc>
        <w:tc>
          <w:tcPr>
            <w:tcW w:w="1901" w:type="dxa"/>
            <w:vAlign w:val="center"/>
          </w:tcPr>
          <w:p>
            <w:pPr>
              <w:jc w:val="center"/>
              <w:rPr>
                <w:rFonts w:ascii="宋体" w:cs="宋体"/>
                <w:sz w:val="18"/>
                <w:szCs w:val="18"/>
              </w:rPr>
            </w:pPr>
            <w:r>
              <w:rPr>
                <w:rFonts w:hint="eastAsia"/>
                <w:sz w:val="18"/>
                <w:szCs w:val="18"/>
              </w:rPr>
              <w:t>完成的安保任务占任务总数的比率</w:t>
            </w:r>
          </w:p>
        </w:tc>
        <w:tc>
          <w:tcPr>
            <w:tcW w:w="727" w:type="dxa"/>
            <w:vAlign w:val="center"/>
          </w:tcPr>
          <w:p>
            <w:pPr>
              <w:widowControl/>
              <w:jc w:val="center"/>
              <w:rPr>
                <w:rFonts w:ascii="宋体" w:hAnsi="宋体" w:cs="宋体"/>
                <w:kern w:val="0"/>
                <w:sz w:val="24"/>
                <w:szCs w:val="24"/>
              </w:rPr>
            </w:pPr>
            <w:r>
              <w:rPr>
                <w:rFonts w:ascii="宋体" w:hAnsi="宋体" w:cs="宋体"/>
                <w:kern w:val="0"/>
                <w:sz w:val="24"/>
                <w:szCs w:val="24"/>
              </w:rPr>
              <w:t>100%</w:t>
            </w:r>
          </w:p>
        </w:tc>
        <w:tc>
          <w:tcPr>
            <w:tcW w:w="700" w:type="dxa"/>
            <w:vAlign w:val="center"/>
          </w:tcPr>
          <w:p>
            <w:pPr>
              <w:widowControl/>
              <w:jc w:val="center"/>
              <w:rPr>
                <w:rFonts w:ascii="宋体" w:cs="宋体"/>
                <w:kern w:val="0"/>
                <w:sz w:val="24"/>
                <w:szCs w:val="24"/>
              </w:rPr>
            </w:pPr>
            <w:r>
              <w:rPr>
                <w:rFonts w:ascii="宋体" w:hAnsi="宋体" w:cs="宋体"/>
                <w:kern w:val="0"/>
                <w:sz w:val="24"/>
                <w:szCs w:val="24"/>
              </w:rPr>
              <w:t>95%</w:t>
            </w:r>
            <w:r>
              <w:rPr>
                <w:rFonts w:hint="eastAsia" w:ascii="宋体" w:hAnsi="宋体" w:cs="宋体"/>
                <w:kern w:val="0"/>
                <w:sz w:val="24"/>
                <w:szCs w:val="24"/>
              </w:rPr>
              <w:t>以上</w:t>
            </w:r>
          </w:p>
        </w:tc>
        <w:tc>
          <w:tcPr>
            <w:tcW w:w="742" w:type="dxa"/>
            <w:vAlign w:val="center"/>
          </w:tcPr>
          <w:p>
            <w:pPr>
              <w:widowControl/>
              <w:jc w:val="center"/>
              <w:rPr>
                <w:rFonts w:ascii="宋体" w:cs="宋体"/>
                <w:kern w:val="0"/>
                <w:sz w:val="24"/>
                <w:szCs w:val="24"/>
              </w:rPr>
            </w:pPr>
            <w:r>
              <w:rPr>
                <w:rFonts w:ascii="宋体" w:hAnsi="宋体" w:cs="宋体"/>
                <w:kern w:val="0"/>
                <w:sz w:val="24"/>
                <w:szCs w:val="24"/>
              </w:rPr>
              <w:t>90%</w:t>
            </w:r>
            <w:r>
              <w:rPr>
                <w:rFonts w:hint="eastAsia" w:ascii="宋体" w:hAnsi="宋体" w:cs="宋体"/>
                <w:kern w:val="0"/>
                <w:sz w:val="24"/>
                <w:szCs w:val="24"/>
              </w:rPr>
              <w:t>以上</w:t>
            </w:r>
          </w:p>
        </w:tc>
        <w:tc>
          <w:tcPr>
            <w:tcW w:w="806" w:type="dxa"/>
            <w:vAlign w:val="center"/>
          </w:tcPr>
          <w:p>
            <w:pPr>
              <w:widowControl/>
              <w:jc w:val="center"/>
              <w:rPr>
                <w:rFonts w:ascii="宋体" w:cs="宋体"/>
                <w:kern w:val="0"/>
                <w:sz w:val="24"/>
                <w:szCs w:val="24"/>
              </w:rPr>
            </w:pPr>
            <w:r>
              <w:rPr>
                <w:rFonts w:ascii="宋体" w:hAnsi="宋体" w:cs="宋体"/>
                <w:kern w:val="0"/>
                <w:sz w:val="24"/>
                <w:szCs w:val="24"/>
              </w:rPr>
              <w:t>90%</w:t>
            </w:r>
            <w:r>
              <w:rPr>
                <w:rFonts w:hint="eastAsia" w:ascii="宋体" w:hAnsi="宋体" w:cs="宋体"/>
                <w:kern w:val="0"/>
                <w:sz w:val="24"/>
                <w:szCs w:val="24"/>
              </w:rPr>
              <w:t>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vAlign w:val="center"/>
          </w:tcPr>
          <w:p>
            <w:pPr>
              <w:widowControl/>
              <w:snapToGrid w:val="0"/>
              <w:spacing w:line="240" w:lineRule="atLeast"/>
              <w:jc w:val="center"/>
              <w:rPr>
                <w:rFonts w:ascii="宋体" w:cs="宋体"/>
                <w:color w:val="000000"/>
                <w:kern w:val="0"/>
                <w:sz w:val="24"/>
                <w:szCs w:val="24"/>
              </w:rPr>
            </w:pPr>
            <w:r>
              <w:rPr>
                <w:rFonts w:hint="eastAsia" w:ascii="宋体" w:hAnsi="宋体" w:cs="宋体"/>
                <w:kern w:val="0"/>
                <w:sz w:val="24"/>
                <w:szCs w:val="24"/>
              </w:rPr>
              <w:t>推进综治中心建设</w:t>
            </w:r>
          </w:p>
        </w:tc>
        <w:tc>
          <w:tcPr>
            <w:tcW w:w="1134" w:type="dxa"/>
            <w:vAlign w:val="center"/>
          </w:tcPr>
          <w:p>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776450</w:t>
            </w:r>
          </w:p>
        </w:tc>
        <w:tc>
          <w:tcPr>
            <w:tcW w:w="1843" w:type="dxa"/>
            <w:vAlign w:val="center"/>
          </w:tcPr>
          <w:p>
            <w:pPr>
              <w:widowControl/>
              <w:snapToGrid w:val="0"/>
              <w:spacing w:line="240" w:lineRule="atLeast"/>
              <w:jc w:val="center"/>
              <w:rPr>
                <w:rFonts w:ascii="宋体" w:cs="宋体"/>
                <w:color w:val="000000"/>
                <w:kern w:val="0"/>
                <w:szCs w:val="21"/>
              </w:rPr>
            </w:pPr>
            <w:r>
              <w:rPr>
                <w:rFonts w:hint="eastAsia" w:ascii="宋体" w:hAnsi="宋体" w:cs="宋体"/>
                <w:kern w:val="0"/>
                <w:szCs w:val="21"/>
              </w:rPr>
              <w:t>综治中心建设运行良好</w:t>
            </w:r>
            <w:r>
              <w:rPr>
                <w:rFonts w:ascii="宋体" w:cs="宋体"/>
                <w:kern w:val="0"/>
                <w:szCs w:val="21"/>
              </w:rPr>
              <w:t>,</w:t>
            </w:r>
            <w:r>
              <w:rPr>
                <w:rFonts w:hint="eastAsia" w:ascii="宋体" w:hAnsi="宋体" w:cs="宋体"/>
                <w:kern w:val="0"/>
                <w:szCs w:val="21"/>
              </w:rPr>
              <w:t>充分发挥作用</w:t>
            </w:r>
          </w:p>
        </w:tc>
        <w:tc>
          <w:tcPr>
            <w:tcW w:w="1559" w:type="dxa"/>
            <w:vAlign w:val="center"/>
          </w:tcPr>
          <w:p>
            <w:pPr>
              <w:widowControl/>
              <w:snapToGrid w:val="0"/>
              <w:spacing w:line="240" w:lineRule="atLeast"/>
              <w:jc w:val="center"/>
              <w:rPr>
                <w:rFonts w:ascii="宋体" w:cs="宋体"/>
                <w:color w:val="000000"/>
                <w:kern w:val="0"/>
                <w:szCs w:val="21"/>
              </w:rPr>
            </w:pPr>
            <w:r>
              <w:rPr>
                <w:rFonts w:hint="eastAsia" w:ascii="宋体" w:hAnsi="宋体" w:cs="宋体"/>
                <w:kern w:val="0"/>
                <w:szCs w:val="21"/>
              </w:rPr>
              <w:t>综治中心建设达到上级要求</w:t>
            </w:r>
          </w:p>
        </w:tc>
        <w:tc>
          <w:tcPr>
            <w:tcW w:w="1901" w:type="dxa"/>
            <w:vAlign w:val="center"/>
          </w:tcPr>
          <w:p>
            <w:pPr>
              <w:widowControl/>
              <w:snapToGrid w:val="0"/>
              <w:spacing w:line="240" w:lineRule="atLeast"/>
              <w:jc w:val="center"/>
              <w:rPr>
                <w:rFonts w:ascii="宋体" w:cs="宋体"/>
                <w:color w:val="000000"/>
                <w:kern w:val="0"/>
                <w:szCs w:val="21"/>
              </w:rPr>
            </w:pPr>
            <w:r>
              <w:rPr>
                <w:rFonts w:hint="eastAsia" w:ascii="宋体" w:hAnsi="宋体" w:cs="宋体"/>
                <w:kern w:val="0"/>
                <w:szCs w:val="21"/>
              </w:rPr>
              <w:t>合格的模块占系统总模块的比率</w:t>
            </w:r>
          </w:p>
        </w:tc>
        <w:tc>
          <w:tcPr>
            <w:tcW w:w="727" w:type="dxa"/>
            <w:vAlign w:val="center"/>
          </w:tcPr>
          <w:p>
            <w:pPr>
              <w:widowControl/>
              <w:jc w:val="center"/>
              <w:rPr>
                <w:rFonts w:ascii="宋体" w:hAnsi="宋体" w:cs="宋体"/>
                <w:kern w:val="0"/>
                <w:sz w:val="24"/>
                <w:szCs w:val="24"/>
              </w:rPr>
            </w:pPr>
            <w:r>
              <w:rPr>
                <w:rFonts w:ascii="宋体" w:hAnsi="宋体" w:cs="宋体"/>
                <w:kern w:val="0"/>
                <w:sz w:val="24"/>
                <w:szCs w:val="24"/>
              </w:rPr>
              <w:t>100%</w:t>
            </w:r>
          </w:p>
        </w:tc>
        <w:tc>
          <w:tcPr>
            <w:tcW w:w="700" w:type="dxa"/>
            <w:vAlign w:val="center"/>
          </w:tcPr>
          <w:p>
            <w:pPr>
              <w:widowControl/>
              <w:jc w:val="center"/>
              <w:rPr>
                <w:rFonts w:ascii="宋体" w:cs="宋体"/>
                <w:kern w:val="0"/>
                <w:sz w:val="24"/>
                <w:szCs w:val="24"/>
              </w:rPr>
            </w:pPr>
            <w:r>
              <w:rPr>
                <w:rFonts w:ascii="宋体" w:hAnsi="宋体" w:cs="宋体"/>
                <w:kern w:val="0"/>
                <w:sz w:val="24"/>
                <w:szCs w:val="24"/>
              </w:rPr>
              <w:t>95%</w:t>
            </w:r>
            <w:r>
              <w:rPr>
                <w:rFonts w:hint="eastAsia" w:ascii="宋体" w:hAnsi="宋体" w:cs="宋体"/>
                <w:kern w:val="0"/>
                <w:sz w:val="24"/>
                <w:szCs w:val="24"/>
              </w:rPr>
              <w:t>以上</w:t>
            </w:r>
          </w:p>
        </w:tc>
        <w:tc>
          <w:tcPr>
            <w:tcW w:w="742" w:type="dxa"/>
            <w:vAlign w:val="center"/>
          </w:tcPr>
          <w:p>
            <w:pPr>
              <w:widowControl/>
              <w:jc w:val="center"/>
              <w:rPr>
                <w:rFonts w:ascii="宋体" w:cs="宋体"/>
                <w:kern w:val="0"/>
                <w:sz w:val="24"/>
                <w:szCs w:val="24"/>
              </w:rPr>
            </w:pPr>
            <w:r>
              <w:rPr>
                <w:rFonts w:ascii="宋体" w:hAnsi="宋体" w:cs="宋体"/>
                <w:kern w:val="0"/>
                <w:sz w:val="24"/>
                <w:szCs w:val="24"/>
              </w:rPr>
              <w:t>90%</w:t>
            </w:r>
            <w:r>
              <w:rPr>
                <w:rFonts w:hint="eastAsia" w:ascii="宋体" w:hAnsi="宋体" w:cs="宋体"/>
                <w:kern w:val="0"/>
                <w:sz w:val="24"/>
                <w:szCs w:val="24"/>
              </w:rPr>
              <w:t>以上</w:t>
            </w:r>
          </w:p>
        </w:tc>
        <w:tc>
          <w:tcPr>
            <w:tcW w:w="806" w:type="dxa"/>
            <w:vAlign w:val="center"/>
          </w:tcPr>
          <w:p>
            <w:pPr>
              <w:widowControl/>
              <w:jc w:val="center"/>
              <w:rPr>
                <w:rFonts w:ascii="宋体" w:cs="宋体"/>
                <w:kern w:val="0"/>
                <w:sz w:val="24"/>
                <w:szCs w:val="24"/>
              </w:rPr>
            </w:pPr>
            <w:r>
              <w:rPr>
                <w:rFonts w:ascii="宋体" w:hAnsi="宋体" w:cs="宋体"/>
                <w:kern w:val="0"/>
                <w:sz w:val="24"/>
                <w:szCs w:val="24"/>
              </w:rPr>
              <w:t>90%</w:t>
            </w:r>
            <w:r>
              <w:rPr>
                <w:rFonts w:hint="eastAsia" w:ascii="宋体" w:hAnsi="宋体" w:cs="宋体"/>
                <w:kern w:val="0"/>
                <w:sz w:val="24"/>
                <w:szCs w:val="24"/>
              </w:rPr>
              <w:t>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vAlign w:val="center"/>
          </w:tcPr>
          <w:p>
            <w:pPr>
              <w:widowControl/>
              <w:snapToGrid w:val="0"/>
              <w:spacing w:line="240" w:lineRule="atLeast"/>
              <w:jc w:val="center"/>
              <w:rPr>
                <w:rFonts w:ascii="宋体" w:cs="宋体"/>
                <w:color w:val="000000"/>
                <w:kern w:val="0"/>
                <w:sz w:val="24"/>
                <w:szCs w:val="24"/>
              </w:rPr>
            </w:pPr>
            <w:r>
              <w:rPr>
                <w:rFonts w:hint="eastAsia" w:ascii="宋体" w:hAnsi="宋体" w:cs="宋体"/>
                <w:kern w:val="0"/>
                <w:sz w:val="24"/>
                <w:szCs w:val="24"/>
              </w:rPr>
              <w:t>表彰奖励见义勇为</w:t>
            </w:r>
          </w:p>
        </w:tc>
        <w:tc>
          <w:tcPr>
            <w:tcW w:w="1134" w:type="dxa"/>
            <w:vAlign w:val="center"/>
          </w:tcPr>
          <w:p>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500000</w:t>
            </w:r>
          </w:p>
        </w:tc>
        <w:tc>
          <w:tcPr>
            <w:tcW w:w="1843" w:type="dxa"/>
            <w:vAlign w:val="center"/>
          </w:tcPr>
          <w:p>
            <w:pPr>
              <w:widowControl/>
              <w:snapToGrid w:val="0"/>
              <w:spacing w:line="240" w:lineRule="atLeast"/>
              <w:jc w:val="center"/>
              <w:rPr>
                <w:rFonts w:ascii="宋体" w:cs="宋体"/>
                <w:color w:val="000000"/>
                <w:kern w:val="0"/>
                <w:szCs w:val="21"/>
              </w:rPr>
            </w:pPr>
            <w:r>
              <w:rPr>
                <w:rFonts w:hint="eastAsia" w:ascii="宋体" w:hAnsi="宋体" w:cs="宋体"/>
                <w:kern w:val="0"/>
                <w:szCs w:val="21"/>
              </w:rPr>
              <w:t>对见义勇为先进人员给予奖励</w:t>
            </w:r>
          </w:p>
        </w:tc>
        <w:tc>
          <w:tcPr>
            <w:tcW w:w="1559" w:type="dxa"/>
            <w:vAlign w:val="center"/>
          </w:tcPr>
          <w:p>
            <w:pPr>
              <w:widowControl/>
              <w:snapToGrid w:val="0"/>
              <w:spacing w:line="240" w:lineRule="atLeast"/>
              <w:jc w:val="center"/>
              <w:rPr>
                <w:rFonts w:ascii="宋体" w:cs="宋体"/>
                <w:color w:val="000000"/>
                <w:kern w:val="0"/>
                <w:szCs w:val="21"/>
              </w:rPr>
            </w:pPr>
            <w:r>
              <w:rPr>
                <w:rFonts w:hint="eastAsia" w:ascii="宋体" w:hAnsi="宋体" w:cs="宋体"/>
                <w:kern w:val="0"/>
                <w:szCs w:val="21"/>
              </w:rPr>
              <w:t>倡导见义勇为行为</w:t>
            </w:r>
            <w:r>
              <w:rPr>
                <w:rFonts w:ascii="宋体" w:cs="宋体"/>
                <w:kern w:val="0"/>
                <w:szCs w:val="21"/>
              </w:rPr>
              <w:t>,</w:t>
            </w:r>
            <w:r>
              <w:rPr>
                <w:rFonts w:hint="eastAsia" w:ascii="宋体" w:hAnsi="宋体" w:cs="宋体"/>
                <w:kern w:val="0"/>
                <w:szCs w:val="21"/>
              </w:rPr>
              <w:t>弘扬正气</w:t>
            </w:r>
          </w:p>
        </w:tc>
        <w:tc>
          <w:tcPr>
            <w:tcW w:w="1901" w:type="dxa"/>
            <w:vAlign w:val="center"/>
          </w:tcPr>
          <w:p>
            <w:pPr>
              <w:widowControl/>
              <w:snapToGrid w:val="0"/>
              <w:spacing w:line="240" w:lineRule="atLeast"/>
              <w:jc w:val="center"/>
              <w:rPr>
                <w:rFonts w:ascii="宋体" w:cs="宋体"/>
                <w:color w:val="000000"/>
                <w:kern w:val="0"/>
                <w:szCs w:val="21"/>
              </w:rPr>
            </w:pPr>
            <w:r>
              <w:rPr>
                <w:rFonts w:hint="eastAsia" w:ascii="宋体" w:hAnsi="宋体" w:cs="宋体"/>
                <w:kern w:val="0"/>
                <w:szCs w:val="21"/>
              </w:rPr>
              <w:t>帮扶见义勇为人员覆盖率</w:t>
            </w:r>
          </w:p>
        </w:tc>
        <w:tc>
          <w:tcPr>
            <w:tcW w:w="727" w:type="dxa"/>
            <w:vAlign w:val="center"/>
          </w:tcPr>
          <w:p>
            <w:pPr>
              <w:widowControl/>
              <w:jc w:val="center"/>
              <w:rPr>
                <w:rFonts w:ascii="宋体" w:hAnsi="宋体" w:cs="宋体"/>
                <w:kern w:val="0"/>
                <w:sz w:val="24"/>
                <w:szCs w:val="24"/>
              </w:rPr>
            </w:pPr>
            <w:r>
              <w:rPr>
                <w:rFonts w:ascii="宋体" w:hAnsi="宋体" w:cs="宋体"/>
                <w:kern w:val="0"/>
                <w:sz w:val="24"/>
                <w:szCs w:val="24"/>
              </w:rPr>
              <w:t>100%</w:t>
            </w:r>
          </w:p>
        </w:tc>
        <w:tc>
          <w:tcPr>
            <w:tcW w:w="700" w:type="dxa"/>
            <w:vAlign w:val="center"/>
          </w:tcPr>
          <w:p>
            <w:pPr>
              <w:widowControl/>
              <w:jc w:val="center"/>
              <w:rPr>
                <w:rFonts w:ascii="宋体" w:hAnsi="宋体" w:cs="宋体"/>
                <w:kern w:val="0"/>
                <w:sz w:val="24"/>
                <w:szCs w:val="24"/>
              </w:rPr>
            </w:pPr>
            <w:r>
              <w:rPr>
                <w:rFonts w:ascii="宋体" w:hAnsi="宋体" w:cs="宋体"/>
                <w:kern w:val="0"/>
                <w:sz w:val="24"/>
                <w:szCs w:val="24"/>
              </w:rPr>
              <w:t>95%</w:t>
            </w:r>
            <w:r>
              <w:rPr>
                <w:rFonts w:hint="eastAsia" w:ascii="宋体" w:hAnsi="宋体" w:cs="宋体"/>
                <w:kern w:val="0"/>
                <w:sz w:val="24"/>
                <w:szCs w:val="24"/>
              </w:rPr>
              <w:t>以上</w:t>
            </w:r>
          </w:p>
        </w:tc>
        <w:tc>
          <w:tcPr>
            <w:tcW w:w="742" w:type="dxa"/>
            <w:vAlign w:val="center"/>
          </w:tcPr>
          <w:p>
            <w:pPr>
              <w:widowControl/>
              <w:jc w:val="center"/>
              <w:rPr>
                <w:rFonts w:ascii="宋体" w:hAnsi="宋体" w:cs="宋体"/>
                <w:kern w:val="0"/>
                <w:sz w:val="24"/>
                <w:szCs w:val="24"/>
              </w:rPr>
            </w:pPr>
            <w:r>
              <w:rPr>
                <w:rFonts w:ascii="宋体" w:hAnsi="宋体" w:cs="宋体"/>
                <w:kern w:val="0"/>
                <w:sz w:val="24"/>
                <w:szCs w:val="24"/>
              </w:rPr>
              <w:t>90%</w:t>
            </w:r>
            <w:r>
              <w:rPr>
                <w:rFonts w:hint="eastAsia" w:ascii="宋体" w:hAnsi="宋体" w:cs="宋体"/>
                <w:kern w:val="0"/>
                <w:sz w:val="24"/>
                <w:szCs w:val="24"/>
              </w:rPr>
              <w:t>以上</w:t>
            </w:r>
          </w:p>
        </w:tc>
        <w:tc>
          <w:tcPr>
            <w:tcW w:w="806" w:type="dxa"/>
            <w:vAlign w:val="center"/>
          </w:tcPr>
          <w:p>
            <w:pPr>
              <w:widowControl/>
              <w:jc w:val="center"/>
              <w:rPr>
                <w:rFonts w:ascii="宋体" w:hAnsi="宋体" w:cs="宋体"/>
                <w:kern w:val="0"/>
                <w:sz w:val="24"/>
                <w:szCs w:val="24"/>
              </w:rPr>
            </w:pPr>
            <w:r>
              <w:rPr>
                <w:rFonts w:hint="eastAsia" w:ascii="宋体" w:hAnsi="宋体" w:cs="宋体"/>
                <w:kern w:val="0"/>
                <w:sz w:val="24"/>
                <w:szCs w:val="24"/>
              </w:rPr>
              <w:t>低于</w:t>
            </w:r>
            <w:r>
              <w:rPr>
                <w:rFonts w:ascii="宋体" w:hAnsi="宋体" w:cs="宋体"/>
                <w:kern w:val="0"/>
                <w:sz w:val="24"/>
                <w:szCs w:val="24"/>
              </w:rPr>
              <w:t>90%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vAlign w:val="center"/>
          </w:tcPr>
          <w:p>
            <w:pPr>
              <w:widowControl/>
              <w:snapToGrid w:val="0"/>
              <w:spacing w:line="240" w:lineRule="atLeast"/>
              <w:jc w:val="center"/>
              <w:rPr>
                <w:rFonts w:ascii="宋体" w:cs="宋体"/>
                <w:color w:val="000000"/>
                <w:kern w:val="0"/>
                <w:sz w:val="24"/>
                <w:szCs w:val="24"/>
              </w:rPr>
            </w:pPr>
            <w:r>
              <w:rPr>
                <w:rFonts w:hint="eastAsia" w:ascii="宋体" w:hAnsi="宋体" w:cs="宋体"/>
                <w:kern w:val="0"/>
                <w:sz w:val="24"/>
                <w:szCs w:val="24"/>
              </w:rPr>
              <w:t>投保精神病人责任险</w:t>
            </w:r>
          </w:p>
        </w:tc>
        <w:tc>
          <w:tcPr>
            <w:tcW w:w="1134" w:type="dxa"/>
            <w:vAlign w:val="center"/>
          </w:tcPr>
          <w:p>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482200</w:t>
            </w:r>
          </w:p>
        </w:tc>
        <w:tc>
          <w:tcPr>
            <w:tcW w:w="1843" w:type="dxa"/>
            <w:vAlign w:val="center"/>
          </w:tcPr>
          <w:p>
            <w:pPr>
              <w:widowControl/>
              <w:snapToGrid w:val="0"/>
              <w:spacing w:line="240" w:lineRule="atLeast"/>
              <w:jc w:val="center"/>
              <w:rPr>
                <w:rFonts w:ascii="宋体" w:cs="宋体"/>
                <w:color w:val="000000"/>
                <w:kern w:val="0"/>
                <w:szCs w:val="21"/>
              </w:rPr>
            </w:pPr>
            <w:r>
              <w:rPr>
                <w:rFonts w:hint="eastAsia" w:ascii="宋体" w:hAnsi="宋体" w:cs="宋体"/>
                <w:kern w:val="0"/>
                <w:szCs w:val="21"/>
              </w:rPr>
              <w:t>对全县精神病人全部投保责任险</w:t>
            </w:r>
          </w:p>
        </w:tc>
        <w:tc>
          <w:tcPr>
            <w:tcW w:w="1559" w:type="dxa"/>
            <w:vAlign w:val="center"/>
          </w:tcPr>
          <w:p>
            <w:pPr>
              <w:widowControl/>
              <w:snapToGrid w:val="0"/>
              <w:spacing w:line="240" w:lineRule="atLeast"/>
              <w:jc w:val="center"/>
              <w:rPr>
                <w:rFonts w:ascii="宋体" w:cs="宋体"/>
                <w:color w:val="000000"/>
                <w:kern w:val="0"/>
                <w:szCs w:val="21"/>
              </w:rPr>
            </w:pPr>
            <w:r>
              <w:rPr>
                <w:rFonts w:hint="eastAsia" w:ascii="宋体" w:hAnsi="宋体" w:cs="宋体"/>
                <w:kern w:val="0"/>
                <w:szCs w:val="21"/>
              </w:rPr>
              <w:t>确保对精神病人看护到位</w:t>
            </w:r>
          </w:p>
        </w:tc>
        <w:tc>
          <w:tcPr>
            <w:tcW w:w="1901" w:type="dxa"/>
            <w:vAlign w:val="center"/>
          </w:tcPr>
          <w:p>
            <w:pPr>
              <w:widowControl/>
              <w:snapToGrid w:val="0"/>
              <w:spacing w:line="240" w:lineRule="atLeast"/>
              <w:jc w:val="center"/>
              <w:rPr>
                <w:rFonts w:ascii="宋体" w:cs="宋体"/>
                <w:color w:val="000000"/>
                <w:kern w:val="0"/>
                <w:szCs w:val="21"/>
              </w:rPr>
            </w:pPr>
            <w:r>
              <w:rPr>
                <w:rFonts w:hint="eastAsia" w:ascii="宋体" w:hAnsi="宋体" w:cs="宋体"/>
                <w:kern w:val="0"/>
                <w:szCs w:val="21"/>
              </w:rPr>
              <w:t>精神病人责任险投保率覆盖率</w:t>
            </w:r>
          </w:p>
        </w:tc>
        <w:tc>
          <w:tcPr>
            <w:tcW w:w="727" w:type="dxa"/>
            <w:vAlign w:val="center"/>
          </w:tcPr>
          <w:p>
            <w:pPr>
              <w:widowControl/>
              <w:jc w:val="center"/>
              <w:rPr>
                <w:rFonts w:ascii="宋体" w:hAnsi="宋体" w:cs="宋体"/>
                <w:kern w:val="0"/>
                <w:sz w:val="24"/>
                <w:szCs w:val="24"/>
              </w:rPr>
            </w:pPr>
            <w:r>
              <w:rPr>
                <w:rFonts w:ascii="宋体" w:hAnsi="宋体" w:cs="宋体"/>
                <w:kern w:val="0"/>
                <w:sz w:val="24"/>
                <w:szCs w:val="24"/>
              </w:rPr>
              <w:t>100%</w:t>
            </w:r>
          </w:p>
        </w:tc>
        <w:tc>
          <w:tcPr>
            <w:tcW w:w="700" w:type="dxa"/>
            <w:vAlign w:val="center"/>
          </w:tcPr>
          <w:p>
            <w:pPr>
              <w:widowControl/>
              <w:jc w:val="center"/>
              <w:rPr>
                <w:rFonts w:ascii="宋体" w:cs="宋体"/>
                <w:kern w:val="0"/>
                <w:sz w:val="24"/>
                <w:szCs w:val="24"/>
              </w:rPr>
            </w:pPr>
            <w:r>
              <w:rPr>
                <w:rFonts w:ascii="宋体" w:hAnsi="宋体" w:cs="宋体"/>
                <w:kern w:val="0"/>
                <w:sz w:val="24"/>
                <w:szCs w:val="24"/>
              </w:rPr>
              <w:t>95%</w:t>
            </w:r>
            <w:r>
              <w:rPr>
                <w:rFonts w:hint="eastAsia" w:ascii="宋体" w:hAnsi="宋体" w:cs="宋体"/>
                <w:kern w:val="0"/>
                <w:sz w:val="24"/>
                <w:szCs w:val="24"/>
              </w:rPr>
              <w:t>以上</w:t>
            </w:r>
          </w:p>
        </w:tc>
        <w:tc>
          <w:tcPr>
            <w:tcW w:w="742" w:type="dxa"/>
            <w:vAlign w:val="center"/>
          </w:tcPr>
          <w:p>
            <w:pPr>
              <w:widowControl/>
              <w:jc w:val="center"/>
              <w:rPr>
                <w:rFonts w:ascii="宋体" w:cs="宋体"/>
                <w:kern w:val="0"/>
                <w:sz w:val="24"/>
                <w:szCs w:val="24"/>
              </w:rPr>
            </w:pPr>
            <w:r>
              <w:rPr>
                <w:rFonts w:ascii="宋体" w:hAnsi="宋体" w:cs="宋体"/>
                <w:kern w:val="0"/>
                <w:sz w:val="24"/>
                <w:szCs w:val="24"/>
              </w:rPr>
              <w:t>9</w:t>
            </w:r>
            <w:r>
              <w:rPr>
                <w:rFonts w:ascii="宋体" w:cs="宋体"/>
                <w:kern w:val="0"/>
                <w:sz w:val="24"/>
                <w:szCs w:val="24"/>
              </w:rPr>
              <w:t>0</w:t>
            </w:r>
            <w:r>
              <w:rPr>
                <w:rFonts w:ascii="宋体" w:hAnsi="宋体" w:cs="宋体"/>
                <w:kern w:val="0"/>
                <w:sz w:val="24"/>
                <w:szCs w:val="24"/>
              </w:rPr>
              <w:t>%</w:t>
            </w:r>
            <w:r>
              <w:rPr>
                <w:rFonts w:hint="eastAsia" w:ascii="宋体" w:hAnsi="宋体" w:cs="宋体"/>
                <w:kern w:val="0"/>
                <w:sz w:val="24"/>
                <w:szCs w:val="24"/>
              </w:rPr>
              <w:t>以上</w:t>
            </w:r>
          </w:p>
        </w:tc>
        <w:tc>
          <w:tcPr>
            <w:tcW w:w="806" w:type="dxa"/>
            <w:vAlign w:val="center"/>
          </w:tcPr>
          <w:p>
            <w:pPr>
              <w:widowControl/>
              <w:jc w:val="center"/>
              <w:rPr>
                <w:rFonts w:ascii="宋体" w:cs="宋体"/>
                <w:kern w:val="0"/>
                <w:sz w:val="24"/>
                <w:szCs w:val="24"/>
              </w:rPr>
            </w:pPr>
            <w:r>
              <w:rPr>
                <w:rFonts w:ascii="宋体" w:hAnsi="宋体" w:cs="宋体"/>
                <w:kern w:val="0"/>
                <w:sz w:val="24"/>
                <w:szCs w:val="24"/>
              </w:rPr>
              <w:t>90%</w:t>
            </w:r>
            <w:r>
              <w:rPr>
                <w:rFonts w:hint="eastAsia" w:ascii="宋体" w:hAnsi="宋体" w:cs="宋体"/>
                <w:kern w:val="0"/>
                <w:sz w:val="24"/>
                <w:szCs w:val="24"/>
              </w:rPr>
              <w:t>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vAlign w:val="center"/>
          </w:tcPr>
          <w:p>
            <w:pPr>
              <w:widowControl/>
              <w:snapToGrid w:val="0"/>
              <w:spacing w:line="240" w:lineRule="atLeast"/>
              <w:jc w:val="center"/>
              <w:rPr>
                <w:rFonts w:ascii="宋体" w:cs="宋体"/>
                <w:kern w:val="0"/>
                <w:sz w:val="24"/>
                <w:szCs w:val="24"/>
              </w:rPr>
            </w:pPr>
            <w:r>
              <w:rPr>
                <w:rFonts w:hint="eastAsia" w:ascii="宋体" w:hAnsi="宋体" w:cs="宋体"/>
                <w:kern w:val="0"/>
                <w:sz w:val="24"/>
                <w:szCs w:val="24"/>
              </w:rPr>
              <w:t>推进综治视联网建设</w:t>
            </w:r>
          </w:p>
        </w:tc>
        <w:tc>
          <w:tcPr>
            <w:tcW w:w="1134" w:type="dxa"/>
            <w:vAlign w:val="center"/>
          </w:tcPr>
          <w:p>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773700</w:t>
            </w:r>
          </w:p>
        </w:tc>
        <w:tc>
          <w:tcPr>
            <w:tcW w:w="1843" w:type="dxa"/>
            <w:vAlign w:val="center"/>
          </w:tcPr>
          <w:p>
            <w:pPr>
              <w:widowControl/>
              <w:snapToGrid w:val="0"/>
              <w:spacing w:line="240" w:lineRule="atLeast"/>
              <w:jc w:val="center"/>
              <w:rPr>
                <w:rFonts w:ascii="宋体" w:cs="宋体"/>
                <w:kern w:val="0"/>
                <w:szCs w:val="21"/>
              </w:rPr>
            </w:pPr>
            <w:r>
              <w:rPr>
                <w:rFonts w:hint="eastAsia" w:ascii="宋体" w:hAnsi="宋体" w:cs="宋体"/>
                <w:kern w:val="0"/>
                <w:szCs w:val="21"/>
              </w:rPr>
              <w:t>推进综治视联网建设</w:t>
            </w:r>
          </w:p>
        </w:tc>
        <w:tc>
          <w:tcPr>
            <w:tcW w:w="1559" w:type="dxa"/>
            <w:vAlign w:val="center"/>
          </w:tcPr>
          <w:p>
            <w:pPr>
              <w:widowControl/>
              <w:snapToGrid w:val="0"/>
              <w:spacing w:line="240" w:lineRule="atLeast"/>
              <w:jc w:val="center"/>
              <w:rPr>
                <w:rFonts w:ascii="宋体" w:cs="宋体"/>
                <w:kern w:val="0"/>
                <w:szCs w:val="21"/>
              </w:rPr>
            </w:pPr>
            <w:r>
              <w:rPr>
                <w:rFonts w:hint="eastAsia" w:ascii="宋体" w:hAnsi="宋体" w:cs="宋体"/>
                <w:kern w:val="0"/>
                <w:szCs w:val="21"/>
              </w:rPr>
              <w:t>年内按照上级要求安装到位</w:t>
            </w:r>
          </w:p>
        </w:tc>
        <w:tc>
          <w:tcPr>
            <w:tcW w:w="1901" w:type="dxa"/>
            <w:vAlign w:val="center"/>
          </w:tcPr>
          <w:p>
            <w:pPr>
              <w:widowControl/>
              <w:snapToGrid w:val="0"/>
              <w:spacing w:line="240" w:lineRule="atLeast"/>
              <w:jc w:val="center"/>
              <w:rPr>
                <w:rFonts w:ascii="宋体" w:cs="宋体"/>
                <w:kern w:val="0"/>
                <w:szCs w:val="21"/>
              </w:rPr>
            </w:pPr>
            <w:r>
              <w:rPr>
                <w:rFonts w:hint="eastAsia" w:ascii="宋体" w:hAnsi="宋体" w:cs="宋体"/>
                <w:kern w:val="0"/>
                <w:szCs w:val="21"/>
              </w:rPr>
              <w:t>综治视联网设备安全运行率</w:t>
            </w:r>
          </w:p>
        </w:tc>
        <w:tc>
          <w:tcPr>
            <w:tcW w:w="727" w:type="dxa"/>
            <w:vAlign w:val="center"/>
          </w:tcPr>
          <w:p>
            <w:pPr>
              <w:widowControl/>
              <w:jc w:val="center"/>
              <w:rPr>
                <w:rFonts w:ascii="宋体" w:cs="宋体"/>
                <w:kern w:val="0"/>
                <w:sz w:val="24"/>
                <w:szCs w:val="24"/>
              </w:rPr>
            </w:pPr>
            <w:r>
              <w:rPr>
                <w:rFonts w:ascii="宋体" w:hAnsi="宋体" w:cs="宋体"/>
                <w:kern w:val="0"/>
                <w:sz w:val="24"/>
                <w:szCs w:val="24"/>
              </w:rPr>
              <w:t>98%</w:t>
            </w:r>
            <w:r>
              <w:rPr>
                <w:rFonts w:hint="eastAsia" w:ascii="宋体" w:hAnsi="宋体" w:cs="宋体"/>
                <w:kern w:val="0"/>
                <w:sz w:val="24"/>
                <w:szCs w:val="24"/>
              </w:rPr>
              <w:t>以上</w:t>
            </w:r>
          </w:p>
        </w:tc>
        <w:tc>
          <w:tcPr>
            <w:tcW w:w="700" w:type="dxa"/>
            <w:vAlign w:val="center"/>
          </w:tcPr>
          <w:p>
            <w:pPr>
              <w:widowControl/>
              <w:jc w:val="center"/>
              <w:rPr>
                <w:rFonts w:ascii="宋体" w:cs="宋体"/>
                <w:kern w:val="0"/>
                <w:sz w:val="24"/>
                <w:szCs w:val="24"/>
              </w:rPr>
            </w:pPr>
            <w:r>
              <w:rPr>
                <w:rFonts w:ascii="宋体" w:hAnsi="宋体" w:cs="宋体"/>
                <w:kern w:val="0"/>
                <w:sz w:val="24"/>
                <w:szCs w:val="24"/>
              </w:rPr>
              <w:t>95%</w:t>
            </w:r>
            <w:r>
              <w:rPr>
                <w:rFonts w:hint="eastAsia" w:ascii="宋体" w:hAnsi="宋体" w:cs="宋体"/>
                <w:kern w:val="0"/>
                <w:sz w:val="24"/>
                <w:szCs w:val="24"/>
              </w:rPr>
              <w:t>以上</w:t>
            </w:r>
          </w:p>
        </w:tc>
        <w:tc>
          <w:tcPr>
            <w:tcW w:w="742" w:type="dxa"/>
            <w:vAlign w:val="center"/>
          </w:tcPr>
          <w:p>
            <w:pPr>
              <w:widowControl/>
              <w:jc w:val="center"/>
              <w:rPr>
                <w:rFonts w:ascii="宋体" w:cs="宋体"/>
                <w:kern w:val="0"/>
                <w:sz w:val="24"/>
                <w:szCs w:val="24"/>
              </w:rPr>
            </w:pPr>
            <w:r>
              <w:rPr>
                <w:rFonts w:ascii="宋体" w:hAnsi="宋体" w:cs="宋体"/>
                <w:kern w:val="0"/>
                <w:sz w:val="24"/>
                <w:szCs w:val="24"/>
              </w:rPr>
              <w:t>9</w:t>
            </w:r>
            <w:r>
              <w:rPr>
                <w:rFonts w:ascii="宋体" w:cs="宋体"/>
                <w:kern w:val="0"/>
                <w:sz w:val="24"/>
                <w:szCs w:val="24"/>
              </w:rPr>
              <w:t>0</w:t>
            </w:r>
            <w:r>
              <w:rPr>
                <w:rFonts w:ascii="宋体" w:hAnsi="宋体" w:cs="宋体"/>
                <w:kern w:val="0"/>
                <w:sz w:val="24"/>
                <w:szCs w:val="24"/>
              </w:rPr>
              <w:t>%</w:t>
            </w:r>
            <w:r>
              <w:rPr>
                <w:rFonts w:hint="eastAsia" w:ascii="宋体" w:hAnsi="宋体" w:cs="宋体"/>
                <w:kern w:val="0"/>
                <w:sz w:val="24"/>
                <w:szCs w:val="24"/>
              </w:rPr>
              <w:t>以上</w:t>
            </w:r>
          </w:p>
        </w:tc>
        <w:tc>
          <w:tcPr>
            <w:tcW w:w="806" w:type="dxa"/>
            <w:vAlign w:val="center"/>
          </w:tcPr>
          <w:p>
            <w:pPr>
              <w:widowControl/>
              <w:jc w:val="center"/>
              <w:rPr>
                <w:rFonts w:ascii="宋体" w:cs="宋体"/>
                <w:kern w:val="0"/>
                <w:sz w:val="24"/>
                <w:szCs w:val="24"/>
              </w:rPr>
            </w:pPr>
            <w:r>
              <w:rPr>
                <w:rFonts w:ascii="宋体" w:hAnsi="宋体" w:cs="宋体"/>
                <w:kern w:val="0"/>
                <w:sz w:val="24"/>
                <w:szCs w:val="24"/>
              </w:rPr>
              <w:t>90%</w:t>
            </w:r>
            <w:r>
              <w:rPr>
                <w:rFonts w:hint="eastAsia" w:ascii="宋体" w:hAnsi="宋体" w:cs="宋体"/>
                <w:kern w:val="0"/>
                <w:sz w:val="24"/>
                <w:szCs w:val="24"/>
              </w:rPr>
              <w:t>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vAlign w:val="center"/>
          </w:tcPr>
          <w:p>
            <w:pPr>
              <w:widowControl/>
              <w:snapToGrid w:val="0"/>
              <w:spacing w:line="240" w:lineRule="atLeast"/>
              <w:jc w:val="center"/>
              <w:rPr>
                <w:rFonts w:ascii="宋体" w:hAnsi="宋体" w:cs="宋体"/>
                <w:kern w:val="0"/>
                <w:sz w:val="24"/>
                <w:szCs w:val="24"/>
              </w:rPr>
            </w:pPr>
            <w:r>
              <w:rPr>
                <w:rFonts w:hint="eastAsia" w:ascii="宋体" w:hAnsi="宋体" w:cs="宋体"/>
                <w:kern w:val="0"/>
                <w:sz w:val="24"/>
                <w:szCs w:val="24"/>
              </w:rPr>
              <w:t>开展铁路护路工作</w:t>
            </w:r>
          </w:p>
        </w:tc>
        <w:tc>
          <w:tcPr>
            <w:tcW w:w="1134" w:type="dxa"/>
            <w:vAlign w:val="center"/>
          </w:tcPr>
          <w:p>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134872</w:t>
            </w:r>
          </w:p>
        </w:tc>
        <w:tc>
          <w:tcPr>
            <w:tcW w:w="1843" w:type="dxa"/>
            <w:vAlign w:val="center"/>
          </w:tcPr>
          <w:p>
            <w:pPr>
              <w:widowControl/>
              <w:snapToGrid w:val="0"/>
              <w:spacing w:line="240" w:lineRule="atLeast"/>
              <w:jc w:val="center"/>
              <w:rPr>
                <w:rFonts w:ascii="宋体" w:hAnsi="宋体" w:cs="宋体"/>
                <w:kern w:val="0"/>
                <w:szCs w:val="21"/>
              </w:rPr>
            </w:pPr>
            <w:r>
              <w:rPr>
                <w:rFonts w:hint="eastAsia" w:ascii="宋体" w:hAnsi="宋体" w:cs="宋体"/>
                <w:kern w:val="0"/>
                <w:szCs w:val="21"/>
              </w:rPr>
              <w:t>组织日常铁路沿线护路和特殊时期护路</w:t>
            </w:r>
          </w:p>
        </w:tc>
        <w:tc>
          <w:tcPr>
            <w:tcW w:w="1559" w:type="dxa"/>
            <w:vAlign w:val="center"/>
          </w:tcPr>
          <w:p>
            <w:pPr>
              <w:widowControl/>
              <w:snapToGrid w:val="0"/>
              <w:spacing w:line="240" w:lineRule="atLeast"/>
              <w:jc w:val="center"/>
              <w:rPr>
                <w:rFonts w:ascii="宋体" w:hAnsi="宋体" w:cs="宋体"/>
                <w:kern w:val="0"/>
                <w:szCs w:val="21"/>
              </w:rPr>
            </w:pPr>
            <w:r>
              <w:rPr>
                <w:rFonts w:hint="eastAsia" w:ascii="宋体" w:hAnsi="宋体" w:cs="宋体"/>
                <w:kern w:val="0"/>
                <w:szCs w:val="21"/>
              </w:rPr>
              <w:t>开展铁路护路,确保安全畅通</w:t>
            </w:r>
          </w:p>
        </w:tc>
        <w:tc>
          <w:tcPr>
            <w:tcW w:w="1901" w:type="dxa"/>
            <w:vAlign w:val="center"/>
          </w:tcPr>
          <w:p>
            <w:pPr>
              <w:jc w:val="center"/>
              <w:rPr>
                <w:rFonts w:ascii="宋体" w:cs="宋体"/>
                <w:sz w:val="18"/>
                <w:szCs w:val="18"/>
              </w:rPr>
            </w:pPr>
            <w:r>
              <w:rPr>
                <w:rFonts w:hint="eastAsia"/>
                <w:sz w:val="18"/>
                <w:szCs w:val="18"/>
              </w:rPr>
              <w:t>完成的安保任务占任务总数的比率</w:t>
            </w:r>
          </w:p>
        </w:tc>
        <w:tc>
          <w:tcPr>
            <w:tcW w:w="727" w:type="dxa"/>
            <w:vAlign w:val="center"/>
          </w:tcPr>
          <w:p>
            <w:pPr>
              <w:widowControl/>
              <w:jc w:val="center"/>
              <w:rPr>
                <w:rFonts w:ascii="宋体" w:hAnsi="宋体" w:cs="宋体"/>
                <w:kern w:val="0"/>
                <w:sz w:val="24"/>
                <w:szCs w:val="24"/>
              </w:rPr>
            </w:pPr>
            <w:r>
              <w:rPr>
                <w:rFonts w:ascii="宋体" w:hAnsi="宋体" w:cs="宋体"/>
                <w:kern w:val="0"/>
                <w:sz w:val="24"/>
                <w:szCs w:val="24"/>
              </w:rPr>
              <w:t>100%</w:t>
            </w:r>
          </w:p>
        </w:tc>
        <w:tc>
          <w:tcPr>
            <w:tcW w:w="700" w:type="dxa"/>
            <w:vAlign w:val="center"/>
          </w:tcPr>
          <w:p>
            <w:pPr>
              <w:widowControl/>
              <w:jc w:val="center"/>
              <w:rPr>
                <w:rFonts w:ascii="宋体" w:cs="宋体"/>
                <w:kern w:val="0"/>
                <w:sz w:val="24"/>
                <w:szCs w:val="24"/>
              </w:rPr>
            </w:pPr>
            <w:r>
              <w:rPr>
                <w:rFonts w:ascii="宋体" w:hAnsi="宋体" w:cs="宋体"/>
                <w:kern w:val="0"/>
                <w:sz w:val="24"/>
                <w:szCs w:val="24"/>
              </w:rPr>
              <w:t>95%</w:t>
            </w:r>
            <w:r>
              <w:rPr>
                <w:rFonts w:hint="eastAsia" w:ascii="宋体" w:hAnsi="宋体" w:cs="宋体"/>
                <w:kern w:val="0"/>
                <w:sz w:val="24"/>
                <w:szCs w:val="24"/>
              </w:rPr>
              <w:t>以上</w:t>
            </w:r>
          </w:p>
        </w:tc>
        <w:tc>
          <w:tcPr>
            <w:tcW w:w="742" w:type="dxa"/>
            <w:vAlign w:val="center"/>
          </w:tcPr>
          <w:p>
            <w:pPr>
              <w:widowControl/>
              <w:jc w:val="center"/>
              <w:rPr>
                <w:rFonts w:ascii="宋体" w:cs="宋体"/>
                <w:kern w:val="0"/>
                <w:sz w:val="24"/>
                <w:szCs w:val="24"/>
              </w:rPr>
            </w:pPr>
            <w:r>
              <w:rPr>
                <w:rFonts w:ascii="宋体" w:hAnsi="宋体" w:cs="宋体"/>
                <w:kern w:val="0"/>
                <w:sz w:val="24"/>
                <w:szCs w:val="24"/>
              </w:rPr>
              <w:t>90%</w:t>
            </w:r>
            <w:r>
              <w:rPr>
                <w:rFonts w:hint="eastAsia" w:ascii="宋体" w:hAnsi="宋体" w:cs="宋体"/>
                <w:kern w:val="0"/>
                <w:sz w:val="24"/>
                <w:szCs w:val="24"/>
              </w:rPr>
              <w:t>以上</w:t>
            </w:r>
          </w:p>
        </w:tc>
        <w:tc>
          <w:tcPr>
            <w:tcW w:w="806" w:type="dxa"/>
            <w:vAlign w:val="center"/>
          </w:tcPr>
          <w:p>
            <w:pPr>
              <w:widowControl/>
              <w:jc w:val="center"/>
              <w:rPr>
                <w:rFonts w:ascii="宋体" w:cs="宋体"/>
                <w:kern w:val="0"/>
                <w:sz w:val="24"/>
                <w:szCs w:val="24"/>
              </w:rPr>
            </w:pPr>
            <w:r>
              <w:rPr>
                <w:rFonts w:ascii="宋体" w:hAnsi="宋体" w:cs="宋体"/>
                <w:kern w:val="0"/>
                <w:sz w:val="24"/>
                <w:szCs w:val="24"/>
              </w:rPr>
              <w:t>90%</w:t>
            </w:r>
            <w:r>
              <w:rPr>
                <w:rFonts w:hint="eastAsia" w:ascii="宋体" w:hAnsi="宋体" w:cs="宋体"/>
                <w:kern w:val="0"/>
                <w:sz w:val="24"/>
                <w:szCs w:val="24"/>
              </w:rPr>
              <w:t>以下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701" w:type="dxa"/>
            <w:vAlign w:val="center"/>
          </w:tcPr>
          <w:p>
            <w:pPr>
              <w:widowControl/>
              <w:snapToGrid w:val="0"/>
              <w:spacing w:line="240" w:lineRule="atLeast"/>
              <w:jc w:val="center"/>
              <w:rPr>
                <w:rFonts w:ascii="宋体" w:hAnsi="宋体" w:cs="宋体"/>
                <w:kern w:val="0"/>
                <w:sz w:val="24"/>
                <w:szCs w:val="24"/>
              </w:rPr>
            </w:pPr>
            <w:r>
              <w:rPr>
                <w:rFonts w:hint="eastAsia" w:ascii="宋体" w:hAnsi="宋体" w:cs="宋体"/>
                <w:kern w:val="0"/>
                <w:sz w:val="24"/>
                <w:szCs w:val="24"/>
              </w:rPr>
              <w:t>组织开展扫黑除恶斗争</w:t>
            </w:r>
          </w:p>
        </w:tc>
        <w:tc>
          <w:tcPr>
            <w:tcW w:w="1134" w:type="dxa"/>
            <w:vAlign w:val="center"/>
          </w:tcPr>
          <w:p>
            <w:pPr>
              <w:widowControl/>
              <w:snapToGrid w:val="0"/>
              <w:spacing w:line="240" w:lineRule="atLeast"/>
              <w:jc w:val="center"/>
              <w:rPr>
                <w:rFonts w:ascii="宋体" w:cs="宋体"/>
                <w:color w:val="000000"/>
                <w:kern w:val="0"/>
                <w:sz w:val="24"/>
                <w:szCs w:val="24"/>
              </w:rPr>
            </w:pPr>
            <w:r>
              <w:rPr>
                <w:rFonts w:ascii="宋体" w:cs="宋体"/>
                <w:color w:val="000000"/>
                <w:kern w:val="0"/>
                <w:sz w:val="24"/>
                <w:szCs w:val="24"/>
              </w:rPr>
              <w:t>85000</w:t>
            </w:r>
          </w:p>
        </w:tc>
        <w:tc>
          <w:tcPr>
            <w:tcW w:w="1843" w:type="dxa"/>
            <w:vAlign w:val="center"/>
          </w:tcPr>
          <w:p>
            <w:pPr>
              <w:widowControl/>
              <w:snapToGrid w:val="0"/>
              <w:spacing w:line="240" w:lineRule="atLeast"/>
              <w:jc w:val="center"/>
              <w:rPr>
                <w:rFonts w:ascii="宋体" w:hAnsi="宋体" w:cs="宋体"/>
                <w:kern w:val="0"/>
                <w:szCs w:val="21"/>
              </w:rPr>
            </w:pPr>
            <w:r>
              <w:rPr>
                <w:rFonts w:hint="eastAsia" w:ascii="宋体" w:hAnsi="宋体" w:cs="宋体"/>
                <w:kern w:val="0"/>
                <w:szCs w:val="21"/>
              </w:rPr>
              <w:t>组织全县各级各部门开展扫黑除恶斗争</w:t>
            </w:r>
          </w:p>
        </w:tc>
        <w:tc>
          <w:tcPr>
            <w:tcW w:w="1559" w:type="dxa"/>
            <w:vAlign w:val="center"/>
          </w:tcPr>
          <w:p>
            <w:pPr>
              <w:widowControl/>
              <w:snapToGrid w:val="0"/>
              <w:spacing w:line="240" w:lineRule="atLeast"/>
              <w:jc w:val="center"/>
              <w:rPr>
                <w:rFonts w:ascii="宋体" w:hAnsi="宋体" w:cs="宋体"/>
                <w:kern w:val="0"/>
                <w:szCs w:val="21"/>
              </w:rPr>
            </w:pPr>
            <w:r>
              <w:rPr>
                <w:rFonts w:hint="eastAsia" w:ascii="宋体" w:hAnsi="宋体" w:cs="宋体"/>
                <w:kern w:val="0"/>
                <w:szCs w:val="21"/>
              </w:rPr>
              <w:t>打击黑恶势力,维护全县社会政治稳定</w:t>
            </w:r>
          </w:p>
        </w:tc>
        <w:tc>
          <w:tcPr>
            <w:tcW w:w="1901" w:type="dxa"/>
            <w:vAlign w:val="center"/>
          </w:tcPr>
          <w:p>
            <w:pPr>
              <w:jc w:val="center"/>
              <w:rPr>
                <w:sz w:val="18"/>
                <w:szCs w:val="18"/>
              </w:rPr>
            </w:pPr>
            <w:r>
              <w:rPr>
                <w:rFonts w:hint="eastAsia"/>
                <w:sz w:val="18"/>
                <w:szCs w:val="18"/>
              </w:rPr>
              <w:t>受调查群众满意率</w:t>
            </w:r>
          </w:p>
        </w:tc>
        <w:tc>
          <w:tcPr>
            <w:tcW w:w="727" w:type="dxa"/>
            <w:vAlign w:val="center"/>
          </w:tcPr>
          <w:p>
            <w:pPr>
              <w:widowControl/>
              <w:jc w:val="center"/>
              <w:rPr>
                <w:rFonts w:ascii="宋体" w:hAnsi="宋体" w:cs="宋体"/>
                <w:kern w:val="0"/>
                <w:sz w:val="24"/>
                <w:szCs w:val="24"/>
              </w:rPr>
            </w:pPr>
            <w:r>
              <w:rPr>
                <w:rFonts w:hint="eastAsia" w:ascii="宋体" w:hAnsi="宋体" w:cs="宋体"/>
                <w:kern w:val="0"/>
                <w:sz w:val="24"/>
                <w:szCs w:val="24"/>
              </w:rPr>
              <w:t>95%以上</w:t>
            </w:r>
          </w:p>
        </w:tc>
        <w:tc>
          <w:tcPr>
            <w:tcW w:w="700" w:type="dxa"/>
            <w:vAlign w:val="center"/>
          </w:tcPr>
          <w:p>
            <w:pPr>
              <w:widowControl/>
              <w:jc w:val="center"/>
              <w:rPr>
                <w:rFonts w:ascii="宋体" w:hAnsi="宋体" w:cs="宋体"/>
                <w:kern w:val="0"/>
                <w:sz w:val="24"/>
                <w:szCs w:val="24"/>
              </w:rPr>
            </w:pPr>
            <w:r>
              <w:rPr>
                <w:rFonts w:hint="eastAsia" w:ascii="宋体" w:hAnsi="宋体" w:cs="宋体"/>
                <w:kern w:val="0"/>
                <w:sz w:val="24"/>
                <w:szCs w:val="24"/>
              </w:rPr>
              <w:t>90%以上</w:t>
            </w:r>
          </w:p>
        </w:tc>
        <w:tc>
          <w:tcPr>
            <w:tcW w:w="742" w:type="dxa"/>
            <w:vAlign w:val="center"/>
          </w:tcPr>
          <w:p>
            <w:pPr>
              <w:widowControl/>
              <w:jc w:val="center"/>
              <w:rPr>
                <w:rFonts w:ascii="宋体" w:hAnsi="宋体" w:cs="宋体"/>
                <w:kern w:val="0"/>
                <w:sz w:val="24"/>
                <w:szCs w:val="24"/>
              </w:rPr>
            </w:pPr>
            <w:r>
              <w:rPr>
                <w:rFonts w:hint="eastAsia" w:ascii="宋体" w:hAnsi="宋体" w:cs="宋体"/>
                <w:kern w:val="0"/>
                <w:sz w:val="24"/>
                <w:szCs w:val="24"/>
              </w:rPr>
              <w:t>80%以上</w:t>
            </w:r>
          </w:p>
        </w:tc>
        <w:tc>
          <w:tcPr>
            <w:tcW w:w="806" w:type="dxa"/>
            <w:vAlign w:val="center"/>
          </w:tcPr>
          <w:p>
            <w:pPr>
              <w:widowControl/>
              <w:jc w:val="center"/>
              <w:rPr>
                <w:rFonts w:ascii="宋体" w:hAnsi="宋体" w:cs="宋体"/>
                <w:kern w:val="0"/>
                <w:sz w:val="24"/>
                <w:szCs w:val="24"/>
              </w:rPr>
            </w:pPr>
            <w:r>
              <w:rPr>
                <w:rFonts w:hint="eastAsia" w:ascii="宋体" w:hAnsi="宋体" w:cs="宋体"/>
                <w:kern w:val="0"/>
                <w:sz w:val="24"/>
                <w:szCs w:val="24"/>
              </w:rPr>
              <w:t>80%以下</w:t>
            </w:r>
          </w:p>
        </w:tc>
      </w:tr>
    </w:tbl>
    <w:p>
      <w:pPr>
        <w:autoSpaceDE w:val="0"/>
        <w:autoSpaceDN w:val="0"/>
        <w:adjustRightInd w:val="0"/>
        <w:ind w:firstLine="960" w:firstLineChars="300"/>
        <w:jc w:val="left"/>
        <w:rPr>
          <w:rFonts w:ascii="黑体" w:hAnsi="黑体" w:eastAsia="黑体" w:cs="Times New Roman"/>
          <w:sz w:val="32"/>
          <w:szCs w:val="32"/>
        </w:rPr>
      </w:pP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2" w:name="_Toc471398468"/>
    </w:p>
    <w:p>
      <w:pPr>
        <w:ind w:firstLine="960" w:firstLineChars="300"/>
        <w:outlineLvl w:val="0"/>
        <w:rPr>
          <w:rFonts w:ascii="Times New Roman" w:hAnsi="Times New Roman" w:eastAsia="仿宋" w:cs="Times New Roman"/>
          <w:sz w:val="32"/>
          <w:szCs w:val="24"/>
        </w:rPr>
      </w:pPr>
      <w:r>
        <w:rPr>
          <w:rFonts w:ascii="Times New Roman" w:hAnsi="Times New Roman" w:eastAsia="仿宋" w:cs="Times New Roman"/>
          <w:sz w:val="32"/>
          <w:szCs w:val="24"/>
        </w:rPr>
        <w:t>2020</w:t>
      </w:r>
      <w:r>
        <w:rPr>
          <w:rFonts w:hint="eastAsia" w:ascii="Times New Roman" w:hAnsi="Times New Roman" w:eastAsia="仿宋" w:cs="Times New Roman"/>
          <w:sz w:val="32"/>
          <w:szCs w:val="24"/>
        </w:rPr>
        <w:t>年，我部门安排政府采购预算</w:t>
      </w:r>
      <w:r>
        <w:rPr>
          <w:rFonts w:ascii="Times New Roman" w:hAnsi="Times New Roman" w:eastAsia="仿宋" w:cs="Times New Roman"/>
          <w:sz w:val="32"/>
          <w:szCs w:val="24"/>
        </w:rPr>
        <w:t>202.205</w:t>
      </w:r>
      <w:r>
        <w:rPr>
          <w:rFonts w:hint="eastAsia" w:ascii="Times New Roman" w:hAnsi="Times New Roman" w:eastAsia="仿宋" w:cs="Times New Roman"/>
          <w:sz w:val="32"/>
          <w:szCs w:val="24"/>
        </w:rPr>
        <w:t>万元。具体内容见下表。</w:t>
      </w:r>
      <w:bookmarkEnd w:id="2"/>
    </w:p>
    <w:p>
      <w:pPr>
        <w:jc w:val="center"/>
        <w:outlineLvl w:val="0"/>
        <w:rPr>
          <w:rFonts w:ascii="方正小标宋_GBK" w:eastAsia="方正小标宋_GBK"/>
          <w:sz w:val="32"/>
        </w:rPr>
      </w:pPr>
      <w:bookmarkStart w:id="3" w:name="_Toc535404684"/>
      <w:r>
        <w:rPr>
          <w:rFonts w:hint="eastAsia" w:ascii="方正小标宋_GBK" w:eastAsia="方正小标宋_GBK"/>
          <w:sz w:val="32"/>
        </w:rPr>
        <w:t>部门政府采购预算</w:t>
      </w:r>
      <w:bookmarkEnd w:id="3"/>
    </w:p>
    <w:tbl>
      <w:tblPr>
        <w:tblStyle w:val="9"/>
        <w:tblW w:w="1456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15"/>
        <w:gridCol w:w="1066"/>
        <w:gridCol w:w="941"/>
        <w:gridCol w:w="1133"/>
        <w:gridCol w:w="851"/>
        <w:gridCol w:w="870"/>
        <w:gridCol w:w="973"/>
        <w:gridCol w:w="992"/>
        <w:gridCol w:w="992"/>
        <w:gridCol w:w="992"/>
        <w:gridCol w:w="587"/>
        <w:gridCol w:w="933"/>
        <w:gridCol w:w="933"/>
        <w:gridCol w:w="8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8249"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宋体" w:hAnsi="宋体" w:cs="宋体"/>
                <w:sz w:val="24"/>
              </w:rPr>
              <w:t>中共隆尧县委</w:t>
            </w:r>
            <w:r>
              <w:rPr>
                <w:rFonts w:hint="eastAsia" w:ascii="方正小标宋_GBK" w:eastAsia="方正小标宋_GBK"/>
                <w:sz w:val="24"/>
              </w:rPr>
              <w:t>政法委</w:t>
            </w:r>
          </w:p>
        </w:tc>
        <w:tc>
          <w:tcPr>
            <w:tcW w:w="6319" w:type="dxa"/>
            <w:gridSpan w:val="7"/>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3481"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941"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133"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数量单位</w:t>
            </w:r>
          </w:p>
        </w:tc>
        <w:tc>
          <w:tcPr>
            <w:tcW w:w="870"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73"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319" w:type="dxa"/>
            <w:gridSpan w:val="7"/>
            <w:vAlign w:val="center"/>
          </w:tcPr>
          <w:p>
            <w:pPr>
              <w:spacing w:line="300" w:lineRule="exact"/>
              <w:jc w:val="center"/>
              <w:rPr>
                <w:rFonts w:ascii="方正书宋_GBK" w:eastAsia="方正书宋_GBK"/>
                <w:b/>
              </w:rPr>
            </w:pPr>
            <w:r>
              <w:rPr>
                <w:rFonts w:hint="eastAsia" w:ascii="方正书宋_GBK" w:eastAsia="方正书宋_GBK"/>
                <w:b/>
              </w:rPr>
              <w:t>政府采购金额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15" w:type="dxa"/>
            <w:vMerge w:val="restart"/>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066"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941" w:type="dxa"/>
            <w:vMerge w:val="continue"/>
            <w:vAlign w:val="center"/>
          </w:tcPr>
          <w:p>
            <w:pPr>
              <w:spacing w:line="300" w:lineRule="exact"/>
              <w:jc w:val="left"/>
              <w:outlineLvl w:val="0"/>
            </w:pPr>
          </w:p>
        </w:tc>
        <w:tc>
          <w:tcPr>
            <w:tcW w:w="1133" w:type="dxa"/>
            <w:vMerge w:val="continue"/>
            <w:vAlign w:val="center"/>
          </w:tcPr>
          <w:p>
            <w:pPr>
              <w:spacing w:line="300" w:lineRule="exact"/>
              <w:jc w:val="left"/>
              <w:outlineLvl w:val="0"/>
            </w:pPr>
          </w:p>
        </w:tc>
        <w:tc>
          <w:tcPr>
            <w:tcW w:w="851" w:type="dxa"/>
            <w:vMerge w:val="continue"/>
            <w:vAlign w:val="center"/>
          </w:tcPr>
          <w:p>
            <w:pPr>
              <w:spacing w:line="300" w:lineRule="exact"/>
              <w:jc w:val="left"/>
              <w:outlineLvl w:val="0"/>
            </w:pPr>
          </w:p>
        </w:tc>
        <w:tc>
          <w:tcPr>
            <w:tcW w:w="870" w:type="dxa"/>
            <w:vMerge w:val="continue"/>
            <w:vAlign w:val="center"/>
          </w:tcPr>
          <w:p>
            <w:pPr>
              <w:spacing w:line="300" w:lineRule="exact"/>
              <w:jc w:val="left"/>
              <w:outlineLvl w:val="0"/>
            </w:pPr>
          </w:p>
        </w:tc>
        <w:tc>
          <w:tcPr>
            <w:tcW w:w="973" w:type="dxa"/>
            <w:vMerge w:val="continue"/>
            <w:vAlign w:val="center"/>
          </w:tcPr>
          <w:p>
            <w:pPr>
              <w:spacing w:line="300" w:lineRule="exact"/>
              <w:jc w:val="left"/>
              <w:outlineLvl w:val="0"/>
            </w:pP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总计</w:t>
            </w:r>
          </w:p>
        </w:tc>
        <w:tc>
          <w:tcPr>
            <w:tcW w:w="4437" w:type="dxa"/>
            <w:gridSpan w:val="5"/>
            <w:vAlign w:val="center"/>
          </w:tcPr>
          <w:p>
            <w:pPr>
              <w:spacing w:line="300" w:lineRule="exact"/>
              <w:jc w:val="center"/>
              <w:rPr>
                <w:rFonts w:ascii="方正书宋_GBK" w:eastAsia="方正书宋_GBK"/>
                <w:b/>
              </w:rPr>
            </w:pPr>
            <w:r>
              <w:rPr>
                <w:rFonts w:hint="eastAsia" w:ascii="方正书宋_GBK" w:eastAsia="方正书宋_GBK"/>
                <w:b/>
              </w:rPr>
              <w:t>当年部门预算安排资金</w:t>
            </w:r>
          </w:p>
        </w:tc>
        <w:tc>
          <w:tcPr>
            <w:tcW w:w="890" w:type="dxa"/>
            <w:vMerge w:val="restart"/>
            <w:vAlign w:val="center"/>
          </w:tcPr>
          <w:p>
            <w:pPr>
              <w:spacing w:line="300" w:lineRule="exact"/>
              <w:jc w:val="center"/>
              <w:rPr>
                <w:rFonts w:ascii="方正书宋_GBK" w:eastAsia="方正书宋_GBK"/>
                <w:b/>
              </w:rPr>
            </w:pPr>
            <w:r>
              <w:rPr>
                <w:rFonts w:hint="eastAsia" w:ascii="方正书宋_GBK" w:eastAsia="方正书宋_GBK"/>
                <w:b/>
              </w:rPr>
              <w:t>其他渠道资金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415" w:type="dxa"/>
            <w:vMerge w:val="continue"/>
            <w:vAlign w:val="center"/>
          </w:tcPr>
          <w:p>
            <w:pPr>
              <w:spacing w:line="300" w:lineRule="exact"/>
              <w:jc w:val="left"/>
              <w:outlineLvl w:val="0"/>
            </w:pPr>
          </w:p>
        </w:tc>
        <w:tc>
          <w:tcPr>
            <w:tcW w:w="1066" w:type="dxa"/>
            <w:vMerge w:val="continue"/>
            <w:vAlign w:val="center"/>
          </w:tcPr>
          <w:p>
            <w:pPr>
              <w:spacing w:line="300" w:lineRule="exact"/>
              <w:jc w:val="left"/>
              <w:outlineLvl w:val="0"/>
            </w:pPr>
          </w:p>
        </w:tc>
        <w:tc>
          <w:tcPr>
            <w:tcW w:w="941" w:type="dxa"/>
            <w:vMerge w:val="continue"/>
            <w:vAlign w:val="center"/>
          </w:tcPr>
          <w:p>
            <w:pPr>
              <w:spacing w:line="300" w:lineRule="exact"/>
              <w:jc w:val="left"/>
              <w:outlineLvl w:val="0"/>
            </w:pPr>
          </w:p>
        </w:tc>
        <w:tc>
          <w:tcPr>
            <w:tcW w:w="1133" w:type="dxa"/>
            <w:vMerge w:val="continue"/>
            <w:vAlign w:val="center"/>
          </w:tcPr>
          <w:p>
            <w:pPr>
              <w:spacing w:line="300" w:lineRule="exact"/>
              <w:jc w:val="left"/>
              <w:outlineLvl w:val="0"/>
            </w:pPr>
          </w:p>
        </w:tc>
        <w:tc>
          <w:tcPr>
            <w:tcW w:w="851" w:type="dxa"/>
            <w:vMerge w:val="continue"/>
            <w:vAlign w:val="center"/>
          </w:tcPr>
          <w:p>
            <w:pPr>
              <w:spacing w:line="300" w:lineRule="exact"/>
              <w:jc w:val="left"/>
              <w:outlineLvl w:val="0"/>
            </w:pPr>
          </w:p>
        </w:tc>
        <w:tc>
          <w:tcPr>
            <w:tcW w:w="870" w:type="dxa"/>
            <w:vMerge w:val="continue"/>
            <w:vAlign w:val="center"/>
          </w:tcPr>
          <w:p>
            <w:pPr>
              <w:spacing w:line="300" w:lineRule="exact"/>
              <w:jc w:val="left"/>
              <w:outlineLvl w:val="0"/>
            </w:pPr>
          </w:p>
        </w:tc>
        <w:tc>
          <w:tcPr>
            <w:tcW w:w="973" w:type="dxa"/>
            <w:vMerge w:val="continue"/>
            <w:vAlign w:val="center"/>
          </w:tcPr>
          <w:p>
            <w:pPr>
              <w:spacing w:line="300" w:lineRule="exact"/>
              <w:jc w:val="left"/>
              <w:outlineLvl w:val="0"/>
            </w:pPr>
          </w:p>
        </w:tc>
        <w:tc>
          <w:tcPr>
            <w:tcW w:w="992" w:type="dxa"/>
            <w:vMerge w:val="continue"/>
            <w:vAlign w:val="center"/>
          </w:tcPr>
          <w:p>
            <w:pPr>
              <w:spacing w:line="300" w:lineRule="exact"/>
              <w:jc w:val="left"/>
              <w:outlineLvl w:val="0"/>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587"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933"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93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c>
          <w:tcPr>
            <w:tcW w:w="890" w:type="dxa"/>
            <w:vMerge w:val="continue"/>
            <w:vAlign w:val="center"/>
          </w:tcPr>
          <w:p>
            <w:pPr>
              <w:spacing w:line="300" w:lineRule="exact"/>
              <w:jc w:val="left"/>
              <w:outlineLvl w:val="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5"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066" w:type="dxa"/>
            <w:vAlign w:val="center"/>
          </w:tcPr>
          <w:p>
            <w:pPr>
              <w:spacing w:line="300" w:lineRule="exact"/>
              <w:jc w:val="right"/>
              <w:rPr>
                <w:rFonts w:ascii="方正书宋_GBK" w:eastAsia="方正书宋_GBK"/>
                <w:b/>
              </w:rPr>
            </w:pPr>
            <w:r>
              <w:rPr>
                <w:rFonts w:ascii="方正书宋_GBK" w:eastAsia="方正书宋_GBK"/>
                <w:b/>
              </w:rPr>
              <w:t>202.205</w:t>
            </w:r>
          </w:p>
        </w:tc>
        <w:tc>
          <w:tcPr>
            <w:tcW w:w="941" w:type="dxa"/>
            <w:vAlign w:val="center"/>
          </w:tcPr>
          <w:p>
            <w:pPr>
              <w:spacing w:line="300" w:lineRule="exact"/>
              <w:jc w:val="left"/>
              <w:rPr>
                <w:rFonts w:ascii="方正书宋_GBK" w:eastAsia="方正书宋_GBK"/>
                <w:b/>
              </w:rPr>
            </w:pPr>
          </w:p>
        </w:tc>
        <w:tc>
          <w:tcPr>
            <w:tcW w:w="1133" w:type="dxa"/>
            <w:vAlign w:val="center"/>
          </w:tcPr>
          <w:p>
            <w:pPr>
              <w:spacing w:line="300" w:lineRule="exact"/>
              <w:jc w:val="left"/>
              <w:rPr>
                <w:rFonts w:ascii="方正书宋_GBK" w:eastAsia="方正书宋_GBK"/>
                <w:b/>
              </w:rPr>
            </w:pPr>
          </w:p>
        </w:tc>
        <w:tc>
          <w:tcPr>
            <w:tcW w:w="851" w:type="dxa"/>
            <w:vAlign w:val="center"/>
          </w:tcPr>
          <w:p>
            <w:pPr>
              <w:spacing w:line="300" w:lineRule="exact"/>
              <w:jc w:val="left"/>
              <w:rPr>
                <w:rFonts w:ascii="方正书宋_GBK" w:eastAsia="方正书宋_GBK"/>
                <w:b/>
              </w:rPr>
            </w:pPr>
          </w:p>
        </w:tc>
        <w:tc>
          <w:tcPr>
            <w:tcW w:w="870" w:type="dxa"/>
            <w:vAlign w:val="center"/>
          </w:tcPr>
          <w:p>
            <w:pPr>
              <w:spacing w:line="300" w:lineRule="exact"/>
              <w:jc w:val="right"/>
              <w:rPr>
                <w:rFonts w:ascii="方正书宋_GBK" w:eastAsia="方正书宋_GBK"/>
                <w:b/>
              </w:rPr>
            </w:pPr>
          </w:p>
        </w:tc>
        <w:tc>
          <w:tcPr>
            <w:tcW w:w="973"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r>
              <w:rPr>
                <w:rFonts w:ascii="方正书宋_GBK" w:eastAsia="方正书宋_GBK"/>
                <w:b/>
              </w:rPr>
              <w:t>202.205</w:t>
            </w:r>
          </w:p>
        </w:tc>
        <w:tc>
          <w:tcPr>
            <w:tcW w:w="992" w:type="dxa"/>
            <w:vAlign w:val="center"/>
          </w:tcPr>
          <w:p>
            <w:pPr>
              <w:spacing w:line="300" w:lineRule="exact"/>
              <w:jc w:val="right"/>
              <w:rPr>
                <w:rFonts w:ascii="方正书宋_GBK" w:eastAsia="方正书宋_GBK"/>
                <w:b/>
              </w:rPr>
            </w:pPr>
            <w:r>
              <w:rPr>
                <w:rFonts w:ascii="方正书宋_GBK" w:eastAsia="方正书宋_GBK"/>
                <w:b/>
              </w:rPr>
              <w:t>202.205</w:t>
            </w:r>
          </w:p>
        </w:tc>
        <w:tc>
          <w:tcPr>
            <w:tcW w:w="992" w:type="dxa"/>
            <w:vAlign w:val="center"/>
          </w:tcPr>
          <w:p>
            <w:pPr>
              <w:spacing w:line="300" w:lineRule="exact"/>
              <w:jc w:val="right"/>
              <w:rPr>
                <w:rFonts w:ascii="方正书宋_GBK" w:eastAsia="方正书宋_GBK"/>
                <w:b/>
              </w:rPr>
            </w:pPr>
            <w:r>
              <w:rPr>
                <w:rFonts w:ascii="方正书宋_GBK" w:eastAsia="方正书宋_GBK"/>
                <w:b/>
              </w:rPr>
              <w:t>202.205</w:t>
            </w:r>
          </w:p>
        </w:tc>
        <w:tc>
          <w:tcPr>
            <w:tcW w:w="587" w:type="dxa"/>
            <w:vAlign w:val="center"/>
          </w:tcPr>
          <w:p>
            <w:pPr>
              <w:spacing w:line="300" w:lineRule="exact"/>
              <w:jc w:val="right"/>
              <w:rPr>
                <w:rFonts w:ascii="方正书宋_GBK" w:eastAsia="方正书宋_GBK"/>
                <w:b/>
              </w:rPr>
            </w:pPr>
          </w:p>
        </w:tc>
        <w:tc>
          <w:tcPr>
            <w:tcW w:w="933" w:type="dxa"/>
            <w:vAlign w:val="center"/>
          </w:tcPr>
          <w:p>
            <w:pPr>
              <w:spacing w:line="300" w:lineRule="exact"/>
              <w:jc w:val="right"/>
              <w:rPr>
                <w:rFonts w:ascii="方正书宋_GBK" w:eastAsia="方正书宋_GBK"/>
                <w:b/>
              </w:rPr>
            </w:pPr>
          </w:p>
        </w:tc>
        <w:tc>
          <w:tcPr>
            <w:tcW w:w="933" w:type="dxa"/>
            <w:vAlign w:val="center"/>
          </w:tcPr>
          <w:p>
            <w:pPr>
              <w:spacing w:line="300" w:lineRule="exact"/>
              <w:jc w:val="right"/>
              <w:rPr>
                <w:rFonts w:ascii="方正书宋_GBK" w:eastAsia="方正书宋_GBK"/>
                <w:b/>
              </w:rPr>
            </w:pPr>
          </w:p>
        </w:tc>
        <w:tc>
          <w:tcPr>
            <w:tcW w:w="890"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5" w:type="dxa"/>
            <w:vAlign w:val="center"/>
          </w:tcPr>
          <w:p>
            <w:pPr>
              <w:spacing w:line="300" w:lineRule="exact"/>
              <w:jc w:val="center"/>
              <w:rPr>
                <w:rFonts w:ascii="方正书宋_GBK" w:eastAsia="方正书宋_GBK"/>
                <w:b/>
              </w:rPr>
            </w:pPr>
            <w:r>
              <w:rPr>
                <w:rFonts w:hint="eastAsia" w:ascii="宋体" w:hAnsi="宋体" w:cs="宋体"/>
                <w:b/>
              </w:rPr>
              <w:t>中共隆尧县委</w:t>
            </w:r>
            <w:r>
              <w:rPr>
                <w:rFonts w:hint="eastAsia" w:ascii="方正书宋_GBK" w:eastAsia="方正书宋_GBK"/>
                <w:b/>
              </w:rPr>
              <w:t>政法委</w:t>
            </w:r>
          </w:p>
        </w:tc>
        <w:tc>
          <w:tcPr>
            <w:tcW w:w="1066" w:type="dxa"/>
            <w:vAlign w:val="center"/>
          </w:tcPr>
          <w:p>
            <w:pPr>
              <w:spacing w:line="300" w:lineRule="exact"/>
              <w:jc w:val="right"/>
              <w:rPr>
                <w:rFonts w:ascii="方正书宋_GBK" w:eastAsia="方正书宋_GBK"/>
                <w:b/>
              </w:rPr>
            </w:pPr>
            <w:r>
              <w:rPr>
                <w:rFonts w:ascii="方正书宋_GBK" w:eastAsia="方正书宋_GBK"/>
                <w:b/>
              </w:rPr>
              <w:t>202.205</w:t>
            </w:r>
          </w:p>
        </w:tc>
        <w:tc>
          <w:tcPr>
            <w:tcW w:w="941" w:type="dxa"/>
            <w:vAlign w:val="center"/>
          </w:tcPr>
          <w:p>
            <w:pPr>
              <w:spacing w:line="300" w:lineRule="exact"/>
              <w:jc w:val="left"/>
              <w:rPr>
                <w:rFonts w:ascii="方正书宋_GBK" w:eastAsia="方正书宋_GBK"/>
                <w:b/>
              </w:rPr>
            </w:pPr>
          </w:p>
        </w:tc>
        <w:tc>
          <w:tcPr>
            <w:tcW w:w="1133" w:type="dxa"/>
            <w:vAlign w:val="center"/>
          </w:tcPr>
          <w:p>
            <w:pPr>
              <w:spacing w:line="300" w:lineRule="exact"/>
              <w:jc w:val="left"/>
              <w:rPr>
                <w:rFonts w:ascii="方正书宋_GBK" w:eastAsia="方正书宋_GBK"/>
                <w:b/>
              </w:rPr>
            </w:pPr>
          </w:p>
        </w:tc>
        <w:tc>
          <w:tcPr>
            <w:tcW w:w="851" w:type="dxa"/>
            <w:vAlign w:val="center"/>
          </w:tcPr>
          <w:p>
            <w:pPr>
              <w:spacing w:line="300" w:lineRule="exact"/>
              <w:jc w:val="left"/>
              <w:rPr>
                <w:rFonts w:ascii="方正书宋_GBK" w:eastAsia="方正书宋_GBK"/>
                <w:b/>
              </w:rPr>
            </w:pPr>
          </w:p>
        </w:tc>
        <w:tc>
          <w:tcPr>
            <w:tcW w:w="870" w:type="dxa"/>
            <w:vAlign w:val="center"/>
          </w:tcPr>
          <w:p>
            <w:pPr>
              <w:spacing w:line="300" w:lineRule="exact"/>
              <w:jc w:val="right"/>
              <w:rPr>
                <w:rFonts w:ascii="方正书宋_GBK" w:eastAsia="方正书宋_GBK"/>
                <w:b/>
              </w:rPr>
            </w:pPr>
          </w:p>
        </w:tc>
        <w:tc>
          <w:tcPr>
            <w:tcW w:w="973"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r>
              <w:rPr>
                <w:rFonts w:ascii="方正书宋_GBK" w:eastAsia="方正书宋_GBK"/>
                <w:b/>
              </w:rPr>
              <w:t>202.205</w:t>
            </w:r>
          </w:p>
        </w:tc>
        <w:tc>
          <w:tcPr>
            <w:tcW w:w="992" w:type="dxa"/>
            <w:vAlign w:val="center"/>
          </w:tcPr>
          <w:p>
            <w:pPr>
              <w:spacing w:line="300" w:lineRule="exact"/>
              <w:jc w:val="right"/>
              <w:rPr>
                <w:rFonts w:ascii="方正书宋_GBK" w:eastAsia="方正书宋_GBK"/>
                <w:b/>
              </w:rPr>
            </w:pPr>
            <w:r>
              <w:rPr>
                <w:rFonts w:ascii="方正书宋_GBK" w:eastAsia="方正书宋_GBK"/>
                <w:b/>
              </w:rPr>
              <w:t>202.205</w:t>
            </w:r>
          </w:p>
        </w:tc>
        <w:tc>
          <w:tcPr>
            <w:tcW w:w="992" w:type="dxa"/>
            <w:vAlign w:val="center"/>
          </w:tcPr>
          <w:p>
            <w:pPr>
              <w:spacing w:line="300" w:lineRule="exact"/>
              <w:jc w:val="right"/>
              <w:rPr>
                <w:rFonts w:ascii="方正书宋_GBK" w:eastAsia="方正书宋_GBK"/>
                <w:b/>
              </w:rPr>
            </w:pPr>
            <w:r>
              <w:rPr>
                <w:rFonts w:ascii="方正书宋_GBK" w:eastAsia="方正书宋_GBK"/>
                <w:b/>
              </w:rPr>
              <w:t>202.205</w:t>
            </w:r>
          </w:p>
        </w:tc>
        <w:tc>
          <w:tcPr>
            <w:tcW w:w="587" w:type="dxa"/>
            <w:vAlign w:val="center"/>
          </w:tcPr>
          <w:p>
            <w:pPr>
              <w:spacing w:line="300" w:lineRule="exact"/>
              <w:jc w:val="right"/>
              <w:rPr>
                <w:rFonts w:ascii="方正书宋_GBK" w:eastAsia="方正书宋_GBK"/>
                <w:b/>
              </w:rPr>
            </w:pPr>
          </w:p>
        </w:tc>
        <w:tc>
          <w:tcPr>
            <w:tcW w:w="933" w:type="dxa"/>
            <w:vAlign w:val="center"/>
          </w:tcPr>
          <w:p>
            <w:pPr>
              <w:spacing w:line="300" w:lineRule="exact"/>
              <w:jc w:val="right"/>
              <w:rPr>
                <w:rFonts w:ascii="方正书宋_GBK" w:eastAsia="方正书宋_GBK"/>
                <w:b/>
              </w:rPr>
            </w:pPr>
          </w:p>
        </w:tc>
        <w:tc>
          <w:tcPr>
            <w:tcW w:w="933" w:type="dxa"/>
            <w:vAlign w:val="center"/>
          </w:tcPr>
          <w:p>
            <w:pPr>
              <w:spacing w:line="300" w:lineRule="exact"/>
              <w:jc w:val="right"/>
              <w:rPr>
                <w:rFonts w:ascii="方正书宋_GBK" w:eastAsia="方正书宋_GBK"/>
                <w:b/>
              </w:rPr>
            </w:pPr>
          </w:p>
        </w:tc>
        <w:tc>
          <w:tcPr>
            <w:tcW w:w="890"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5" w:type="dxa"/>
            <w:vAlign w:val="center"/>
          </w:tcPr>
          <w:p>
            <w:pPr>
              <w:spacing w:line="300" w:lineRule="exact"/>
              <w:jc w:val="left"/>
              <w:rPr>
                <w:rFonts w:ascii="方正书宋_GBK" w:eastAsia="方正书宋_GBK"/>
              </w:rPr>
            </w:pPr>
            <w:r>
              <w:rPr>
                <w:rFonts w:hint="eastAsia" w:ascii="宋体" w:hAnsi="宋体" w:cs="宋体"/>
              </w:rPr>
              <w:t>维稳经费</w:t>
            </w:r>
            <w:r>
              <w:rPr>
                <w:rFonts w:ascii="宋体" w:hAnsi="宋体" w:cs="宋体"/>
              </w:rPr>
              <w:t>/</w:t>
            </w:r>
            <w:r>
              <w:rPr>
                <w:rFonts w:hint="eastAsia" w:ascii="宋体" w:hAnsi="宋体" w:cs="宋体"/>
              </w:rPr>
              <w:t>综治视联网经费</w:t>
            </w:r>
          </w:p>
        </w:tc>
        <w:tc>
          <w:tcPr>
            <w:tcW w:w="1066" w:type="dxa"/>
            <w:vAlign w:val="center"/>
          </w:tcPr>
          <w:p>
            <w:pPr>
              <w:spacing w:line="300" w:lineRule="exact"/>
              <w:jc w:val="right"/>
              <w:rPr>
                <w:rFonts w:ascii="方正书宋_GBK" w:eastAsia="方正书宋_GBK"/>
              </w:rPr>
            </w:pPr>
            <w:r>
              <w:rPr>
                <w:rFonts w:ascii="方正书宋_GBK" w:eastAsia="方正书宋_GBK"/>
              </w:rPr>
              <w:t>77.37</w:t>
            </w:r>
          </w:p>
        </w:tc>
        <w:tc>
          <w:tcPr>
            <w:tcW w:w="941" w:type="dxa"/>
            <w:vAlign w:val="center"/>
          </w:tcPr>
          <w:p>
            <w:pPr>
              <w:spacing w:line="300" w:lineRule="exact"/>
              <w:jc w:val="left"/>
              <w:rPr>
                <w:rFonts w:ascii="方正书宋_GBK" w:eastAsia="方正书宋_GBK"/>
              </w:rPr>
            </w:pPr>
            <w:r>
              <w:rPr>
                <w:rFonts w:hint="eastAsia" w:ascii="方正书宋_GBK" w:eastAsia="方正书宋_GBK"/>
              </w:rPr>
              <w:t>专用设备</w:t>
            </w:r>
          </w:p>
        </w:tc>
        <w:tc>
          <w:tcPr>
            <w:tcW w:w="1133" w:type="dxa"/>
            <w:vAlign w:val="center"/>
          </w:tcPr>
          <w:p>
            <w:pPr>
              <w:spacing w:line="300" w:lineRule="exact"/>
              <w:jc w:val="left"/>
              <w:rPr>
                <w:rFonts w:ascii="方正书宋_GBK" w:eastAsia="方正书宋_GBK"/>
              </w:rPr>
            </w:pPr>
            <w:r>
              <w:rPr>
                <w:rFonts w:ascii="方正书宋_GBK" w:eastAsia="方正书宋_GBK"/>
              </w:rPr>
              <w:t>A02</w:t>
            </w:r>
          </w:p>
        </w:tc>
        <w:tc>
          <w:tcPr>
            <w:tcW w:w="851" w:type="dxa"/>
            <w:vAlign w:val="center"/>
          </w:tcPr>
          <w:p>
            <w:pPr>
              <w:spacing w:line="300" w:lineRule="exact"/>
              <w:jc w:val="left"/>
              <w:rPr>
                <w:rFonts w:ascii="方正书宋_GBK" w:eastAsia="方正书宋_GBK"/>
              </w:rPr>
            </w:pPr>
            <w:r>
              <w:rPr>
                <w:rFonts w:hint="eastAsia" w:ascii="微软雅黑" w:hAnsi="微软雅黑" w:eastAsia="微软雅黑" w:cs="微软雅黑"/>
              </w:rPr>
              <w:t>套</w:t>
            </w:r>
          </w:p>
        </w:tc>
        <w:tc>
          <w:tcPr>
            <w:tcW w:w="870" w:type="dxa"/>
            <w:vAlign w:val="center"/>
          </w:tcPr>
          <w:p>
            <w:pPr>
              <w:spacing w:line="300" w:lineRule="exact"/>
              <w:jc w:val="right"/>
              <w:rPr>
                <w:rFonts w:ascii="方正书宋_GBK" w:eastAsia="方正书宋_GBK"/>
              </w:rPr>
            </w:pPr>
            <w:r>
              <w:rPr>
                <w:rFonts w:ascii="方正书宋_GBK" w:eastAsia="方正书宋_GBK"/>
              </w:rPr>
              <w:t>1</w:t>
            </w:r>
          </w:p>
        </w:tc>
        <w:tc>
          <w:tcPr>
            <w:tcW w:w="973" w:type="dxa"/>
            <w:vAlign w:val="center"/>
          </w:tcPr>
          <w:p>
            <w:pPr>
              <w:spacing w:line="300" w:lineRule="exact"/>
              <w:jc w:val="right"/>
              <w:rPr>
                <w:rFonts w:ascii="方正书宋_GBK" w:eastAsia="方正书宋_GBK"/>
              </w:rPr>
            </w:pPr>
            <w:r>
              <w:rPr>
                <w:rFonts w:ascii="方正书宋_GBK" w:eastAsia="方正书宋_GBK"/>
              </w:rPr>
              <w:t>77.37</w:t>
            </w:r>
          </w:p>
        </w:tc>
        <w:tc>
          <w:tcPr>
            <w:tcW w:w="992" w:type="dxa"/>
            <w:vAlign w:val="center"/>
          </w:tcPr>
          <w:p>
            <w:pPr>
              <w:spacing w:line="300" w:lineRule="exact"/>
              <w:jc w:val="right"/>
              <w:rPr>
                <w:rFonts w:ascii="方正书宋_GBK" w:eastAsia="方正书宋_GBK"/>
              </w:rPr>
            </w:pPr>
            <w:r>
              <w:rPr>
                <w:rFonts w:ascii="方正书宋_GBK" w:eastAsia="方正书宋_GBK"/>
              </w:rPr>
              <w:t>77.37</w:t>
            </w:r>
          </w:p>
        </w:tc>
        <w:tc>
          <w:tcPr>
            <w:tcW w:w="992" w:type="dxa"/>
            <w:vAlign w:val="center"/>
          </w:tcPr>
          <w:p>
            <w:pPr>
              <w:spacing w:line="300" w:lineRule="exact"/>
              <w:jc w:val="right"/>
              <w:rPr>
                <w:rFonts w:ascii="方正书宋_GBK" w:eastAsia="方正书宋_GBK"/>
              </w:rPr>
            </w:pPr>
            <w:r>
              <w:rPr>
                <w:rFonts w:ascii="方正书宋_GBK" w:eastAsia="方正书宋_GBK"/>
              </w:rPr>
              <w:t>77.37</w:t>
            </w:r>
          </w:p>
        </w:tc>
        <w:tc>
          <w:tcPr>
            <w:tcW w:w="992" w:type="dxa"/>
            <w:vAlign w:val="center"/>
          </w:tcPr>
          <w:p>
            <w:pPr>
              <w:spacing w:line="300" w:lineRule="exact"/>
              <w:jc w:val="right"/>
              <w:rPr>
                <w:rFonts w:ascii="方正书宋_GBK" w:eastAsia="方正书宋_GBK"/>
              </w:rPr>
            </w:pPr>
            <w:r>
              <w:rPr>
                <w:rFonts w:ascii="方正书宋_GBK" w:eastAsia="方正书宋_GBK"/>
              </w:rPr>
              <w:t>77.37</w:t>
            </w:r>
          </w:p>
        </w:tc>
        <w:tc>
          <w:tcPr>
            <w:tcW w:w="587"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5" w:type="dxa"/>
            <w:vAlign w:val="center"/>
          </w:tcPr>
          <w:p>
            <w:pPr>
              <w:spacing w:line="300" w:lineRule="exact"/>
              <w:jc w:val="left"/>
              <w:rPr>
                <w:rFonts w:ascii="方正书宋_GBK" w:eastAsia="方正书宋_GBK"/>
              </w:rPr>
            </w:pPr>
            <w:r>
              <w:rPr>
                <w:rFonts w:hint="eastAsia" w:ascii="宋体" w:hAnsi="宋体" w:cs="宋体"/>
              </w:rPr>
              <w:t>维稳经费</w:t>
            </w:r>
            <w:r>
              <w:rPr>
                <w:rFonts w:ascii="宋体" w:hAnsi="宋体" w:cs="宋体"/>
              </w:rPr>
              <w:t>/</w:t>
            </w:r>
            <w:r>
              <w:rPr>
                <w:rFonts w:hint="eastAsia" w:ascii="宋体" w:hAnsi="宋体" w:cs="宋体"/>
              </w:rPr>
              <w:t>综治中心建设</w:t>
            </w:r>
          </w:p>
        </w:tc>
        <w:tc>
          <w:tcPr>
            <w:tcW w:w="1066" w:type="dxa"/>
            <w:vAlign w:val="center"/>
          </w:tcPr>
          <w:p>
            <w:pPr>
              <w:spacing w:line="300" w:lineRule="exact"/>
              <w:jc w:val="right"/>
              <w:rPr>
                <w:rFonts w:ascii="方正书宋_GBK" w:eastAsia="方正书宋_GBK"/>
              </w:rPr>
            </w:pPr>
            <w:r>
              <w:rPr>
                <w:rFonts w:ascii="方正书宋_GBK" w:eastAsia="方正书宋_GBK"/>
              </w:rPr>
              <w:t>77.645</w:t>
            </w:r>
          </w:p>
        </w:tc>
        <w:tc>
          <w:tcPr>
            <w:tcW w:w="941" w:type="dxa"/>
            <w:vAlign w:val="center"/>
          </w:tcPr>
          <w:p>
            <w:pPr>
              <w:spacing w:line="300" w:lineRule="exact"/>
              <w:jc w:val="left"/>
              <w:rPr>
                <w:rFonts w:ascii="方正书宋_GBK" w:eastAsia="方正书宋_GBK"/>
              </w:rPr>
            </w:pPr>
            <w:r>
              <w:rPr>
                <w:rFonts w:hint="eastAsia" w:ascii="方正书宋_GBK" w:eastAsia="方正书宋_GBK"/>
              </w:rPr>
              <w:t>专用设备</w:t>
            </w:r>
          </w:p>
        </w:tc>
        <w:tc>
          <w:tcPr>
            <w:tcW w:w="1133" w:type="dxa"/>
            <w:vAlign w:val="center"/>
          </w:tcPr>
          <w:p>
            <w:pPr>
              <w:spacing w:line="300" w:lineRule="exact"/>
              <w:jc w:val="left"/>
              <w:rPr>
                <w:rFonts w:ascii="方正书宋_GBK" w:eastAsia="方正书宋_GBK"/>
              </w:rPr>
            </w:pPr>
            <w:r>
              <w:rPr>
                <w:rFonts w:ascii="方正书宋_GBK" w:eastAsia="方正书宋_GBK"/>
              </w:rPr>
              <w:t>A02</w:t>
            </w:r>
          </w:p>
        </w:tc>
        <w:tc>
          <w:tcPr>
            <w:tcW w:w="851" w:type="dxa"/>
            <w:vAlign w:val="center"/>
          </w:tcPr>
          <w:p>
            <w:pPr>
              <w:spacing w:line="300" w:lineRule="exact"/>
              <w:jc w:val="left"/>
              <w:rPr>
                <w:rFonts w:ascii="宋体" w:cs="宋体"/>
              </w:rPr>
            </w:pPr>
            <w:r>
              <w:rPr>
                <w:rFonts w:hint="eastAsia" w:ascii="宋体" w:hAnsi="宋体" w:cs="宋体"/>
              </w:rPr>
              <w:t>套</w:t>
            </w:r>
          </w:p>
        </w:tc>
        <w:tc>
          <w:tcPr>
            <w:tcW w:w="870" w:type="dxa"/>
            <w:vAlign w:val="center"/>
          </w:tcPr>
          <w:p>
            <w:pPr>
              <w:spacing w:line="300" w:lineRule="exact"/>
              <w:jc w:val="right"/>
              <w:rPr>
                <w:rFonts w:ascii="方正书宋_GBK" w:eastAsia="方正书宋_GBK"/>
              </w:rPr>
            </w:pPr>
            <w:r>
              <w:rPr>
                <w:rFonts w:ascii="方正书宋_GBK" w:eastAsia="方正书宋_GBK"/>
              </w:rPr>
              <w:t>1</w:t>
            </w:r>
          </w:p>
        </w:tc>
        <w:tc>
          <w:tcPr>
            <w:tcW w:w="973" w:type="dxa"/>
            <w:vAlign w:val="center"/>
          </w:tcPr>
          <w:p>
            <w:pPr>
              <w:spacing w:line="300" w:lineRule="exact"/>
              <w:jc w:val="right"/>
              <w:rPr>
                <w:rFonts w:ascii="方正书宋_GBK" w:eastAsia="方正书宋_GBK"/>
              </w:rPr>
            </w:pPr>
            <w:r>
              <w:rPr>
                <w:rFonts w:ascii="方正书宋_GBK" w:eastAsia="方正书宋_GBK"/>
              </w:rPr>
              <w:t>77.645</w:t>
            </w:r>
          </w:p>
        </w:tc>
        <w:tc>
          <w:tcPr>
            <w:tcW w:w="992" w:type="dxa"/>
            <w:vAlign w:val="center"/>
          </w:tcPr>
          <w:p>
            <w:pPr>
              <w:spacing w:line="300" w:lineRule="exact"/>
              <w:jc w:val="right"/>
              <w:rPr>
                <w:rFonts w:ascii="方正书宋_GBK" w:eastAsia="方正书宋_GBK"/>
              </w:rPr>
            </w:pPr>
            <w:r>
              <w:rPr>
                <w:rFonts w:ascii="方正书宋_GBK" w:eastAsia="方正书宋_GBK"/>
              </w:rPr>
              <w:t>77.645</w:t>
            </w:r>
          </w:p>
        </w:tc>
        <w:tc>
          <w:tcPr>
            <w:tcW w:w="992" w:type="dxa"/>
            <w:vAlign w:val="center"/>
          </w:tcPr>
          <w:p>
            <w:pPr>
              <w:spacing w:line="300" w:lineRule="exact"/>
              <w:jc w:val="right"/>
              <w:rPr>
                <w:rFonts w:ascii="方正书宋_GBK" w:eastAsia="方正书宋_GBK"/>
              </w:rPr>
            </w:pPr>
            <w:r>
              <w:rPr>
                <w:rFonts w:ascii="方正书宋_GBK" w:eastAsia="方正书宋_GBK"/>
              </w:rPr>
              <w:t>77.645</w:t>
            </w:r>
          </w:p>
        </w:tc>
        <w:tc>
          <w:tcPr>
            <w:tcW w:w="992" w:type="dxa"/>
            <w:vAlign w:val="center"/>
          </w:tcPr>
          <w:p>
            <w:pPr>
              <w:spacing w:line="300" w:lineRule="exact"/>
              <w:jc w:val="right"/>
              <w:rPr>
                <w:rFonts w:ascii="方正书宋_GBK" w:eastAsia="方正书宋_GBK"/>
              </w:rPr>
            </w:pPr>
            <w:r>
              <w:rPr>
                <w:rFonts w:ascii="方正书宋_GBK" w:eastAsia="方正书宋_GBK"/>
              </w:rPr>
              <w:t>77.645</w:t>
            </w:r>
          </w:p>
        </w:tc>
        <w:tc>
          <w:tcPr>
            <w:tcW w:w="587"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5" w:type="dxa"/>
            <w:vAlign w:val="center"/>
          </w:tcPr>
          <w:p>
            <w:pPr>
              <w:spacing w:line="300" w:lineRule="exact"/>
              <w:jc w:val="left"/>
              <w:rPr>
                <w:rFonts w:ascii="宋体" w:cs="宋体"/>
              </w:rPr>
            </w:pPr>
            <w:r>
              <w:rPr>
                <w:rFonts w:hint="eastAsia" w:ascii="宋体" w:hAnsi="宋体" w:cs="宋体"/>
              </w:rPr>
              <w:t>扫黑除恶经费</w:t>
            </w:r>
          </w:p>
        </w:tc>
        <w:tc>
          <w:tcPr>
            <w:tcW w:w="1066" w:type="dxa"/>
            <w:vAlign w:val="center"/>
          </w:tcPr>
          <w:p>
            <w:pPr>
              <w:spacing w:line="300" w:lineRule="exact"/>
              <w:jc w:val="right"/>
              <w:rPr>
                <w:rFonts w:ascii="方正书宋_GBK" w:eastAsia="方正书宋_GBK"/>
              </w:rPr>
            </w:pPr>
            <w:r>
              <w:rPr>
                <w:rFonts w:ascii="方正书宋_GBK" w:eastAsia="方正书宋_GBK"/>
              </w:rPr>
              <w:t>8.5</w:t>
            </w:r>
          </w:p>
        </w:tc>
        <w:tc>
          <w:tcPr>
            <w:tcW w:w="941" w:type="dxa"/>
            <w:vAlign w:val="center"/>
          </w:tcPr>
          <w:p>
            <w:pPr>
              <w:spacing w:line="300" w:lineRule="exact"/>
              <w:jc w:val="left"/>
              <w:rPr>
                <w:rFonts w:ascii="方正书宋_GBK" w:eastAsia="方正书宋_GBK"/>
              </w:rPr>
            </w:pPr>
            <w:r>
              <w:rPr>
                <w:rFonts w:hint="eastAsia" w:ascii="方正书宋_GBK" w:eastAsia="方正书宋_GBK"/>
              </w:rPr>
              <w:t>印刷品</w:t>
            </w:r>
          </w:p>
        </w:tc>
        <w:tc>
          <w:tcPr>
            <w:tcW w:w="1133" w:type="dxa"/>
            <w:vAlign w:val="center"/>
          </w:tcPr>
          <w:p>
            <w:pPr>
              <w:spacing w:line="300" w:lineRule="exact"/>
              <w:jc w:val="left"/>
              <w:rPr>
                <w:rFonts w:ascii="方正书宋_GBK" w:eastAsia="方正书宋_GBK"/>
              </w:rPr>
            </w:pPr>
            <w:r>
              <w:rPr>
                <w:rFonts w:ascii="方正书宋_GBK" w:eastAsia="方正书宋_GBK"/>
              </w:rPr>
              <w:t>A0802</w:t>
            </w:r>
          </w:p>
        </w:tc>
        <w:tc>
          <w:tcPr>
            <w:tcW w:w="851" w:type="dxa"/>
            <w:vAlign w:val="center"/>
          </w:tcPr>
          <w:p>
            <w:pPr>
              <w:spacing w:line="300" w:lineRule="exact"/>
              <w:jc w:val="left"/>
              <w:rPr>
                <w:rFonts w:ascii="宋体" w:cs="宋体"/>
              </w:rPr>
            </w:pPr>
            <w:r>
              <w:rPr>
                <w:rFonts w:hint="eastAsia" w:ascii="宋体" w:hAnsi="宋体" w:cs="宋体"/>
              </w:rPr>
              <w:t>册</w:t>
            </w:r>
          </w:p>
        </w:tc>
        <w:tc>
          <w:tcPr>
            <w:tcW w:w="870" w:type="dxa"/>
            <w:vAlign w:val="center"/>
          </w:tcPr>
          <w:p>
            <w:pPr>
              <w:spacing w:line="300" w:lineRule="exact"/>
              <w:jc w:val="right"/>
              <w:rPr>
                <w:rFonts w:ascii="方正书宋_GBK" w:eastAsia="方正书宋_GBK"/>
              </w:rPr>
            </w:pPr>
            <w:r>
              <w:rPr>
                <w:rFonts w:ascii="方正书宋_GBK" w:eastAsia="方正书宋_GBK"/>
              </w:rPr>
              <w:t>42500</w:t>
            </w:r>
          </w:p>
        </w:tc>
        <w:tc>
          <w:tcPr>
            <w:tcW w:w="973" w:type="dxa"/>
            <w:vAlign w:val="center"/>
          </w:tcPr>
          <w:p>
            <w:pPr>
              <w:spacing w:line="300" w:lineRule="exact"/>
              <w:jc w:val="right"/>
              <w:rPr>
                <w:rFonts w:ascii="方正书宋_GBK" w:eastAsia="方正书宋_GBK"/>
              </w:rPr>
            </w:pPr>
            <w:r>
              <w:rPr>
                <w:rFonts w:ascii="方正书宋_GBK" w:eastAsia="方正书宋_GBK"/>
              </w:rPr>
              <w:t>0.0002</w:t>
            </w:r>
          </w:p>
        </w:tc>
        <w:tc>
          <w:tcPr>
            <w:tcW w:w="992" w:type="dxa"/>
            <w:vAlign w:val="center"/>
          </w:tcPr>
          <w:p>
            <w:pPr>
              <w:spacing w:line="300" w:lineRule="exact"/>
              <w:jc w:val="right"/>
              <w:rPr>
                <w:rFonts w:ascii="方正书宋_GBK" w:eastAsia="方正书宋_GBK"/>
              </w:rPr>
            </w:pPr>
            <w:r>
              <w:rPr>
                <w:rFonts w:ascii="方正书宋_GBK" w:eastAsia="方正书宋_GBK"/>
              </w:rPr>
              <w:t>8.5</w:t>
            </w:r>
          </w:p>
        </w:tc>
        <w:tc>
          <w:tcPr>
            <w:tcW w:w="992" w:type="dxa"/>
            <w:vAlign w:val="center"/>
          </w:tcPr>
          <w:p>
            <w:pPr>
              <w:spacing w:line="300" w:lineRule="exact"/>
              <w:jc w:val="right"/>
              <w:rPr>
                <w:rFonts w:ascii="方正书宋_GBK" w:eastAsia="方正书宋_GBK"/>
              </w:rPr>
            </w:pPr>
            <w:r>
              <w:rPr>
                <w:rFonts w:ascii="方正书宋_GBK" w:eastAsia="方正书宋_GBK"/>
              </w:rPr>
              <w:t>8.5</w:t>
            </w:r>
          </w:p>
        </w:tc>
        <w:tc>
          <w:tcPr>
            <w:tcW w:w="992" w:type="dxa"/>
            <w:vAlign w:val="center"/>
          </w:tcPr>
          <w:p>
            <w:pPr>
              <w:spacing w:line="300" w:lineRule="exact"/>
              <w:jc w:val="right"/>
              <w:rPr>
                <w:rFonts w:ascii="方正书宋_GBK" w:eastAsia="方正书宋_GBK"/>
              </w:rPr>
            </w:pPr>
            <w:r>
              <w:rPr>
                <w:rFonts w:ascii="方正书宋_GBK" w:eastAsia="方正书宋_GBK"/>
              </w:rPr>
              <w:t>8.5</w:t>
            </w:r>
          </w:p>
        </w:tc>
        <w:tc>
          <w:tcPr>
            <w:tcW w:w="587"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5" w:type="dxa"/>
            <w:vAlign w:val="center"/>
          </w:tcPr>
          <w:p>
            <w:pPr>
              <w:spacing w:line="300" w:lineRule="exact"/>
              <w:jc w:val="left"/>
              <w:rPr>
                <w:rFonts w:ascii="方正书宋_GBK" w:eastAsia="方正书宋_GBK"/>
              </w:rPr>
            </w:pPr>
            <w:r>
              <w:rPr>
                <w:rFonts w:hint="eastAsia" w:ascii="宋体" w:hAnsi="宋体" w:cs="宋体"/>
              </w:rPr>
              <w:t>维稳经费</w:t>
            </w:r>
            <w:r>
              <w:rPr>
                <w:rFonts w:ascii="宋体" w:hAnsi="宋体" w:cs="宋体"/>
              </w:rPr>
              <w:t>/</w:t>
            </w:r>
            <w:r>
              <w:rPr>
                <w:rFonts w:hint="eastAsia" w:ascii="宋体" w:hAnsi="宋体" w:cs="宋体"/>
              </w:rPr>
              <w:t>铁路护路</w:t>
            </w:r>
          </w:p>
        </w:tc>
        <w:tc>
          <w:tcPr>
            <w:tcW w:w="1066" w:type="dxa"/>
            <w:vAlign w:val="center"/>
          </w:tcPr>
          <w:p>
            <w:pPr>
              <w:spacing w:line="300" w:lineRule="exact"/>
              <w:jc w:val="right"/>
              <w:rPr>
                <w:rFonts w:ascii="方正书宋_GBK" w:eastAsia="方正书宋_GBK"/>
              </w:rPr>
            </w:pPr>
            <w:r>
              <w:rPr>
                <w:rFonts w:ascii="方正书宋_GBK" w:eastAsia="方正书宋_GBK"/>
              </w:rPr>
              <w:t>1.5</w:t>
            </w:r>
          </w:p>
        </w:tc>
        <w:tc>
          <w:tcPr>
            <w:tcW w:w="941" w:type="dxa"/>
            <w:vAlign w:val="center"/>
          </w:tcPr>
          <w:p>
            <w:pPr>
              <w:spacing w:line="300" w:lineRule="exact"/>
              <w:jc w:val="left"/>
              <w:rPr>
                <w:rFonts w:ascii="方正书宋_GBK" w:eastAsia="方正书宋_GBK"/>
              </w:rPr>
            </w:pPr>
            <w:r>
              <w:rPr>
                <w:rFonts w:hint="eastAsia" w:ascii="方正书宋_GBK" w:eastAsia="方正书宋_GBK"/>
              </w:rPr>
              <w:t>印刷品</w:t>
            </w:r>
          </w:p>
        </w:tc>
        <w:tc>
          <w:tcPr>
            <w:tcW w:w="1133" w:type="dxa"/>
            <w:vAlign w:val="center"/>
          </w:tcPr>
          <w:p>
            <w:pPr>
              <w:spacing w:line="300" w:lineRule="exact"/>
              <w:jc w:val="left"/>
              <w:rPr>
                <w:rFonts w:ascii="方正书宋_GBK" w:eastAsia="方正书宋_GBK"/>
              </w:rPr>
            </w:pPr>
            <w:r>
              <w:rPr>
                <w:rFonts w:ascii="方正书宋_GBK" w:eastAsia="方正书宋_GBK"/>
              </w:rPr>
              <w:t>A0802</w:t>
            </w:r>
          </w:p>
        </w:tc>
        <w:tc>
          <w:tcPr>
            <w:tcW w:w="851" w:type="dxa"/>
            <w:vAlign w:val="center"/>
          </w:tcPr>
          <w:p>
            <w:pPr>
              <w:spacing w:line="300" w:lineRule="exact"/>
              <w:jc w:val="left"/>
              <w:rPr>
                <w:rFonts w:ascii="宋体" w:cs="宋体"/>
              </w:rPr>
            </w:pPr>
            <w:r>
              <w:rPr>
                <w:rFonts w:hint="eastAsia" w:ascii="宋体" w:hAnsi="宋体" w:cs="宋体"/>
              </w:rPr>
              <w:t>幅</w:t>
            </w:r>
          </w:p>
        </w:tc>
        <w:tc>
          <w:tcPr>
            <w:tcW w:w="870" w:type="dxa"/>
            <w:vAlign w:val="center"/>
          </w:tcPr>
          <w:p>
            <w:pPr>
              <w:spacing w:line="300" w:lineRule="exact"/>
              <w:jc w:val="right"/>
              <w:rPr>
                <w:rFonts w:ascii="方正书宋_GBK" w:eastAsia="方正书宋_GBK"/>
              </w:rPr>
            </w:pPr>
            <w:r>
              <w:rPr>
                <w:rFonts w:ascii="方正书宋_GBK" w:eastAsia="方正书宋_GBK"/>
              </w:rPr>
              <w:t>10000</w:t>
            </w:r>
          </w:p>
        </w:tc>
        <w:tc>
          <w:tcPr>
            <w:tcW w:w="973" w:type="dxa"/>
            <w:vAlign w:val="center"/>
          </w:tcPr>
          <w:p>
            <w:pPr>
              <w:spacing w:line="300" w:lineRule="exact"/>
              <w:jc w:val="right"/>
              <w:rPr>
                <w:rFonts w:ascii="方正书宋_GBK" w:eastAsia="方正书宋_GBK"/>
              </w:rPr>
            </w:pPr>
            <w:r>
              <w:rPr>
                <w:rFonts w:ascii="方正书宋_GBK" w:eastAsia="方正书宋_GBK"/>
              </w:rPr>
              <w:t>0.00015</w:t>
            </w:r>
          </w:p>
        </w:tc>
        <w:tc>
          <w:tcPr>
            <w:tcW w:w="992" w:type="dxa"/>
            <w:vAlign w:val="center"/>
          </w:tcPr>
          <w:p>
            <w:pPr>
              <w:spacing w:line="300" w:lineRule="exact"/>
              <w:jc w:val="right"/>
              <w:rPr>
                <w:rFonts w:ascii="方正书宋_GBK" w:eastAsia="方正书宋_GBK"/>
              </w:rPr>
            </w:pPr>
            <w:r>
              <w:rPr>
                <w:rFonts w:ascii="方正书宋_GBK" w:eastAsia="方正书宋_GBK"/>
              </w:rPr>
              <w:t>1.5</w:t>
            </w:r>
          </w:p>
        </w:tc>
        <w:tc>
          <w:tcPr>
            <w:tcW w:w="992" w:type="dxa"/>
            <w:vAlign w:val="center"/>
          </w:tcPr>
          <w:p>
            <w:pPr>
              <w:spacing w:line="300" w:lineRule="exact"/>
              <w:jc w:val="right"/>
              <w:rPr>
                <w:rFonts w:ascii="方正书宋_GBK" w:eastAsia="方正书宋_GBK"/>
              </w:rPr>
            </w:pPr>
            <w:r>
              <w:rPr>
                <w:rFonts w:ascii="方正书宋_GBK" w:eastAsia="方正书宋_GBK"/>
              </w:rPr>
              <w:t>1.5</w:t>
            </w:r>
          </w:p>
        </w:tc>
        <w:tc>
          <w:tcPr>
            <w:tcW w:w="992" w:type="dxa"/>
            <w:vAlign w:val="center"/>
          </w:tcPr>
          <w:p>
            <w:pPr>
              <w:spacing w:line="300" w:lineRule="exact"/>
              <w:jc w:val="right"/>
              <w:rPr>
                <w:rFonts w:ascii="方正书宋_GBK" w:eastAsia="方正书宋_GBK"/>
              </w:rPr>
            </w:pPr>
            <w:r>
              <w:rPr>
                <w:rFonts w:ascii="方正书宋_GBK" w:eastAsia="方正书宋_GBK"/>
              </w:rPr>
              <w:t>1.5</w:t>
            </w:r>
          </w:p>
        </w:tc>
        <w:tc>
          <w:tcPr>
            <w:tcW w:w="587"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5" w:type="dxa"/>
            <w:vAlign w:val="center"/>
          </w:tcPr>
          <w:p>
            <w:pPr>
              <w:spacing w:line="300" w:lineRule="exact"/>
              <w:jc w:val="left"/>
              <w:rPr>
                <w:rFonts w:ascii="方正书宋_GBK" w:eastAsia="方正书宋_GBK"/>
              </w:rPr>
            </w:pPr>
            <w:r>
              <w:rPr>
                <w:rFonts w:hint="eastAsia" w:ascii="宋体" w:hAnsi="宋体" w:cs="宋体"/>
              </w:rPr>
              <w:t>平安建设经费</w:t>
            </w:r>
          </w:p>
        </w:tc>
        <w:tc>
          <w:tcPr>
            <w:tcW w:w="1066" w:type="dxa"/>
            <w:vAlign w:val="center"/>
          </w:tcPr>
          <w:p>
            <w:pPr>
              <w:spacing w:line="300" w:lineRule="exact"/>
              <w:jc w:val="right"/>
              <w:rPr>
                <w:rFonts w:ascii="方正书宋_GBK" w:eastAsia="方正书宋_GBK"/>
              </w:rPr>
            </w:pPr>
            <w:r>
              <w:rPr>
                <w:rFonts w:ascii="方正书宋_GBK" w:eastAsia="方正书宋_GBK"/>
              </w:rPr>
              <w:t>4.25</w:t>
            </w:r>
          </w:p>
        </w:tc>
        <w:tc>
          <w:tcPr>
            <w:tcW w:w="941" w:type="dxa"/>
            <w:vAlign w:val="center"/>
          </w:tcPr>
          <w:p>
            <w:pPr>
              <w:spacing w:line="300" w:lineRule="exact"/>
              <w:jc w:val="left"/>
              <w:rPr>
                <w:rFonts w:ascii="方正书宋_GBK" w:eastAsia="方正书宋_GBK"/>
              </w:rPr>
            </w:pPr>
            <w:r>
              <w:rPr>
                <w:rFonts w:hint="eastAsia" w:ascii="方正书宋_GBK" w:eastAsia="方正书宋_GBK"/>
              </w:rPr>
              <w:t>印刷品</w:t>
            </w:r>
          </w:p>
        </w:tc>
        <w:tc>
          <w:tcPr>
            <w:tcW w:w="1133" w:type="dxa"/>
            <w:vAlign w:val="center"/>
          </w:tcPr>
          <w:p>
            <w:pPr>
              <w:spacing w:line="300" w:lineRule="exact"/>
              <w:jc w:val="left"/>
              <w:rPr>
                <w:rFonts w:ascii="方正书宋_GBK" w:eastAsia="方正书宋_GBK"/>
              </w:rPr>
            </w:pPr>
            <w:r>
              <w:rPr>
                <w:rFonts w:ascii="方正书宋_GBK" w:eastAsia="方正书宋_GBK"/>
              </w:rPr>
              <w:t>A0802</w:t>
            </w:r>
          </w:p>
        </w:tc>
        <w:tc>
          <w:tcPr>
            <w:tcW w:w="851" w:type="dxa"/>
            <w:vAlign w:val="center"/>
          </w:tcPr>
          <w:p>
            <w:pPr>
              <w:spacing w:line="300" w:lineRule="exact"/>
              <w:jc w:val="left"/>
              <w:rPr>
                <w:rFonts w:ascii="宋体" w:cs="宋体"/>
              </w:rPr>
            </w:pPr>
            <w:r>
              <w:rPr>
                <w:rFonts w:hint="eastAsia" w:ascii="宋体" w:hAnsi="宋体" w:cs="宋体"/>
              </w:rPr>
              <w:t>册</w:t>
            </w:r>
          </w:p>
        </w:tc>
        <w:tc>
          <w:tcPr>
            <w:tcW w:w="870" w:type="dxa"/>
            <w:vAlign w:val="center"/>
          </w:tcPr>
          <w:p>
            <w:pPr>
              <w:spacing w:line="300" w:lineRule="exact"/>
              <w:jc w:val="right"/>
              <w:rPr>
                <w:rFonts w:ascii="方正书宋_GBK" w:eastAsia="方正书宋_GBK"/>
              </w:rPr>
            </w:pPr>
            <w:r>
              <w:rPr>
                <w:rFonts w:ascii="方正书宋_GBK" w:eastAsia="方正书宋_GBK"/>
              </w:rPr>
              <w:t>17000</w:t>
            </w:r>
          </w:p>
        </w:tc>
        <w:tc>
          <w:tcPr>
            <w:tcW w:w="973" w:type="dxa"/>
            <w:vAlign w:val="center"/>
          </w:tcPr>
          <w:p>
            <w:pPr>
              <w:spacing w:line="300" w:lineRule="exact"/>
              <w:jc w:val="right"/>
              <w:rPr>
                <w:rFonts w:ascii="方正书宋_GBK" w:eastAsia="方正书宋_GBK"/>
              </w:rPr>
            </w:pPr>
            <w:r>
              <w:rPr>
                <w:rFonts w:ascii="方正书宋_GBK" w:eastAsia="方正书宋_GBK"/>
              </w:rPr>
              <w:t>0.00025</w:t>
            </w:r>
          </w:p>
        </w:tc>
        <w:tc>
          <w:tcPr>
            <w:tcW w:w="992" w:type="dxa"/>
            <w:vAlign w:val="center"/>
          </w:tcPr>
          <w:p>
            <w:pPr>
              <w:spacing w:line="300" w:lineRule="exact"/>
              <w:jc w:val="right"/>
              <w:rPr>
                <w:rFonts w:ascii="方正书宋_GBK" w:eastAsia="方正书宋_GBK"/>
              </w:rPr>
            </w:pPr>
            <w:r>
              <w:rPr>
                <w:rFonts w:ascii="方正书宋_GBK" w:eastAsia="方正书宋_GBK"/>
              </w:rPr>
              <w:t>4.25</w:t>
            </w:r>
          </w:p>
        </w:tc>
        <w:tc>
          <w:tcPr>
            <w:tcW w:w="992" w:type="dxa"/>
            <w:vAlign w:val="center"/>
          </w:tcPr>
          <w:p>
            <w:pPr>
              <w:spacing w:line="300" w:lineRule="exact"/>
              <w:jc w:val="right"/>
              <w:rPr>
                <w:rFonts w:ascii="方正书宋_GBK" w:eastAsia="方正书宋_GBK"/>
              </w:rPr>
            </w:pPr>
            <w:r>
              <w:rPr>
                <w:rFonts w:ascii="方正书宋_GBK" w:eastAsia="方正书宋_GBK"/>
              </w:rPr>
              <w:t>4.25</w:t>
            </w:r>
          </w:p>
        </w:tc>
        <w:tc>
          <w:tcPr>
            <w:tcW w:w="992" w:type="dxa"/>
            <w:vAlign w:val="center"/>
          </w:tcPr>
          <w:p>
            <w:pPr>
              <w:spacing w:line="300" w:lineRule="exact"/>
              <w:jc w:val="right"/>
              <w:rPr>
                <w:rFonts w:ascii="方正书宋_GBK" w:eastAsia="方正书宋_GBK"/>
              </w:rPr>
            </w:pPr>
            <w:r>
              <w:rPr>
                <w:rFonts w:ascii="方正书宋_GBK" w:eastAsia="方正书宋_GBK"/>
              </w:rPr>
              <w:t>4.25</w:t>
            </w:r>
          </w:p>
        </w:tc>
        <w:tc>
          <w:tcPr>
            <w:tcW w:w="587"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5" w:type="dxa"/>
            <w:vAlign w:val="center"/>
          </w:tcPr>
          <w:p>
            <w:pPr>
              <w:spacing w:line="300" w:lineRule="exact"/>
              <w:jc w:val="left"/>
              <w:rPr>
                <w:rFonts w:ascii="宋体" w:cs="宋体"/>
              </w:rPr>
            </w:pPr>
            <w:r>
              <w:rPr>
                <w:rFonts w:hint="eastAsia" w:ascii="宋体" w:hAnsi="宋体" w:cs="宋体"/>
              </w:rPr>
              <w:t>维稳经费</w:t>
            </w:r>
            <w:r>
              <w:rPr>
                <w:rFonts w:ascii="宋体" w:hAnsi="宋体" w:cs="宋体"/>
              </w:rPr>
              <w:t>/</w:t>
            </w:r>
            <w:r>
              <w:rPr>
                <w:rFonts w:hint="eastAsia" w:ascii="宋体" w:hAnsi="宋体" w:cs="宋体"/>
              </w:rPr>
              <w:t>综治经费</w:t>
            </w:r>
          </w:p>
        </w:tc>
        <w:tc>
          <w:tcPr>
            <w:tcW w:w="1066" w:type="dxa"/>
            <w:vAlign w:val="center"/>
          </w:tcPr>
          <w:p>
            <w:pPr>
              <w:spacing w:line="300" w:lineRule="exact"/>
              <w:jc w:val="right"/>
              <w:rPr>
                <w:rFonts w:ascii="方正书宋_GBK" w:eastAsia="方正书宋_GBK"/>
              </w:rPr>
            </w:pPr>
            <w:r>
              <w:rPr>
                <w:rFonts w:ascii="方正书宋_GBK" w:eastAsia="方正书宋_GBK"/>
              </w:rPr>
              <w:t>31.5</w:t>
            </w:r>
          </w:p>
        </w:tc>
        <w:tc>
          <w:tcPr>
            <w:tcW w:w="941" w:type="dxa"/>
            <w:vAlign w:val="center"/>
          </w:tcPr>
          <w:p>
            <w:pPr>
              <w:spacing w:line="300" w:lineRule="exact"/>
              <w:jc w:val="left"/>
              <w:rPr>
                <w:rFonts w:ascii="方正书宋_GBK" w:eastAsia="方正书宋_GBK"/>
              </w:rPr>
            </w:pPr>
            <w:r>
              <w:rPr>
                <w:rFonts w:hint="eastAsia" w:ascii="微软雅黑" w:hAnsi="微软雅黑" w:eastAsia="微软雅黑" w:cs="微软雅黑"/>
              </w:rPr>
              <w:t>印刷品</w:t>
            </w:r>
          </w:p>
        </w:tc>
        <w:tc>
          <w:tcPr>
            <w:tcW w:w="1133" w:type="dxa"/>
            <w:vAlign w:val="center"/>
          </w:tcPr>
          <w:p>
            <w:pPr>
              <w:spacing w:line="300" w:lineRule="exact"/>
              <w:jc w:val="left"/>
              <w:rPr>
                <w:rFonts w:ascii="方正书宋_GBK" w:eastAsia="方正书宋_GBK"/>
              </w:rPr>
            </w:pPr>
            <w:r>
              <w:rPr>
                <w:rFonts w:ascii="方正书宋_GBK" w:eastAsia="方正书宋_GBK"/>
              </w:rPr>
              <w:t>A0202</w:t>
            </w:r>
          </w:p>
        </w:tc>
        <w:tc>
          <w:tcPr>
            <w:tcW w:w="851" w:type="dxa"/>
            <w:vAlign w:val="center"/>
          </w:tcPr>
          <w:p>
            <w:pPr>
              <w:spacing w:line="300" w:lineRule="exact"/>
              <w:jc w:val="left"/>
              <w:rPr>
                <w:rFonts w:ascii="宋体" w:cs="宋体"/>
              </w:rPr>
            </w:pPr>
            <w:r>
              <w:rPr>
                <w:rFonts w:hint="eastAsia" w:ascii="宋体" w:hAnsi="宋体" w:cs="宋体"/>
              </w:rPr>
              <w:t>册</w:t>
            </w:r>
          </w:p>
        </w:tc>
        <w:tc>
          <w:tcPr>
            <w:tcW w:w="870" w:type="dxa"/>
            <w:vAlign w:val="center"/>
          </w:tcPr>
          <w:p>
            <w:pPr>
              <w:spacing w:line="300" w:lineRule="exact"/>
              <w:jc w:val="right"/>
              <w:rPr>
                <w:rFonts w:ascii="方正书宋_GBK" w:eastAsia="方正书宋_GBK"/>
              </w:rPr>
            </w:pPr>
            <w:r>
              <w:rPr>
                <w:rFonts w:ascii="方正书宋_GBK" w:eastAsia="方正书宋_GBK"/>
              </w:rPr>
              <w:t>157500</w:t>
            </w:r>
          </w:p>
        </w:tc>
        <w:tc>
          <w:tcPr>
            <w:tcW w:w="973" w:type="dxa"/>
            <w:vAlign w:val="center"/>
          </w:tcPr>
          <w:p>
            <w:pPr>
              <w:spacing w:line="300" w:lineRule="exact"/>
              <w:jc w:val="right"/>
              <w:rPr>
                <w:rFonts w:ascii="方正书宋_GBK" w:eastAsia="方正书宋_GBK"/>
              </w:rPr>
            </w:pPr>
            <w:r>
              <w:rPr>
                <w:rFonts w:ascii="方正书宋_GBK" w:eastAsia="方正书宋_GBK"/>
              </w:rPr>
              <w:t>0.0002</w:t>
            </w:r>
          </w:p>
        </w:tc>
        <w:tc>
          <w:tcPr>
            <w:tcW w:w="992" w:type="dxa"/>
            <w:vAlign w:val="center"/>
          </w:tcPr>
          <w:p>
            <w:pPr>
              <w:spacing w:line="300" w:lineRule="exact"/>
              <w:jc w:val="right"/>
              <w:rPr>
                <w:rFonts w:ascii="方正书宋_GBK" w:eastAsia="方正书宋_GBK"/>
              </w:rPr>
            </w:pPr>
            <w:r>
              <w:rPr>
                <w:rFonts w:ascii="方正书宋_GBK" w:eastAsia="方正书宋_GBK"/>
              </w:rPr>
              <w:t>31.5</w:t>
            </w:r>
          </w:p>
        </w:tc>
        <w:tc>
          <w:tcPr>
            <w:tcW w:w="992" w:type="dxa"/>
            <w:vAlign w:val="center"/>
          </w:tcPr>
          <w:p>
            <w:pPr>
              <w:spacing w:line="300" w:lineRule="exact"/>
              <w:jc w:val="right"/>
              <w:rPr>
                <w:rFonts w:ascii="方正书宋_GBK" w:eastAsia="方正书宋_GBK"/>
              </w:rPr>
            </w:pPr>
            <w:r>
              <w:rPr>
                <w:rFonts w:ascii="方正书宋_GBK" w:eastAsia="方正书宋_GBK"/>
              </w:rPr>
              <w:t>31.5</w:t>
            </w:r>
          </w:p>
        </w:tc>
        <w:tc>
          <w:tcPr>
            <w:tcW w:w="992" w:type="dxa"/>
            <w:vAlign w:val="center"/>
          </w:tcPr>
          <w:p>
            <w:pPr>
              <w:spacing w:line="300" w:lineRule="exact"/>
              <w:jc w:val="right"/>
              <w:rPr>
                <w:rFonts w:ascii="方正书宋_GBK" w:eastAsia="方正书宋_GBK"/>
              </w:rPr>
            </w:pPr>
            <w:r>
              <w:rPr>
                <w:rFonts w:ascii="方正书宋_GBK" w:eastAsia="方正书宋_GBK"/>
              </w:rPr>
              <w:t>31.5</w:t>
            </w:r>
          </w:p>
        </w:tc>
        <w:tc>
          <w:tcPr>
            <w:tcW w:w="587"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2415" w:type="dxa"/>
            <w:vAlign w:val="center"/>
          </w:tcPr>
          <w:p>
            <w:pPr>
              <w:spacing w:line="300" w:lineRule="exact"/>
              <w:jc w:val="left"/>
              <w:rPr>
                <w:rFonts w:ascii="宋体" w:cs="宋体"/>
              </w:rPr>
            </w:pPr>
            <w:r>
              <w:rPr>
                <w:rFonts w:hint="eastAsia" w:ascii="宋体" w:hAnsi="宋体" w:cs="宋体"/>
              </w:rPr>
              <w:t>日常办公费</w:t>
            </w:r>
          </w:p>
        </w:tc>
        <w:tc>
          <w:tcPr>
            <w:tcW w:w="1066" w:type="dxa"/>
            <w:vAlign w:val="center"/>
          </w:tcPr>
          <w:p>
            <w:pPr>
              <w:spacing w:line="300" w:lineRule="exact"/>
              <w:jc w:val="right"/>
              <w:rPr>
                <w:rFonts w:ascii="方正书宋_GBK" w:eastAsia="方正书宋_GBK"/>
              </w:rPr>
            </w:pPr>
            <w:r>
              <w:rPr>
                <w:rFonts w:ascii="方正书宋_GBK" w:eastAsia="方正书宋_GBK"/>
              </w:rPr>
              <w:t>1.44</w:t>
            </w:r>
          </w:p>
        </w:tc>
        <w:tc>
          <w:tcPr>
            <w:tcW w:w="941" w:type="dxa"/>
            <w:vAlign w:val="center"/>
          </w:tcPr>
          <w:p>
            <w:pPr>
              <w:spacing w:line="300" w:lineRule="exact"/>
              <w:jc w:val="left"/>
              <w:rPr>
                <w:rFonts w:ascii="方正书宋_GBK" w:eastAsia="方正书宋_GBK"/>
              </w:rPr>
            </w:pPr>
            <w:r>
              <w:rPr>
                <w:rFonts w:hint="eastAsia" w:ascii="微软雅黑" w:hAnsi="微软雅黑" w:eastAsia="微软雅黑" w:cs="微软雅黑"/>
              </w:rPr>
              <w:t>打印纸</w:t>
            </w:r>
          </w:p>
        </w:tc>
        <w:tc>
          <w:tcPr>
            <w:tcW w:w="1133" w:type="dxa"/>
            <w:vAlign w:val="center"/>
          </w:tcPr>
          <w:p>
            <w:pPr>
              <w:spacing w:line="300" w:lineRule="exact"/>
              <w:jc w:val="left"/>
              <w:rPr>
                <w:rFonts w:ascii="方正书宋_GBK" w:eastAsia="方正书宋_GBK"/>
              </w:rPr>
            </w:pPr>
            <w:r>
              <w:rPr>
                <w:rFonts w:ascii="方正书宋_GBK" w:eastAsia="方正书宋_GBK"/>
              </w:rPr>
              <w:t>A0901</w:t>
            </w:r>
          </w:p>
        </w:tc>
        <w:tc>
          <w:tcPr>
            <w:tcW w:w="851" w:type="dxa"/>
            <w:vAlign w:val="center"/>
          </w:tcPr>
          <w:p>
            <w:pPr>
              <w:spacing w:line="300" w:lineRule="exact"/>
              <w:jc w:val="left"/>
              <w:rPr>
                <w:rFonts w:ascii="宋体" w:cs="宋体"/>
              </w:rPr>
            </w:pPr>
            <w:r>
              <w:rPr>
                <w:rFonts w:hint="eastAsia" w:ascii="宋体" w:hAnsi="宋体" w:cs="宋体"/>
              </w:rPr>
              <w:t>箱</w:t>
            </w:r>
          </w:p>
        </w:tc>
        <w:tc>
          <w:tcPr>
            <w:tcW w:w="870" w:type="dxa"/>
            <w:vAlign w:val="center"/>
          </w:tcPr>
          <w:p>
            <w:pPr>
              <w:spacing w:line="300" w:lineRule="exact"/>
              <w:jc w:val="right"/>
              <w:rPr>
                <w:rFonts w:ascii="方正书宋_GBK" w:eastAsia="方正书宋_GBK"/>
              </w:rPr>
            </w:pPr>
            <w:r>
              <w:rPr>
                <w:rFonts w:ascii="方正书宋_GBK" w:eastAsia="方正书宋_GBK"/>
              </w:rPr>
              <w:t>50</w:t>
            </w:r>
          </w:p>
        </w:tc>
        <w:tc>
          <w:tcPr>
            <w:tcW w:w="973" w:type="dxa"/>
            <w:vAlign w:val="center"/>
          </w:tcPr>
          <w:p>
            <w:pPr>
              <w:spacing w:line="300" w:lineRule="exact"/>
              <w:jc w:val="right"/>
              <w:rPr>
                <w:rFonts w:ascii="方正书宋_GBK" w:eastAsia="方正书宋_GBK"/>
              </w:rPr>
            </w:pPr>
            <w:r>
              <w:rPr>
                <w:rFonts w:ascii="方正书宋_GBK" w:eastAsia="方正书宋_GBK"/>
              </w:rPr>
              <w:t>0.0288</w:t>
            </w:r>
          </w:p>
        </w:tc>
        <w:tc>
          <w:tcPr>
            <w:tcW w:w="992" w:type="dxa"/>
            <w:vAlign w:val="center"/>
          </w:tcPr>
          <w:p>
            <w:pPr>
              <w:spacing w:line="300" w:lineRule="exact"/>
              <w:jc w:val="right"/>
              <w:rPr>
                <w:rFonts w:ascii="方正书宋_GBK" w:eastAsia="方正书宋_GBK"/>
              </w:rPr>
            </w:pPr>
            <w:r>
              <w:rPr>
                <w:rFonts w:ascii="方正书宋_GBK" w:eastAsia="方正书宋_GBK"/>
              </w:rPr>
              <w:t>1.44</w:t>
            </w:r>
          </w:p>
        </w:tc>
        <w:tc>
          <w:tcPr>
            <w:tcW w:w="992" w:type="dxa"/>
            <w:vAlign w:val="center"/>
          </w:tcPr>
          <w:p>
            <w:pPr>
              <w:spacing w:line="300" w:lineRule="exact"/>
              <w:jc w:val="right"/>
              <w:rPr>
                <w:rFonts w:ascii="方正书宋_GBK" w:eastAsia="方正书宋_GBK"/>
              </w:rPr>
            </w:pPr>
            <w:r>
              <w:rPr>
                <w:rFonts w:ascii="方正书宋_GBK" w:eastAsia="方正书宋_GBK"/>
              </w:rPr>
              <w:t>1.44</w:t>
            </w:r>
          </w:p>
        </w:tc>
        <w:tc>
          <w:tcPr>
            <w:tcW w:w="992" w:type="dxa"/>
            <w:vAlign w:val="center"/>
          </w:tcPr>
          <w:p>
            <w:pPr>
              <w:spacing w:line="300" w:lineRule="exact"/>
              <w:jc w:val="right"/>
              <w:rPr>
                <w:rFonts w:ascii="方正书宋_GBK" w:eastAsia="方正书宋_GBK"/>
              </w:rPr>
            </w:pPr>
            <w:r>
              <w:rPr>
                <w:rFonts w:ascii="方正书宋_GBK" w:eastAsia="方正书宋_GBK"/>
              </w:rPr>
              <w:t>1.44</w:t>
            </w:r>
          </w:p>
        </w:tc>
        <w:tc>
          <w:tcPr>
            <w:tcW w:w="587"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933"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r>
    </w:tbl>
    <w:p>
      <w:pPr>
        <w:spacing w:line="300" w:lineRule="exact"/>
        <w:jc w:val="left"/>
        <w:outlineLvl w:val="0"/>
        <w:sectPr>
          <w:pgSz w:w="16839" w:h="11907" w:orient="landscape"/>
          <w:pgMar w:top="1361" w:right="1020" w:bottom="1361" w:left="1020"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中共隆尧县委政法委</w:t>
      </w:r>
      <w:r>
        <w:rPr>
          <w:rFonts w:ascii="Times New Roman" w:hAnsi="Times New Roman" w:eastAsia="仿宋" w:cs="Times New Roman"/>
          <w:color w:val="000000"/>
          <w:sz w:val="32"/>
          <w:szCs w:val="32"/>
        </w:rPr>
        <w:t>2020</w:t>
      </w:r>
      <w:r>
        <w:rPr>
          <w:rFonts w:hint="eastAsia" w:ascii="Times New Roman" w:hAnsi="Times New Roman" w:eastAsia="仿宋" w:cs="Times New Roman"/>
          <w:color w:val="000000"/>
          <w:sz w:val="32"/>
          <w:szCs w:val="32"/>
        </w:rPr>
        <w:t>年末固定资产金额为</w:t>
      </w:r>
      <w:r>
        <w:rPr>
          <w:rFonts w:ascii="Times New Roman" w:hAnsi="Times New Roman" w:eastAsia="仿宋" w:cs="Times New Roman"/>
          <w:color w:val="000000"/>
          <w:sz w:val="32"/>
          <w:szCs w:val="32"/>
        </w:rPr>
        <w:t>8.79</w:t>
      </w:r>
      <w:r>
        <w:rPr>
          <w:rFonts w:hint="eastAsia" w:ascii="Times New Roman" w:hAnsi="Times New Roman" w:eastAsia="仿宋" w:cs="Times New Roman"/>
          <w:color w:val="000000"/>
          <w:sz w:val="32"/>
          <w:szCs w:val="32"/>
        </w:rPr>
        <w:t>万元（详见下表），本年度拟购置固定资产总额为</w:t>
      </w:r>
      <w:r>
        <w:rPr>
          <w:rFonts w:ascii="Times New Roman" w:hAnsi="Times New Roman" w:eastAsia="仿宋" w:cs="Times New Roman"/>
          <w:color w:val="000000"/>
          <w:sz w:val="32"/>
          <w:szCs w:val="32"/>
        </w:rPr>
        <w:t>155.015</w:t>
      </w:r>
      <w:r>
        <w:rPr>
          <w:rFonts w:hint="eastAsia" w:ascii="Times New Roman" w:hAnsi="Times New Roman" w:eastAsia="仿宋" w:cs="Times New Roman"/>
          <w:color w:val="000000"/>
          <w:sz w:val="32"/>
          <w:szCs w:val="32"/>
        </w:rPr>
        <w:t>万元，主要为综治视联网和综治中心建设设备等，已列入政府采购预算表，详见政府采购预算表。</w:t>
      </w:r>
    </w:p>
    <w:tbl>
      <w:tblPr>
        <w:tblStyle w:val="9"/>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宋体"/>
                <w:b/>
                <w:bCs/>
                <w:kern w:val="0"/>
                <w:sz w:val="32"/>
                <w:szCs w:val="32"/>
              </w:rPr>
            </w:pPr>
            <w:r>
              <w:rPr>
                <w:rFonts w:hint="eastAsia" w:ascii="宋体" w:hAnsi="宋体" w:cs="宋体"/>
                <w:b/>
                <w:bCs/>
                <w:kern w:val="0"/>
                <w:sz w:val="32"/>
                <w:szCs w:val="32"/>
              </w:rPr>
              <w:t>河北省隆尧县县直部门固定资产占用情况表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编制部门：县委政法委</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hint="eastAsia" w:ascii="Times New Roman" w:hAnsi="Times New Roman" w:eastAsia="仿宋" w:cs="Times New Roman"/>
                <w:kern w:val="0"/>
                <w:sz w:val="22"/>
              </w:rPr>
              <w:t>截止时间：</w:t>
            </w:r>
            <w:r>
              <w:rPr>
                <w:rFonts w:ascii="Times New Roman" w:hAnsi="Times New Roman" w:eastAsia="仿宋" w:cs="Times New Roman"/>
                <w:kern w:val="0"/>
                <w:sz w:val="22"/>
              </w:rPr>
              <w:t>2020</w:t>
            </w:r>
            <w:r>
              <w:rPr>
                <w:rFonts w:hint="eastAsia" w:ascii="Times New Roman" w:hAnsi="Times New Roman" w:eastAsia="仿宋" w:cs="Times New Roman"/>
                <w:kern w:val="0"/>
                <w:sz w:val="22"/>
              </w:rPr>
              <w:t>年</w:t>
            </w:r>
            <w:r>
              <w:rPr>
                <w:rFonts w:ascii="Times New Roman" w:hAnsi="Times New Roman" w:eastAsia="仿宋" w:cs="Times New Roman"/>
                <w:kern w:val="0"/>
                <w:sz w:val="22"/>
              </w:rPr>
              <w:t>12</w:t>
            </w:r>
            <w:r>
              <w:rPr>
                <w:rFonts w:hint="eastAsia" w:ascii="Times New Roman" w:hAnsi="Times New Roman" w:eastAsia="仿宋" w:cs="Times New Roman"/>
                <w:kern w:val="0"/>
                <w:sz w:val="22"/>
              </w:rPr>
              <w:t>月</w:t>
            </w:r>
            <w:r>
              <w:rPr>
                <w:rFonts w:ascii="Times New Roman" w:hAnsi="Times New Roman" w:eastAsia="仿宋" w:cs="Times New Roman"/>
                <w:kern w:val="0"/>
                <w:sz w:val="22"/>
              </w:rPr>
              <w:t>31</w:t>
            </w:r>
            <w:r>
              <w:rPr>
                <w:rFonts w:hint="eastAsia" w:ascii="Times New Roman" w:hAnsi="Times New Roman" w:eastAsia="仿宋" w:cs="Times New Roman"/>
                <w:kern w:val="0"/>
                <w:sz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000000"/>
                <w:kern w:val="0"/>
                <w:sz w:val="22"/>
              </w:rPr>
            </w:pPr>
            <w:r>
              <w:rPr>
                <w:rFonts w:ascii="Times New Roman" w:hAnsi="Times New Roman" w:eastAsia="仿宋" w:cs="Times New Roman"/>
                <w:color w:val="000000"/>
                <w:kern w:val="0"/>
                <w:sz w:val="22"/>
              </w:rPr>
              <w:t>8.79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w:t>
            </w:r>
            <w:r>
              <w:rPr>
                <w:rFonts w:hint="eastAsia" w:ascii="Times New Roman" w:hAnsi="Times New Roman" w:eastAsia="仿宋" w:cs="Times New Roman"/>
                <w:kern w:val="0"/>
                <w:sz w:val="22"/>
              </w:rPr>
              <w:t>、房屋（平方米）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hint="eastAsia"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w:t>
            </w:r>
            <w:r>
              <w:rPr>
                <w:rFonts w:hint="eastAsia" w:ascii="Times New Roman" w:hAnsi="Times New Roman" w:eastAsia="仿宋" w:cs="Times New Roman"/>
                <w:kern w:val="0"/>
                <w:sz w:val="22"/>
              </w:rPr>
              <w:t>、车辆（台、辆）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w:t>
            </w:r>
            <w:r>
              <w:rPr>
                <w:rFonts w:hint="eastAsia" w:ascii="Times New Roman" w:hAnsi="Times New Roman" w:eastAsia="仿宋" w:cs="Times New Roman"/>
                <w:kern w:val="0"/>
                <w:sz w:val="22"/>
              </w:rPr>
              <w:t>、其他设备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8.79</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w:t>
            </w:r>
            <w:r>
              <w:rPr>
                <w:rFonts w:hint="eastAsia" w:ascii="Times New Roman" w:hAnsi="Times New Roman" w:eastAsia="仿宋" w:cs="Times New Roman"/>
                <w:kern w:val="0"/>
                <w:sz w:val="22"/>
              </w:rPr>
              <w:t>、其他固定资产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Times New Roman"/>
          <w:sz w:val="32"/>
          <w:szCs w:val="32"/>
        </w:rPr>
        <w:t>、一般公共预算拨款收入：指省级财政当年拨付的资金。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Times New Roman"/>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Times New Roman"/>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Times New Roman"/>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Times New Roman"/>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Times New Roman"/>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Times New Roman"/>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Times New Roman"/>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Times New Roman"/>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Times New Roman"/>
          <w:sz w:val="32"/>
          <w:szCs w:val="32"/>
        </w:rPr>
        <w:t>、事业单位经营支出：指事业单位在专业业务活动及其辅助活动之外开展非独立核算经营活动发生的支出。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ourier New">
    <w:panose1 w:val="02070309020205020404"/>
    <w:charset w:val="00"/>
    <w:family w:val="modern"/>
    <w:pitch w:val="default"/>
    <w:sig w:usb0="E0002EFF" w:usb1="C0007843" w:usb2="00000009" w:usb3="00000000" w:csb0="400001FF" w:csb1="FFFF0000"/>
  </w:font>
  <w:font w:name="方正小标宋_GBK">
    <w:altName w:val="SimSun-ExtB"/>
    <w:panose1 w:val="00000000000000000000"/>
    <w:charset w:val="86"/>
    <w:family w:val="script"/>
    <w:pitch w:val="default"/>
    <w:sig w:usb0="00000000" w:usb1="00000000" w:usb2="00000010" w:usb3="00000000" w:csb0="00040000" w:csb1="00000000"/>
  </w:font>
  <w:font w:name="SimSun-ExtB">
    <w:panose1 w:val="02010609060101010101"/>
    <w:charset w:val="86"/>
    <w:family w:val="auto"/>
    <w:pitch w:val="default"/>
    <w:sig w:usb0="00000001" w:usb1="02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0000000000000000000"/>
    <w:charset w:val="86"/>
    <w:family w:val="modern"/>
    <w:pitch w:val="default"/>
    <w:sig w:usb0="00000000" w:usb1="00000000" w:usb2="00000010" w:usb3="00000000" w:csb0="00040000" w:csb1="00000000"/>
  </w:font>
  <w:font w:name="方正书宋_GBK">
    <w:altName w:val="SimSun-ExtB"/>
    <w:panose1 w:val="00000000000000000000"/>
    <w:charset w:val="86"/>
    <w:family w:val="script"/>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宋体-方正超大字符集">
    <w:altName w:val="SimSun-ExtB"/>
    <w:panose1 w:val="00000000000000000000"/>
    <w:charset w:val="86"/>
    <w:family w:val="script"/>
    <w:pitch w:val="default"/>
    <w:sig w:usb0="00000000" w:usb1="00000000" w:usb2="0000001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2"/>
  </w:compat>
  <w:docVars>
    <w:docVar w:name="commondata" w:val="eyJoZGlkIjoiNWUyOWExZTdhZTQ4YjUyNTVjYWZhNDc3NGUxOTUwZGQifQ=="/>
  </w:docVars>
  <w:rsids>
    <w:rsidRoot w:val="00C67CC4"/>
    <w:rsid w:val="0000235E"/>
    <w:rsid w:val="00042705"/>
    <w:rsid w:val="0009273E"/>
    <w:rsid w:val="000A2C43"/>
    <w:rsid w:val="00107486"/>
    <w:rsid w:val="001215C5"/>
    <w:rsid w:val="00126D48"/>
    <w:rsid w:val="00142B55"/>
    <w:rsid w:val="00150A79"/>
    <w:rsid w:val="0016599B"/>
    <w:rsid w:val="001C48E4"/>
    <w:rsid w:val="001E4E80"/>
    <w:rsid w:val="002047CF"/>
    <w:rsid w:val="00247AFA"/>
    <w:rsid w:val="00302D6F"/>
    <w:rsid w:val="003173FF"/>
    <w:rsid w:val="00324894"/>
    <w:rsid w:val="00332066"/>
    <w:rsid w:val="003445CB"/>
    <w:rsid w:val="003A3974"/>
    <w:rsid w:val="003B56C8"/>
    <w:rsid w:val="003C639F"/>
    <w:rsid w:val="003E1026"/>
    <w:rsid w:val="003F3856"/>
    <w:rsid w:val="003F4292"/>
    <w:rsid w:val="004006F2"/>
    <w:rsid w:val="004248B4"/>
    <w:rsid w:val="00425FEC"/>
    <w:rsid w:val="00432CE7"/>
    <w:rsid w:val="004346C1"/>
    <w:rsid w:val="00455043"/>
    <w:rsid w:val="004555F9"/>
    <w:rsid w:val="00457F8E"/>
    <w:rsid w:val="0046545D"/>
    <w:rsid w:val="00470B3A"/>
    <w:rsid w:val="004766F2"/>
    <w:rsid w:val="00476B31"/>
    <w:rsid w:val="00487571"/>
    <w:rsid w:val="004B7C86"/>
    <w:rsid w:val="004D4790"/>
    <w:rsid w:val="00500708"/>
    <w:rsid w:val="00511E21"/>
    <w:rsid w:val="00591711"/>
    <w:rsid w:val="0062062F"/>
    <w:rsid w:val="00626607"/>
    <w:rsid w:val="00627EBB"/>
    <w:rsid w:val="006A5F6D"/>
    <w:rsid w:val="006A604C"/>
    <w:rsid w:val="006B468A"/>
    <w:rsid w:val="006D357E"/>
    <w:rsid w:val="006E18BE"/>
    <w:rsid w:val="006F594D"/>
    <w:rsid w:val="00700228"/>
    <w:rsid w:val="00743238"/>
    <w:rsid w:val="00747CA6"/>
    <w:rsid w:val="00773720"/>
    <w:rsid w:val="007941F0"/>
    <w:rsid w:val="007B20EC"/>
    <w:rsid w:val="007E66E3"/>
    <w:rsid w:val="008261AE"/>
    <w:rsid w:val="00853878"/>
    <w:rsid w:val="00875648"/>
    <w:rsid w:val="0087709D"/>
    <w:rsid w:val="00897A2F"/>
    <w:rsid w:val="008B0E8B"/>
    <w:rsid w:val="008C34D3"/>
    <w:rsid w:val="008F3ABD"/>
    <w:rsid w:val="0090256E"/>
    <w:rsid w:val="00951A42"/>
    <w:rsid w:val="009731E3"/>
    <w:rsid w:val="0099353C"/>
    <w:rsid w:val="009B0475"/>
    <w:rsid w:val="009B3890"/>
    <w:rsid w:val="009C78BB"/>
    <w:rsid w:val="009D2EC4"/>
    <w:rsid w:val="00A322BC"/>
    <w:rsid w:val="00A42FA0"/>
    <w:rsid w:val="00A5050A"/>
    <w:rsid w:val="00A608C8"/>
    <w:rsid w:val="00AB391C"/>
    <w:rsid w:val="00AD14FB"/>
    <w:rsid w:val="00AD776C"/>
    <w:rsid w:val="00AE42F7"/>
    <w:rsid w:val="00B03901"/>
    <w:rsid w:val="00B07D69"/>
    <w:rsid w:val="00B44F0F"/>
    <w:rsid w:val="00BA7E1B"/>
    <w:rsid w:val="00BB637A"/>
    <w:rsid w:val="00BC4B45"/>
    <w:rsid w:val="00BC4C2B"/>
    <w:rsid w:val="00BF3F0E"/>
    <w:rsid w:val="00C25A3D"/>
    <w:rsid w:val="00C40AA4"/>
    <w:rsid w:val="00C6084C"/>
    <w:rsid w:val="00C67CC4"/>
    <w:rsid w:val="00C805F2"/>
    <w:rsid w:val="00C906FF"/>
    <w:rsid w:val="00CE6BF7"/>
    <w:rsid w:val="00CF5E6F"/>
    <w:rsid w:val="00D14D61"/>
    <w:rsid w:val="00D4579E"/>
    <w:rsid w:val="00D62B9A"/>
    <w:rsid w:val="00DD0623"/>
    <w:rsid w:val="00E421C6"/>
    <w:rsid w:val="00E464CE"/>
    <w:rsid w:val="00E57191"/>
    <w:rsid w:val="00E62B52"/>
    <w:rsid w:val="00E64EEC"/>
    <w:rsid w:val="00EB261A"/>
    <w:rsid w:val="00EC119D"/>
    <w:rsid w:val="00EC3709"/>
    <w:rsid w:val="00ED3497"/>
    <w:rsid w:val="00F1586A"/>
    <w:rsid w:val="00F17F39"/>
    <w:rsid w:val="00F21DB4"/>
    <w:rsid w:val="00F30761"/>
    <w:rsid w:val="00F50D6B"/>
    <w:rsid w:val="00F73D27"/>
    <w:rsid w:val="00F95463"/>
    <w:rsid w:val="00FD0EEE"/>
    <w:rsid w:val="00FF4D70"/>
    <w:rsid w:val="02D17B65"/>
    <w:rsid w:val="1AA0760C"/>
    <w:rsid w:val="62FA46DB"/>
    <w:rsid w:val="6A503237"/>
  </w:rsids>
  <m:mathPr>
    <m:mathFont m:val="Cambria Math"/>
    <m:brkBin m:val="before"/>
    <m:brkBinSub m:val="--"/>
    <m:smallFrac m:val="1"/>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99" w:semiHidden="0" w:name="toc 1"/>
    <w:lsdException w:unhideWhenUsed="0" w:uiPriority="99" w:semiHidden="0"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nhideWhenUsed="0" w:uiPriority="99" w:semiHidden="0" w:name="footnote text"/>
    <w:lsdException w:uiPriority="99" w:name="annotation text"/>
    <w:lsdException w:unhideWhenUsed="0" w:uiPriority="99" w:semiHidden="0" w:name="header"/>
    <w:lsdException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nhideWhenUsed="0" w:uiPriority="99"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nhideWhenUsed="0"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10">
    <w:name w:val="Default Paragraph Font"/>
    <w:semiHidden/>
    <w:unhideWhenUsed/>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Plain Text"/>
    <w:basedOn w:val="1"/>
    <w:link w:val="16"/>
    <w:uiPriority w:val="99"/>
    <w:rPr>
      <w:rFonts w:ascii="宋体" w:hAnsi="Courier New" w:cs="Courier New"/>
      <w:szCs w:val="21"/>
    </w:rPr>
  </w:style>
  <w:style w:type="paragraph" w:styleId="3">
    <w:name w:val="Balloon Text"/>
    <w:basedOn w:val="1"/>
    <w:link w:val="17"/>
    <w:semiHidden/>
    <w:unhideWhenUsed/>
    <w:uiPriority w:val="99"/>
    <w:rPr>
      <w:sz w:val="18"/>
      <w:szCs w:val="18"/>
    </w:rPr>
  </w:style>
  <w:style w:type="paragraph" w:styleId="4">
    <w:name w:val="footer"/>
    <w:basedOn w:val="1"/>
    <w:link w:val="12"/>
    <w:uiPriority w:val="99"/>
    <w:pPr>
      <w:tabs>
        <w:tab w:val="center" w:pos="4153"/>
        <w:tab w:val="right" w:pos="8306"/>
      </w:tabs>
      <w:snapToGrid w:val="0"/>
      <w:jc w:val="left"/>
    </w:pPr>
    <w:rPr>
      <w:rFonts w:ascii="Times New Roman" w:hAnsi="Times New Roman" w:cs="Times New Roman"/>
      <w:kern w:val="0"/>
      <w:sz w:val="18"/>
      <w:szCs w:val="18"/>
    </w:rPr>
  </w:style>
  <w:style w:type="paragraph" w:styleId="5">
    <w:name w:val="header"/>
    <w:basedOn w:val="1"/>
    <w:link w:val="13"/>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6">
    <w:name w:val="toc 1"/>
    <w:basedOn w:val="1"/>
    <w:next w:val="1"/>
    <w:uiPriority w:val="99"/>
    <w:rPr>
      <w:rFonts w:ascii="Times New Roman" w:hAnsi="Times New Roman" w:cs="Times New Roman"/>
      <w:szCs w:val="24"/>
    </w:rPr>
  </w:style>
  <w:style w:type="paragraph" w:styleId="7">
    <w:name w:val="footnote text"/>
    <w:basedOn w:val="1"/>
    <w:link w:val="14"/>
    <w:uiPriority w:val="99"/>
    <w:pPr>
      <w:snapToGrid w:val="0"/>
      <w:jc w:val="left"/>
    </w:pPr>
    <w:rPr>
      <w:sz w:val="18"/>
      <w:szCs w:val="18"/>
    </w:rPr>
  </w:style>
  <w:style w:type="paragraph" w:styleId="8">
    <w:name w:val="toc 2"/>
    <w:basedOn w:val="1"/>
    <w:next w:val="1"/>
    <w:uiPriority w:val="99"/>
    <w:pPr>
      <w:ind w:left="420" w:leftChars="200"/>
    </w:pPr>
    <w:rPr>
      <w:rFonts w:ascii="Times New Roman" w:hAnsi="Times New Roman" w:cs="Times New Roman"/>
      <w:szCs w:val="24"/>
    </w:rPr>
  </w:style>
  <w:style w:type="character" w:styleId="11">
    <w:name w:val="footnote reference"/>
    <w:basedOn w:val="10"/>
    <w:uiPriority w:val="99"/>
    <w:rPr>
      <w:rFonts w:cs="Times New Roman"/>
      <w:vertAlign w:val="superscript"/>
    </w:rPr>
  </w:style>
  <w:style w:type="character" w:customStyle="1" w:styleId="12">
    <w:name w:val="页脚 Char"/>
    <w:basedOn w:val="10"/>
    <w:link w:val="4"/>
    <w:semiHidden/>
    <w:locked/>
    <w:uiPriority w:val="99"/>
    <w:rPr>
      <w:rFonts w:ascii="Times New Roman" w:hAnsi="Times New Roman" w:eastAsia="宋体"/>
      <w:sz w:val="18"/>
    </w:rPr>
  </w:style>
  <w:style w:type="character" w:customStyle="1" w:styleId="13">
    <w:name w:val="页眉 Char"/>
    <w:basedOn w:val="10"/>
    <w:link w:val="5"/>
    <w:semiHidden/>
    <w:locked/>
    <w:uiPriority w:val="99"/>
    <w:rPr>
      <w:rFonts w:ascii="Times New Roman" w:hAnsi="Times New Roman" w:eastAsia="宋体"/>
      <w:sz w:val="18"/>
    </w:rPr>
  </w:style>
  <w:style w:type="character" w:customStyle="1" w:styleId="14">
    <w:name w:val="脚注文本 Char"/>
    <w:basedOn w:val="10"/>
    <w:link w:val="7"/>
    <w:semiHidden/>
    <w:uiPriority w:val="99"/>
    <w:rPr>
      <w:rFonts w:ascii="Calibri" w:hAnsi="Calibri" w:cs="黑体"/>
      <w:sz w:val="18"/>
      <w:szCs w:val="18"/>
    </w:rPr>
  </w:style>
  <w:style w:type="paragraph" w:customStyle="1" w:styleId="15">
    <w:name w:val="Char"/>
    <w:basedOn w:val="1"/>
    <w:uiPriority w:val="99"/>
    <w:rPr>
      <w:rFonts w:ascii="Times New Roman" w:hAnsi="Times New Roman" w:cs="Times New Roman"/>
      <w:szCs w:val="24"/>
    </w:rPr>
  </w:style>
  <w:style w:type="character" w:customStyle="1" w:styleId="16">
    <w:name w:val="纯文本 Char"/>
    <w:basedOn w:val="10"/>
    <w:link w:val="2"/>
    <w:qFormat/>
    <w:locked/>
    <w:uiPriority w:val="99"/>
    <w:rPr>
      <w:rFonts w:ascii="宋体" w:hAnsi="Courier New" w:cs="Courier New"/>
      <w:kern w:val="2"/>
      <w:sz w:val="21"/>
      <w:szCs w:val="21"/>
    </w:rPr>
  </w:style>
  <w:style w:type="character" w:customStyle="1" w:styleId="17">
    <w:name w:val="批注框文本 Char"/>
    <w:basedOn w:val="10"/>
    <w:link w:val="3"/>
    <w:semiHidden/>
    <w:uiPriority w:val="99"/>
    <w:rPr>
      <w:rFonts w:ascii="Calibri" w:hAnsi="Calibri" w:cs="黑体"/>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10</Pages>
  <Words>3870</Words>
  <Characters>4327</Characters>
  <Lines>33</Lines>
  <Paragraphs>9</Paragraphs>
  <TotalTime>5</TotalTime>
  <ScaleCrop>false</ScaleCrop>
  <LinksUpToDate>false</LinksUpToDate>
  <CharactersWithSpaces>4368</CharactersWithSpaces>
  <Application>WPS Office_11.1.0.12313_F1E327BC-269C-435d-A152-05C5408002CA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2017-01-23T09:29:00Z</dcterms:created>
  <dc:creator>guest</dc:creator>
  <cp:lastModifiedBy>微信用户</cp:lastModifiedBy>
  <cp:lastPrinted>2020-02-08T05:46:00Z</cp:lastPrinted>
  <dcterms:modified xsi:type="dcterms:W3CDTF">2022-08-30T02:09:53Z</dcterms:modified>
  <dc:title>o</dc:title>
  <cp:revision>78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2052-11.1.0.12313</vt:lpwstr>
  </property>
  <property fmtid="{D5CDD505-2E9C-101B-9397-08002B2CF9AE}" pid="3" name="ICV">
    <vt:lpwstr>493292F02D144EA79EA508DA0F5B821A</vt:lpwstr>
  </property>
</Properties>
</file>