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Times New Roman" w:hAnsi="Times New Roman" w:eastAsia="方正小标宋_GBK" w:cs="Times New Roman"/>
          <w:sz w:val="44"/>
          <w:szCs w:val="44"/>
        </w:rPr>
      </w:pPr>
    </w:p>
    <w:p>
      <w:pPr>
        <w:jc w:val="center"/>
        <w:rPr>
          <w:rFonts w:ascii="Times New Roman" w:hAnsi="Times New Roman" w:eastAsia="方正小标宋_GBK" w:cs="Times New Roman"/>
          <w:sz w:val="44"/>
          <w:szCs w:val="44"/>
        </w:rPr>
      </w:pPr>
      <w:r>
        <w:rPr>
          <w:rFonts w:hint="eastAsia" w:ascii="Times New Roman" w:hAnsi="Times New Roman" w:eastAsia="方正小标宋_GBK" w:cs="Times New Roman"/>
          <w:sz w:val="44"/>
          <w:szCs w:val="44"/>
        </w:rPr>
        <w:t>隆尧县残联</w:t>
      </w:r>
      <w:r>
        <w:rPr>
          <w:rFonts w:ascii="Times New Roman" w:hAnsi="Times New Roman" w:eastAsia="方正小标宋_GBK" w:cs="Times New Roman"/>
          <w:sz w:val="44"/>
          <w:szCs w:val="44"/>
        </w:rPr>
        <w:t>20</w:t>
      </w:r>
      <w:r>
        <w:rPr>
          <w:rFonts w:hint="eastAsia" w:ascii="Times New Roman" w:hAnsi="Times New Roman" w:eastAsia="方正小标宋_GBK" w:cs="Times New Roman"/>
          <w:sz w:val="44"/>
          <w:szCs w:val="44"/>
          <w:lang w:val="en-US" w:eastAsia="zh-CN"/>
        </w:rPr>
        <w:t>21</w:t>
      </w:r>
      <w:r>
        <w:rPr>
          <w:rFonts w:ascii="Times New Roman" w:hAnsi="Times New Roman" w:eastAsia="方正小标宋_GBK" w:cs="Times New Roman"/>
          <w:sz w:val="44"/>
          <w:szCs w:val="44"/>
        </w:rPr>
        <w:t>年部门预算信息公开</w:t>
      </w:r>
      <w:r>
        <w:rPr>
          <w:rFonts w:hint="eastAsia" w:ascii="Times New Roman" w:hAnsi="Times New Roman" w:eastAsia="方正小标宋_GBK" w:cs="Times New Roman"/>
          <w:sz w:val="44"/>
          <w:szCs w:val="44"/>
        </w:rPr>
        <w:t>情况说明</w:t>
      </w:r>
    </w:p>
    <w:p>
      <w:pPr>
        <w:jc w:val="center"/>
        <w:rPr>
          <w:rFonts w:ascii="Times New Roman" w:hAnsi="Times New Roman" w:eastAsia="方正小标宋_GBK" w:cs="Times New Roman"/>
          <w:sz w:val="44"/>
          <w:szCs w:val="44"/>
        </w:rPr>
      </w:pPr>
    </w:p>
    <w:p>
      <w:pPr>
        <w:ind w:firstLine="640" w:firstLineChars="200"/>
        <w:rPr>
          <w:rFonts w:ascii="仿宋" w:hAnsi="仿宋" w:eastAsia="仿宋" w:cs="Times New Roman"/>
          <w:sz w:val="32"/>
          <w:szCs w:val="32"/>
        </w:rPr>
      </w:pPr>
      <w:r>
        <w:rPr>
          <w:rFonts w:ascii="仿宋" w:hAnsi="仿宋" w:eastAsia="仿宋" w:cs="Times New Roman"/>
          <w:sz w:val="32"/>
          <w:szCs w:val="32"/>
        </w:rPr>
        <w:t>按照</w:t>
      </w:r>
      <w:r>
        <w:rPr>
          <w:rFonts w:hint="eastAsia" w:ascii="仿宋" w:hAnsi="仿宋" w:eastAsia="仿宋" w:cs="Times New Roman"/>
          <w:sz w:val="32"/>
          <w:szCs w:val="32"/>
        </w:rPr>
        <w:t>《预算法》、</w:t>
      </w:r>
      <w:r>
        <w:rPr>
          <w:rFonts w:ascii="仿宋" w:hAnsi="仿宋" w:eastAsia="仿宋" w:cs="Times New Roman"/>
          <w:sz w:val="32"/>
          <w:szCs w:val="32"/>
        </w:rPr>
        <w:t>《地方预决算公开操作规程》和《河北省省级预算公开办法》</w:t>
      </w:r>
      <w:r>
        <w:rPr>
          <w:rFonts w:hint="eastAsia" w:ascii="仿宋" w:hAnsi="仿宋" w:eastAsia="仿宋" w:cs="Times New Roman"/>
          <w:sz w:val="32"/>
          <w:szCs w:val="32"/>
        </w:rPr>
        <w:t>规定</w:t>
      </w:r>
      <w:r>
        <w:rPr>
          <w:rFonts w:ascii="仿宋" w:hAnsi="仿宋" w:eastAsia="仿宋" w:cs="Times New Roman"/>
          <w:sz w:val="32"/>
          <w:szCs w:val="32"/>
        </w:rPr>
        <w:t>，现将</w:t>
      </w:r>
      <w:r>
        <w:rPr>
          <w:rFonts w:hint="eastAsia" w:ascii="仿宋" w:hAnsi="仿宋" w:eastAsia="仿宋" w:cs="Times New Roman"/>
          <w:sz w:val="32"/>
          <w:szCs w:val="32"/>
        </w:rPr>
        <w:t>隆尧县残联</w:t>
      </w:r>
      <w:r>
        <w:rPr>
          <w:rFonts w:ascii="仿宋" w:hAnsi="仿宋" w:eastAsia="仿宋" w:cs="Times New Roman"/>
          <w:sz w:val="32"/>
          <w:szCs w:val="32"/>
        </w:rPr>
        <w:t>20</w:t>
      </w:r>
      <w:r>
        <w:rPr>
          <w:rFonts w:hint="eastAsia" w:ascii="仿宋" w:hAnsi="仿宋" w:eastAsia="仿宋" w:cs="Times New Roman"/>
          <w:sz w:val="32"/>
          <w:szCs w:val="32"/>
          <w:lang w:val="en-US" w:eastAsia="zh-CN"/>
        </w:rPr>
        <w:t>21</w:t>
      </w:r>
      <w:r>
        <w:rPr>
          <w:rFonts w:ascii="仿宋" w:hAnsi="仿宋" w:eastAsia="仿宋" w:cs="Times New Roman"/>
          <w:sz w:val="32"/>
          <w:szCs w:val="32"/>
        </w:rPr>
        <w:t>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widowControl/>
        <w:spacing w:line="580" w:lineRule="atLeast"/>
        <w:ind w:firstLine="640"/>
        <w:jc w:val="left"/>
        <w:rPr>
          <w:rFonts w:ascii="仿宋" w:hAnsi="仿宋" w:eastAsia="仿宋" w:cs="宋体"/>
          <w:kern w:val="0"/>
          <w:sz w:val="32"/>
          <w:szCs w:val="32"/>
        </w:rPr>
      </w:pPr>
      <w:r>
        <w:rPr>
          <w:rFonts w:hint="eastAsia" w:ascii="仿宋" w:hAnsi="仿宋" w:eastAsia="仿宋" w:cs="Times New Roman"/>
          <w:b/>
          <w:sz w:val="32"/>
          <w:szCs w:val="32"/>
        </w:rPr>
        <w:t>部门</w:t>
      </w:r>
      <w:r>
        <w:rPr>
          <w:rFonts w:ascii="仿宋" w:hAnsi="仿宋" w:eastAsia="仿宋" w:cs="Times New Roman"/>
          <w:b/>
          <w:sz w:val="32"/>
          <w:szCs w:val="32"/>
        </w:rPr>
        <w:t>职责：</w:t>
      </w:r>
      <w:r>
        <w:rPr>
          <w:rFonts w:hint="eastAsia" w:ascii="仿宋" w:hAnsi="仿宋" w:eastAsia="仿宋" w:cs="宋体"/>
          <w:kern w:val="0"/>
          <w:sz w:val="32"/>
          <w:szCs w:val="32"/>
        </w:rPr>
        <w:t>办公室工作职责：负责日常事务工作，起草各类文件、报告；负责会议组织、对外接待、文电处理、督办、传真、统计、保密等理事会的日常事务；负责财务、资产、档案的管理、图文资料、办公自动化、安全保卫、综合治理、环境卫生，财务管理。指导各乡镇、社区残联的组织建设与社区残疾人工作。指导各专门残疾人协会开展日常工作。调查掌握残疾人状况，管理和发放残疾人证。</w:t>
      </w:r>
    </w:p>
    <w:p>
      <w:pPr>
        <w:widowControl/>
        <w:spacing w:line="580" w:lineRule="atLeast"/>
        <w:ind w:firstLine="640"/>
        <w:jc w:val="left"/>
        <w:rPr>
          <w:rFonts w:ascii="仿宋" w:hAnsi="仿宋" w:eastAsia="仿宋" w:cs="宋体"/>
          <w:kern w:val="0"/>
          <w:sz w:val="32"/>
          <w:szCs w:val="32"/>
        </w:rPr>
      </w:pPr>
      <w:r>
        <w:rPr>
          <w:rFonts w:hint="eastAsia" w:ascii="仿宋" w:hAnsi="仿宋" w:eastAsia="仿宋" w:cs="宋体"/>
          <w:kern w:val="0"/>
          <w:sz w:val="32"/>
          <w:szCs w:val="32"/>
        </w:rPr>
        <w:t>教育就业部工作职责：促进残疾人教育，开展残疾人职业培训和实用技术培训；掌握残疾人劳动就业和待业登记情况；残疾人就业保障金的年审和征收；调查掌握全县贫困残疾人底数；对享受低保的重度残疾人实行生活补贴和护理补贴；对当年考入中高等院校的残疾学生和残疾人家庭子女实行一次性资助；对处于就业年龄的智力、精神和重度残疾人实行资助；对残疾人从事个体经营、自主创业、灵活就业的经营场所租赁、启动资金、设施设置补贴和小额贷款贴息。各种形式就业残疾人的社会保险缴费补贴和用人单位岗位补贴。扶持农村残疾人从事种植、养殖、手工业及其他形式生产劳动；奖励超比例安排残疾人就业的用人单位，以及为安排残疾人就业做出显著成绩的单位或个人；对从事公益性岗位就业、辅助性就业、灵活就业、收入达不到当地最低工资标准、生活确有困难的残疾人的救济补助；春节前对特困残疾人进行慰问；残疾人或家庭因病因灾等突发事件需救助的；处理残疾人就医、就学、就业方面及扶贫；协助部门解决残疾人社会保障和社会求助等工作。</w:t>
      </w:r>
    </w:p>
    <w:p>
      <w:pPr>
        <w:widowControl/>
        <w:spacing w:line="580" w:lineRule="atLeast"/>
        <w:ind w:firstLine="640"/>
        <w:jc w:val="left"/>
        <w:rPr>
          <w:rFonts w:ascii="仿宋" w:hAnsi="仿宋" w:eastAsia="仿宋" w:cs="宋体"/>
          <w:kern w:val="0"/>
          <w:sz w:val="32"/>
          <w:szCs w:val="32"/>
        </w:rPr>
      </w:pPr>
      <w:r>
        <w:rPr>
          <w:rFonts w:hint="eastAsia" w:ascii="仿宋" w:hAnsi="仿宋" w:eastAsia="仿宋" w:cs="宋体"/>
          <w:kern w:val="0"/>
          <w:sz w:val="32"/>
          <w:szCs w:val="32"/>
        </w:rPr>
        <w:t>康复部工作职责：组织制定和实施残疾人康复工作计划；指导和协调残疾人康复机构的业务工作;指导残疾人辅助器具供应、服务；组织实施残疾人假肢装配、白内障复明、低视力、聋儿康复、康复工作指导；开展残疾预防工作，有计划地组织康复人才培训；负责残疾人康复需求的调查、摸底、建档工作。</w:t>
      </w:r>
    </w:p>
    <w:p>
      <w:pPr>
        <w:widowControl/>
        <w:spacing w:line="580" w:lineRule="atLeast"/>
        <w:ind w:firstLine="640"/>
        <w:jc w:val="left"/>
        <w:rPr>
          <w:rFonts w:ascii="仿宋" w:hAnsi="仿宋" w:eastAsia="仿宋" w:cs="宋体"/>
          <w:kern w:val="0"/>
          <w:sz w:val="32"/>
          <w:szCs w:val="32"/>
        </w:rPr>
      </w:pPr>
      <w:r>
        <w:rPr>
          <w:rFonts w:hint="eastAsia" w:ascii="仿宋" w:hAnsi="仿宋" w:eastAsia="仿宋" w:cs="宋体"/>
          <w:kern w:val="0"/>
          <w:sz w:val="32"/>
          <w:szCs w:val="32"/>
        </w:rPr>
        <w:t>宣传维权部工作职责：组织制定并实施残疾人事业的宣传和维权、文体等工作，宣传国家发展残疾人事业的方针、政策；负责为残疾人提供精神文化产品；开展残疾人文化、体育及艺术活动；做好残疾人工作宣传报道,管理和发展残疾人文化、体育工作，宣传残疾人事业。做好残疾人燃油补贴申报和发放工作。</w:t>
      </w:r>
    </w:p>
    <w:p>
      <w:pPr>
        <w:widowControl/>
        <w:spacing w:line="580" w:lineRule="atLeast"/>
        <w:ind w:firstLine="640"/>
        <w:jc w:val="left"/>
        <w:rPr>
          <w:rFonts w:ascii="仿宋" w:hAnsi="仿宋" w:eastAsia="仿宋" w:cs="宋体"/>
          <w:kern w:val="0"/>
          <w:sz w:val="22"/>
        </w:rPr>
      </w:pPr>
      <w:r>
        <w:rPr>
          <w:rFonts w:hint="eastAsia" w:ascii="仿宋" w:hAnsi="仿宋" w:eastAsia="仿宋" w:cs="宋体"/>
          <w:kern w:val="0"/>
          <w:sz w:val="32"/>
          <w:szCs w:val="32"/>
        </w:rPr>
        <w:t>贯彻落实上级信访条例，负责残疾人法律法规体系的宣传，配合有关部门对法律法规执行情况进行检查、督促、为残疾人提供法律援助和服务，保障残疾人合法权益；负责残疾人的来信来访工作，协助有关部门解决残疾人的热点、难点问题。</w:t>
      </w:r>
    </w:p>
    <w:p>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pPr>
        <w:jc w:val="center"/>
        <w:outlineLvl w:val="0"/>
        <w:rPr>
          <w:rFonts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tbl>
      <w:tblPr>
        <w:tblStyle w:val="7"/>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单位名称</w:t>
            </w:r>
          </w:p>
        </w:tc>
        <w:tc>
          <w:tcPr>
            <w:tcW w:w="1134"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单位性质</w:t>
            </w:r>
          </w:p>
        </w:tc>
        <w:tc>
          <w:tcPr>
            <w:tcW w:w="1276"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单位规格</w:t>
            </w:r>
          </w:p>
        </w:tc>
        <w:tc>
          <w:tcPr>
            <w:tcW w:w="2902"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pPr>
              <w:spacing w:line="300" w:lineRule="exact"/>
              <w:jc w:val="left"/>
              <w:outlineLvl w:val="0"/>
              <w:rPr>
                <w:rFonts w:ascii="Times New Roman" w:hAnsi="Times New Roman" w:cs="Times New Roman"/>
                <w:szCs w:val="24"/>
              </w:rPr>
            </w:pPr>
          </w:p>
        </w:tc>
        <w:tc>
          <w:tcPr>
            <w:tcW w:w="1134" w:type="dxa"/>
            <w:vMerge w:val="continue"/>
            <w:vAlign w:val="center"/>
          </w:tcPr>
          <w:p>
            <w:pPr>
              <w:spacing w:line="300" w:lineRule="exact"/>
              <w:jc w:val="left"/>
              <w:outlineLvl w:val="0"/>
              <w:rPr>
                <w:rFonts w:ascii="Times New Roman" w:hAnsi="Times New Roman" w:cs="Times New Roman"/>
                <w:szCs w:val="24"/>
              </w:rPr>
            </w:pPr>
          </w:p>
        </w:tc>
        <w:tc>
          <w:tcPr>
            <w:tcW w:w="1276" w:type="dxa"/>
            <w:vMerge w:val="continue"/>
            <w:vAlign w:val="center"/>
          </w:tcPr>
          <w:p>
            <w:pPr>
              <w:spacing w:line="300" w:lineRule="exact"/>
              <w:jc w:val="left"/>
              <w:outlineLvl w:val="0"/>
              <w:rPr>
                <w:rFonts w:ascii="Times New Roman" w:hAnsi="Times New Roman" w:cs="Times New Roman"/>
                <w:szCs w:val="24"/>
              </w:rPr>
            </w:pPr>
          </w:p>
        </w:tc>
        <w:tc>
          <w:tcPr>
            <w:tcW w:w="2902" w:type="dxa"/>
            <w:vMerge w:val="continue"/>
            <w:vAlign w:val="center"/>
          </w:tcPr>
          <w:p>
            <w:pPr>
              <w:spacing w:line="300" w:lineRule="exact"/>
              <w:jc w:val="left"/>
              <w:outlineLvl w:val="0"/>
              <w:rPr>
                <w:rFonts w:ascii="Times New Roman" w:hAnsi="Times New Roman"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Times New Roman" w:hAnsi="Times New Roman" w:eastAsia="方正书宋_GBK" w:cs="Times New Roman"/>
                <w:szCs w:val="24"/>
              </w:rPr>
            </w:pPr>
            <w:r>
              <w:rPr>
                <w:rFonts w:hint="eastAsia" w:ascii="方正书宋_GBK" w:eastAsia="方正书宋_GBK"/>
              </w:rPr>
              <w:t>隆尧县残疾人联合会</w:t>
            </w:r>
          </w:p>
        </w:tc>
        <w:tc>
          <w:tcPr>
            <w:tcW w:w="1134"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参公事业</w:t>
            </w:r>
          </w:p>
        </w:tc>
        <w:tc>
          <w:tcPr>
            <w:tcW w:w="1276"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正科级</w:t>
            </w:r>
          </w:p>
        </w:tc>
        <w:tc>
          <w:tcPr>
            <w:tcW w:w="2902"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财政拨款</w:t>
            </w:r>
          </w:p>
        </w:tc>
      </w:tr>
    </w:tbl>
    <w:p/>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按照预算管理有关规定，目前我</w:t>
      </w:r>
      <w:r>
        <w:rPr>
          <w:rFonts w:hint="eastAsia" w:ascii="Times New Roman" w:hAnsi="Times New Roman" w:eastAsia="仿宋" w:cs="Times New Roman"/>
          <w:sz w:val="32"/>
          <w:szCs w:val="32"/>
        </w:rPr>
        <w:t>县</w:t>
      </w:r>
      <w:r>
        <w:rPr>
          <w:rFonts w:ascii="Times New Roman" w:hAnsi="Times New Roman" w:eastAsia="仿宋" w:cs="Times New Roman"/>
          <w:sz w:val="32"/>
          <w:szCs w:val="32"/>
        </w:rPr>
        <w:t>部门预算的编制实行综合预算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，即全部收入和支出都反映的预算中。</w:t>
      </w:r>
      <w:r>
        <w:rPr>
          <w:rFonts w:hint="eastAsia" w:ascii="Times New Roman" w:hAnsi="Times New Roman" w:eastAsia="仿宋" w:cs="Times New Roman"/>
          <w:sz w:val="32"/>
          <w:szCs w:val="32"/>
        </w:rPr>
        <w:t>隆尧县残疾人联合会</w:t>
      </w:r>
      <w:r>
        <w:rPr>
          <w:rFonts w:ascii="Times New Roman" w:hAnsi="Times New Roman" w:eastAsia="仿宋" w:cs="Times New Roman"/>
          <w:sz w:val="32"/>
          <w:szCs w:val="32"/>
        </w:rPr>
        <w:t>的收支包含在部门预算中。</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w:t>
      </w:r>
      <w:r>
        <w:rPr>
          <w:rFonts w:hint="eastAsia" w:ascii="Times New Roman" w:hAnsi="Times New Roman" w:eastAsia="仿宋" w:cs="Times New Roman"/>
          <w:sz w:val="32"/>
          <w:szCs w:val="32"/>
          <w:lang w:val="en-US" w:eastAsia="zh-CN"/>
        </w:rPr>
        <w:t>21</w:t>
      </w:r>
      <w:r>
        <w:rPr>
          <w:rFonts w:hint="eastAsia" w:ascii="Times New Roman" w:hAnsi="Times New Roman" w:eastAsia="仿宋" w:cs="Times New Roman"/>
          <w:sz w:val="32"/>
          <w:szCs w:val="32"/>
        </w:rPr>
        <w:t>年预算收入</w:t>
      </w:r>
      <w:r>
        <w:rPr>
          <w:rFonts w:hint="eastAsia" w:ascii="Times New Roman" w:hAnsi="Times New Roman" w:eastAsia="仿宋" w:cs="Times New Roman"/>
          <w:sz w:val="32"/>
          <w:szCs w:val="32"/>
          <w:lang w:val="en-US" w:eastAsia="zh-CN"/>
        </w:rPr>
        <w:t>259.83</w:t>
      </w:r>
      <w:r>
        <w:rPr>
          <w:rFonts w:hint="eastAsia" w:ascii="Times New Roman" w:hAnsi="Times New Roman" w:eastAsia="仿宋" w:cs="Times New Roman"/>
          <w:sz w:val="32"/>
          <w:szCs w:val="32"/>
        </w:rPr>
        <w:t>万元，其中：一般公共预算收入</w:t>
      </w:r>
      <w:r>
        <w:rPr>
          <w:rFonts w:hint="eastAsia" w:ascii="Times New Roman" w:hAnsi="Times New Roman" w:eastAsia="仿宋" w:cs="Times New Roman"/>
          <w:sz w:val="32"/>
          <w:szCs w:val="32"/>
          <w:lang w:val="en-US" w:eastAsia="zh-CN"/>
        </w:rPr>
        <w:t>259.83</w:t>
      </w:r>
      <w:r>
        <w:rPr>
          <w:rFonts w:hint="eastAsia" w:ascii="Times New Roman" w:hAnsi="Times New Roman" w:eastAsia="仿宋" w:cs="Times New Roman"/>
          <w:sz w:val="32"/>
          <w:szCs w:val="32"/>
        </w:rPr>
        <w:t>万元，基金预算收入</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万元，财政专户核拨收入0万元，其他来源收入0万元。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ind w:firstLine="640"/>
        <w:rPr>
          <w:rFonts w:hint="default" w:ascii="Times New Roman" w:hAnsi="Times New Roman" w:eastAsia="仿宋" w:cs="Times New Roman"/>
          <w:sz w:val="32"/>
          <w:szCs w:val="32"/>
          <w:lang w:val="en-US" w:eastAsia="zh-CN"/>
        </w:rPr>
      </w:pPr>
      <w:r>
        <w:rPr>
          <w:rFonts w:hint="eastAsia" w:ascii="Times New Roman" w:hAnsi="Times New Roman" w:eastAsia="仿宋" w:cs="Times New Roman"/>
          <w:sz w:val="32"/>
          <w:szCs w:val="32"/>
        </w:rPr>
        <w:t>收支预算总表支出栏、基本支出表、项目支出表按经济分类和支出功能分类科目编制，反映隆尧县残联年度部门预算中支出预算的总体情况。20</w:t>
      </w:r>
      <w:r>
        <w:rPr>
          <w:rFonts w:hint="eastAsia" w:ascii="Times New Roman" w:hAnsi="Times New Roman" w:eastAsia="仿宋" w:cs="Times New Roman"/>
          <w:sz w:val="32"/>
          <w:szCs w:val="32"/>
          <w:lang w:val="en-US" w:eastAsia="zh-CN"/>
        </w:rPr>
        <w:t>21</w:t>
      </w:r>
      <w:r>
        <w:rPr>
          <w:rFonts w:hint="eastAsia" w:ascii="Times New Roman" w:hAnsi="Times New Roman" w:eastAsia="仿宋" w:cs="Times New Roman"/>
          <w:sz w:val="32"/>
          <w:szCs w:val="32"/>
        </w:rPr>
        <w:t>年部门支出预算为</w:t>
      </w:r>
      <w:r>
        <w:rPr>
          <w:rFonts w:hint="eastAsia" w:ascii="Times New Roman" w:hAnsi="Times New Roman" w:eastAsia="仿宋" w:cs="Times New Roman"/>
          <w:sz w:val="32"/>
          <w:szCs w:val="32"/>
          <w:lang w:val="en-US" w:eastAsia="zh-CN"/>
        </w:rPr>
        <w:t>259.83</w:t>
      </w:r>
      <w:r>
        <w:rPr>
          <w:rFonts w:hint="eastAsia" w:ascii="Times New Roman" w:hAnsi="Times New Roman" w:eastAsia="仿宋" w:cs="Times New Roman"/>
          <w:sz w:val="32"/>
          <w:szCs w:val="32"/>
        </w:rPr>
        <w:t>万元，其中基本支出</w:t>
      </w:r>
      <w:r>
        <w:rPr>
          <w:rFonts w:hint="eastAsia" w:ascii="Times New Roman" w:hAnsi="Times New Roman" w:eastAsia="仿宋" w:cs="Times New Roman"/>
          <w:sz w:val="32"/>
          <w:szCs w:val="32"/>
          <w:lang w:val="en-US" w:eastAsia="zh-CN"/>
        </w:rPr>
        <w:t>73.68</w:t>
      </w:r>
      <w:r>
        <w:rPr>
          <w:rFonts w:hint="eastAsia" w:ascii="Times New Roman" w:hAnsi="Times New Roman" w:eastAsia="仿宋" w:cs="Times New Roman"/>
          <w:sz w:val="32"/>
          <w:szCs w:val="32"/>
        </w:rPr>
        <w:t>万元，包括人员经费</w:t>
      </w:r>
      <w:r>
        <w:rPr>
          <w:rFonts w:hint="eastAsia" w:ascii="Times New Roman" w:hAnsi="Times New Roman" w:eastAsia="仿宋" w:cs="Times New Roman"/>
          <w:sz w:val="32"/>
          <w:szCs w:val="32"/>
          <w:lang w:val="en-US" w:eastAsia="zh-CN"/>
        </w:rPr>
        <w:t>64.64</w:t>
      </w:r>
      <w:r>
        <w:rPr>
          <w:rFonts w:hint="eastAsia" w:ascii="Times New Roman" w:hAnsi="Times New Roman" w:eastAsia="仿宋" w:cs="Times New Roman"/>
          <w:sz w:val="32"/>
          <w:szCs w:val="32"/>
        </w:rPr>
        <w:t>万元和日常公用经费</w:t>
      </w:r>
      <w:r>
        <w:rPr>
          <w:rFonts w:hint="eastAsia" w:ascii="Times New Roman" w:hAnsi="Times New Roman" w:eastAsia="仿宋" w:cs="Times New Roman"/>
          <w:sz w:val="32"/>
          <w:szCs w:val="32"/>
          <w:lang w:val="en-US" w:eastAsia="zh-CN"/>
        </w:rPr>
        <w:t>9.04</w:t>
      </w:r>
      <w:r>
        <w:rPr>
          <w:rFonts w:hint="eastAsia" w:ascii="Times New Roman" w:hAnsi="Times New Roman" w:eastAsia="仿宋" w:cs="Times New Roman"/>
          <w:sz w:val="32"/>
          <w:szCs w:val="32"/>
        </w:rPr>
        <w:t>万元；项目支出</w:t>
      </w:r>
      <w:r>
        <w:rPr>
          <w:rFonts w:hint="eastAsia" w:ascii="Times New Roman" w:hAnsi="Times New Roman" w:eastAsia="仿宋" w:cs="Times New Roman"/>
          <w:sz w:val="32"/>
          <w:szCs w:val="32"/>
          <w:lang w:val="en-US" w:eastAsia="zh-CN"/>
        </w:rPr>
        <w:t>186.15</w:t>
      </w:r>
      <w:r>
        <w:rPr>
          <w:rFonts w:hint="eastAsia" w:ascii="Times New Roman" w:hAnsi="Times New Roman" w:eastAsia="仿宋" w:cs="Times New Roman"/>
          <w:sz w:val="32"/>
          <w:szCs w:val="32"/>
        </w:rPr>
        <w:t>万元，主要为残疾人康复支出</w:t>
      </w:r>
      <w:r>
        <w:rPr>
          <w:rFonts w:hint="eastAsia" w:ascii="Times New Roman" w:hAnsi="Times New Roman" w:eastAsia="仿宋" w:cs="Times New Roman"/>
          <w:sz w:val="32"/>
          <w:szCs w:val="32"/>
          <w:lang w:val="en-US" w:eastAsia="zh-CN"/>
        </w:rPr>
        <w:t>105.72</w:t>
      </w:r>
      <w:r>
        <w:rPr>
          <w:rFonts w:hint="eastAsia" w:ascii="Times New Roman" w:hAnsi="Times New Roman" w:eastAsia="仿宋" w:cs="Times New Roman"/>
          <w:sz w:val="32"/>
          <w:szCs w:val="32"/>
        </w:rPr>
        <w:t>万元，残疾人教育就业扶贫和社会保障支出</w:t>
      </w:r>
      <w:r>
        <w:rPr>
          <w:rFonts w:hint="eastAsia" w:ascii="Times New Roman" w:hAnsi="Times New Roman" w:eastAsia="仿宋" w:cs="Times New Roman"/>
          <w:sz w:val="32"/>
          <w:szCs w:val="32"/>
          <w:lang w:val="en-US" w:eastAsia="zh-CN"/>
        </w:rPr>
        <w:t>50.9</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其他残疾人事业</w:t>
      </w:r>
      <w:r>
        <w:rPr>
          <w:rFonts w:hint="eastAsia" w:ascii="Times New Roman" w:hAnsi="Times New Roman" w:eastAsia="仿宋" w:cs="Times New Roman"/>
          <w:sz w:val="32"/>
          <w:szCs w:val="32"/>
        </w:rPr>
        <w:t>残疾人法律维权及无障碍环境建设支出</w:t>
      </w:r>
      <w:r>
        <w:rPr>
          <w:rFonts w:hint="eastAsia" w:ascii="Times New Roman" w:hAnsi="Times New Roman" w:eastAsia="仿宋" w:cs="Times New Roman"/>
          <w:sz w:val="32"/>
          <w:szCs w:val="32"/>
          <w:lang w:val="en-US" w:eastAsia="zh-CN"/>
        </w:rPr>
        <w:t>29.53</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val="en-US" w:eastAsia="zh-CN"/>
        </w:rPr>
        <w:t>。</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w:t>
      </w:r>
      <w:r>
        <w:rPr>
          <w:rFonts w:hint="eastAsia" w:ascii="Times New Roman" w:hAnsi="Times New Roman" w:eastAsia="仿宋" w:cs="Times New Roman"/>
          <w:color w:val="000000"/>
          <w:sz w:val="32"/>
          <w:szCs w:val="32"/>
          <w:lang w:val="en-US" w:eastAsia="zh-CN"/>
        </w:rPr>
        <w:t>21</w:t>
      </w:r>
      <w:r>
        <w:rPr>
          <w:rFonts w:hint="eastAsia" w:ascii="Times New Roman" w:hAnsi="Times New Roman" w:eastAsia="仿宋" w:cs="Times New Roman"/>
          <w:color w:val="000000"/>
          <w:sz w:val="32"/>
          <w:szCs w:val="32"/>
        </w:rPr>
        <w:t>年部门预算收支安排</w:t>
      </w:r>
      <w:r>
        <w:rPr>
          <w:rFonts w:hint="eastAsia" w:ascii="Times New Roman" w:hAnsi="Times New Roman" w:eastAsia="仿宋" w:cs="Times New Roman"/>
          <w:color w:val="000000"/>
          <w:sz w:val="32"/>
          <w:szCs w:val="32"/>
          <w:lang w:val="en-US" w:eastAsia="zh-CN"/>
        </w:rPr>
        <w:t>259.83</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w:t>
      </w:r>
      <w:r>
        <w:rPr>
          <w:rFonts w:hint="eastAsia" w:ascii="Times New Roman" w:hAnsi="Times New Roman" w:eastAsia="仿宋" w:cs="Times New Roman"/>
          <w:sz w:val="32"/>
          <w:szCs w:val="32"/>
          <w:lang w:val="en-US" w:eastAsia="zh-CN"/>
        </w:rPr>
        <w:t>20</w:t>
      </w:r>
      <w:r>
        <w:rPr>
          <w:rFonts w:hint="eastAsia" w:ascii="Times New Roman" w:hAnsi="Times New Roman" w:eastAsia="仿宋" w:cs="Times New Roman"/>
          <w:sz w:val="32"/>
          <w:szCs w:val="32"/>
        </w:rPr>
        <w:t>年</w:t>
      </w:r>
      <w:r>
        <w:rPr>
          <w:rFonts w:hint="eastAsia" w:ascii="Times New Roman" w:hAnsi="Times New Roman" w:eastAsia="仿宋" w:cs="Times New Roman"/>
          <w:sz w:val="32"/>
          <w:szCs w:val="32"/>
          <w:lang w:eastAsia="zh-CN"/>
        </w:rPr>
        <w:t>增加</w:t>
      </w:r>
      <w:r>
        <w:rPr>
          <w:rFonts w:hint="eastAsia" w:ascii="Times New Roman" w:hAnsi="Times New Roman" w:eastAsia="仿宋" w:cs="Times New Roman"/>
          <w:sz w:val="32"/>
          <w:szCs w:val="32"/>
          <w:lang w:val="en-US" w:eastAsia="zh-CN"/>
        </w:rPr>
        <w:t>72.88</w:t>
      </w:r>
      <w:r>
        <w:rPr>
          <w:rFonts w:hint="eastAsia" w:ascii="Times New Roman" w:hAnsi="Times New Roman" w:eastAsia="仿宋" w:cs="Times New Roman"/>
          <w:sz w:val="32"/>
          <w:szCs w:val="32"/>
        </w:rPr>
        <w:t>万元，其中：基本支出减少</w:t>
      </w:r>
      <w:r>
        <w:rPr>
          <w:rFonts w:hint="eastAsia" w:ascii="Times New Roman" w:hAnsi="Times New Roman" w:eastAsia="仿宋" w:cs="Times New Roman"/>
          <w:sz w:val="32"/>
          <w:szCs w:val="32"/>
          <w:lang w:val="en-US" w:eastAsia="zh-CN"/>
        </w:rPr>
        <w:t>1.18</w:t>
      </w:r>
      <w:r>
        <w:rPr>
          <w:rFonts w:hint="eastAsia" w:ascii="Times New Roman" w:hAnsi="Times New Roman" w:eastAsia="仿宋" w:cs="Times New Roman"/>
          <w:sz w:val="32"/>
          <w:szCs w:val="32"/>
        </w:rPr>
        <w:t>万元，主要是减少了人员经费；项目支出</w:t>
      </w:r>
      <w:r>
        <w:rPr>
          <w:rFonts w:hint="eastAsia" w:ascii="Times New Roman" w:hAnsi="Times New Roman" w:eastAsia="仿宋" w:cs="Times New Roman"/>
          <w:sz w:val="32"/>
          <w:szCs w:val="32"/>
          <w:lang w:eastAsia="zh-CN"/>
        </w:rPr>
        <w:t>增加</w:t>
      </w:r>
      <w:r>
        <w:rPr>
          <w:rFonts w:hint="eastAsia" w:ascii="Times New Roman" w:hAnsi="Times New Roman" w:eastAsia="仿宋" w:cs="Times New Roman"/>
          <w:sz w:val="32"/>
          <w:szCs w:val="32"/>
          <w:lang w:val="en-US" w:eastAsia="zh-CN"/>
        </w:rPr>
        <w:t>74.06</w:t>
      </w:r>
      <w:r>
        <w:rPr>
          <w:rFonts w:hint="eastAsia" w:ascii="Times New Roman" w:hAnsi="Times New Roman" w:eastAsia="仿宋" w:cs="Times New Roman"/>
          <w:sz w:val="32"/>
          <w:szCs w:val="32"/>
        </w:rPr>
        <w:t>万元，主要</w:t>
      </w:r>
      <w:r>
        <w:rPr>
          <w:rFonts w:hint="eastAsia" w:ascii="Times New Roman" w:hAnsi="Times New Roman" w:eastAsia="仿宋" w:cs="Times New Roman"/>
          <w:sz w:val="32"/>
          <w:szCs w:val="32"/>
          <w:lang w:eastAsia="zh-CN"/>
        </w:rPr>
        <w:t>是增加了残疾人基本康复服务项目支出</w:t>
      </w:r>
      <w:r>
        <w:rPr>
          <w:rFonts w:hint="eastAsia" w:ascii="Times New Roman" w:hAnsi="Times New Roman" w:eastAsia="仿宋" w:cs="Times New Roman"/>
          <w:sz w:val="32"/>
          <w:szCs w:val="32"/>
        </w:rPr>
        <w:t>。</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w:t>
      </w:r>
      <w:r>
        <w:rPr>
          <w:rFonts w:hint="eastAsia" w:ascii="Times New Roman" w:hAnsi="Times New Roman" w:eastAsia="仿宋" w:cs="Times New Roman"/>
          <w:sz w:val="32"/>
          <w:szCs w:val="32"/>
          <w:lang w:val="en-US" w:eastAsia="zh-CN"/>
        </w:rPr>
        <w:t>21</w:t>
      </w:r>
      <w:r>
        <w:rPr>
          <w:rFonts w:hint="eastAsia" w:ascii="Times New Roman" w:hAnsi="Times New Roman" w:eastAsia="仿宋" w:cs="Times New Roman"/>
          <w:sz w:val="32"/>
          <w:szCs w:val="32"/>
        </w:rPr>
        <w:t>年，我部门机关运行经费共计安排</w:t>
      </w:r>
      <w:r>
        <w:rPr>
          <w:rFonts w:hint="eastAsia" w:ascii="Times New Roman" w:hAnsi="Times New Roman" w:eastAsia="仿宋" w:cs="Times New Roman"/>
          <w:sz w:val="32"/>
          <w:szCs w:val="32"/>
          <w:lang w:val="en-US" w:eastAsia="zh-CN"/>
        </w:rPr>
        <w:t>9.04</w:t>
      </w:r>
      <w:r>
        <w:rPr>
          <w:rFonts w:hint="eastAsia" w:ascii="Times New Roman" w:hAnsi="Times New Roman" w:eastAsia="仿宋" w:cs="Times New Roman"/>
          <w:sz w:val="32"/>
          <w:szCs w:val="32"/>
        </w:rPr>
        <w:t>万元，主要用于保证机关正常运转的办公</w:t>
      </w:r>
      <w:r>
        <w:rPr>
          <w:rFonts w:hint="eastAsia" w:ascii="Times New Roman" w:hAnsi="Times New Roman" w:eastAsia="仿宋" w:cs="Times New Roman"/>
          <w:sz w:val="32"/>
          <w:szCs w:val="32"/>
          <w:lang w:val="en-US" w:eastAsia="zh-CN"/>
        </w:rPr>
        <w:t>费</w:t>
      </w:r>
      <w:r>
        <w:rPr>
          <w:rFonts w:hint="eastAsia" w:ascii="Times New Roman" w:hAnsi="Times New Roman" w:eastAsia="仿宋" w:cs="Times New Roman"/>
          <w:sz w:val="32"/>
          <w:szCs w:val="32"/>
        </w:rPr>
        <w:t>及印刷费、邮电费、差旅费、福利费、办公用房水电费、办公用房取暖费、日常维修费、办公楼物业管理费、公务车运行维护费等支出。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w:t>
      </w:r>
      <w:r>
        <w:rPr>
          <w:rFonts w:hint="eastAsia" w:ascii="Times New Roman" w:hAnsi="Times New Roman" w:eastAsia="仿宋" w:cs="Times New Roman"/>
          <w:sz w:val="32"/>
          <w:szCs w:val="32"/>
          <w:lang w:val="en-US" w:eastAsia="zh-CN"/>
        </w:rPr>
        <w:t>21</w:t>
      </w:r>
      <w:r>
        <w:rPr>
          <w:rFonts w:hint="eastAsia" w:ascii="Times New Roman" w:hAnsi="Times New Roman" w:eastAsia="仿宋" w:cs="Times New Roman"/>
          <w:sz w:val="32"/>
          <w:szCs w:val="32"/>
        </w:rPr>
        <w:t>年，我部门财政拨款“三公”经费预算安排</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w:t>
      </w:r>
      <w:r>
        <w:rPr>
          <w:rFonts w:hint="eastAsia" w:ascii="Times New Roman" w:hAnsi="Times New Roman" w:eastAsia="仿宋" w:cs="Times New Roman"/>
          <w:sz w:val="32"/>
          <w:szCs w:val="32"/>
          <w:lang w:val="en-US" w:eastAsia="zh-CN"/>
        </w:rPr>
        <w:t>5</w:t>
      </w:r>
      <w:r>
        <w:rPr>
          <w:rFonts w:hint="eastAsia" w:ascii="Times New Roman" w:hAnsi="Times New Roman" w:eastAsia="仿宋" w:cs="Times New Roman"/>
          <w:sz w:val="32"/>
          <w:szCs w:val="32"/>
        </w:rPr>
        <w:t>万元，其中：因公出国（境）费0万元；公务用车购置及运</w:t>
      </w:r>
      <w:r>
        <w:rPr>
          <w:rFonts w:hint="eastAsia" w:ascii="Times New Roman" w:hAnsi="Times New Roman" w:eastAsia="仿宋" w:cs="Times New Roman"/>
          <w:sz w:val="32"/>
          <w:szCs w:val="32"/>
          <w:lang w:eastAsia="zh-CN"/>
        </w:rPr>
        <w:t>行</w:t>
      </w:r>
      <w:r>
        <w:rPr>
          <w:rFonts w:hint="eastAsia" w:ascii="Times New Roman" w:hAnsi="Times New Roman" w:eastAsia="仿宋" w:cs="Times New Roman"/>
          <w:sz w:val="32"/>
          <w:szCs w:val="32"/>
        </w:rPr>
        <w:t>维</w:t>
      </w:r>
      <w:r>
        <w:rPr>
          <w:rFonts w:hint="eastAsia" w:ascii="Times New Roman" w:hAnsi="Times New Roman" w:eastAsia="仿宋" w:cs="Times New Roman"/>
          <w:sz w:val="32"/>
          <w:szCs w:val="32"/>
          <w:lang w:eastAsia="zh-CN"/>
        </w:rPr>
        <w:t>护</w:t>
      </w:r>
      <w:r>
        <w:rPr>
          <w:rFonts w:hint="eastAsia" w:ascii="Times New Roman" w:hAnsi="Times New Roman" w:eastAsia="仿宋" w:cs="Times New Roman"/>
          <w:sz w:val="32"/>
          <w:szCs w:val="32"/>
        </w:rPr>
        <w:t>费</w:t>
      </w:r>
      <w:r>
        <w:rPr>
          <w:rFonts w:hint="eastAsia" w:ascii="Times New Roman" w:hAnsi="Times New Roman" w:eastAsia="仿宋" w:cs="Times New Roman"/>
          <w:sz w:val="32"/>
          <w:szCs w:val="32"/>
          <w:lang w:val="en-US" w:eastAsia="zh-CN"/>
        </w:rPr>
        <w:t>0.5</w:t>
      </w:r>
      <w:r>
        <w:rPr>
          <w:rFonts w:hint="eastAsia" w:ascii="Times New Roman" w:hAnsi="Times New Roman" w:eastAsia="仿宋" w:cs="Times New Roman"/>
          <w:sz w:val="32"/>
          <w:szCs w:val="32"/>
        </w:rPr>
        <w:t>万元（其中：公务用车购置费0万元，公务用车运行维护费</w:t>
      </w:r>
      <w:r>
        <w:rPr>
          <w:rFonts w:hint="eastAsia" w:ascii="Times New Roman" w:hAnsi="Times New Roman" w:eastAsia="仿宋" w:cs="Times New Roman"/>
          <w:sz w:val="32"/>
          <w:szCs w:val="32"/>
          <w:lang w:val="en-US" w:eastAsia="zh-CN"/>
        </w:rPr>
        <w:t>0.5</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较上年减少</w:t>
      </w:r>
      <w:r>
        <w:rPr>
          <w:rFonts w:hint="eastAsia" w:ascii="Times New Roman" w:hAnsi="Times New Roman" w:eastAsia="仿宋" w:cs="Times New Roman"/>
          <w:sz w:val="32"/>
          <w:szCs w:val="32"/>
        </w:rPr>
        <w:t>0.</w:t>
      </w:r>
      <w:r>
        <w:rPr>
          <w:rFonts w:hint="eastAsia" w:ascii="Times New Roman" w:hAnsi="Times New Roman" w:eastAsia="仿宋" w:cs="Times New Roman"/>
          <w:sz w:val="32"/>
          <w:szCs w:val="32"/>
          <w:lang w:val="en-US" w:eastAsia="zh-CN"/>
        </w:rPr>
        <w:t>7</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lang w:val="en-US" w:eastAsia="zh-CN"/>
        </w:rPr>
        <w:t>主要是公务用车运行维护费压缩开支减少0.7万元；公务接待费0万，较上年减少0.3万元，主要原因是压缩公务接待费的结果。</w:t>
      </w:r>
    </w:p>
    <w:p>
      <w:pPr>
        <w:numPr>
          <w:ilvl w:val="0"/>
          <w:numId w:val="1"/>
        </w:numPr>
        <w:autoSpaceDE w:val="0"/>
        <w:autoSpaceDN w:val="0"/>
        <w:adjustRightInd w:val="0"/>
        <w:ind w:left="198" w:firstLine="640" w:firstLineChars="200"/>
        <w:jc w:val="left"/>
        <w:rPr>
          <w:rFonts w:hint="eastAsia" w:ascii="黑体" w:hAnsi="黑体" w:eastAsia="黑体" w:cs="Times New Roman"/>
          <w:sz w:val="32"/>
          <w:szCs w:val="32"/>
        </w:rPr>
      </w:pPr>
      <w:r>
        <w:rPr>
          <w:rFonts w:hint="eastAsia" w:ascii="黑体" w:hAnsi="黑体" w:eastAsia="黑体" w:cs="Times New Roman"/>
          <w:sz w:val="32"/>
          <w:szCs w:val="32"/>
        </w:rPr>
        <w:t>绩效预算信息</w:t>
      </w:r>
    </w:p>
    <w:p>
      <w:pPr>
        <w:numPr>
          <w:ilvl w:val="0"/>
          <w:numId w:val="0"/>
        </w:numPr>
        <w:autoSpaceDE w:val="0"/>
        <w:autoSpaceDN w:val="0"/>
        <w:adjustRightInd w:val="0"/>
        <w:ind w:leftChars="200"/>
        <w:jc w:val="left"/>
        <w:rPr>
          <w:rFonts w:hint="default" w:ascii="黑体" w:hAnsi="黑体" w:eastAsia="黑体" w:cs="Times New Roman"/>
          <w:sz w:val="32"/>
          <w:szCs w:val="32"/>
          <w:lang w:val="en-US" w:eastAsia="zh-CN"/>
        </w:rPr>
      </w:pPr>
      <w:r>
        <w:rPr>
          <w:rFonts w:hint="eastAsia" w:ascii="黑体" w:hAnsi="黑体" w:eastAsia="黑体" w:cs="Times New Roman"/>
          <w:sz w:val="32"/>
          <w:szCs w:val="32"/>
          <w:lang w:val="en-US" w:eastAsia="zh-CN"/>
        </w:rPr>
        <w:t xml:space="preserve">  </w:t>
      </w:r>
      <w:r>
        <w:rPr>
          <w:rFonts w:hint="eastAsia" w:ascii="Times New Roman" w:hAnsi="Times New Roman" w:eastAsia="方正仿宋_GBK"/>
          <w:b/>
          <w:sz w:val="32"/>
          <w:szCs w:val="32"/>
        </w:rPr>
        <w:t>第一部分部门整体绩效目标</w:t>
      </w:r>
    </w:p>
    <w:p>
      <w:pPr>
        <w:autoSpaceDE w:val="0"/>
        <w:autoSpaceDN w:val="0"/>
        <w:adjustRightInd w:val="0"/>
        <w:ind w:left="198" w:firstLine="640" w:firstLineChars="200"/>
        <w:jc w:val="left"/>
        <w:rPr>
          <w:rFonts w:ascii="Times New Roman" w:hAnsi="Times New Roman" w:eastAsia="仿宋" w:cs="Times New Roman"/>
          <w:b/>
          <w:sz w:val="32"/>
          <w:szCs w:val="32"/>
        </w:rPr>
      </w:pPr>
      <w:bookmarkStart w:id="0" w:name="_Toc471398463"/>
      <w:r>
        <w:rPr>
          <w:rFonts w:hint="eastAsia" w:ascii="Times New Roman" w:hAnsi="Times New Roman" w:eastAsia="方正仿宋_GBK"/>
          <w:sz w:val="32"/>
          <w:szCs w:val="32"/>
        </w:rPr>
        <w:t>（一）</w:t>
      </w:r>
      <w:r>
        <w:rPr>
          <w:rFonts w:ascii="Times New Roman" w:hAnsi="Times New Roman" w:eastAsia="仿宋" w:cs="Times New Roman"/>
          <w:b/>
          <w:sz w:val="32"/>
          <w:szCs w:val="32"/>
        </w:rPr>
        <w:t>总体绩效目标：</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1"/>
        <w:jc w:val="left"/>
        <w:rPr>
          <w:rFonts w:hint="eastAsia" w:ascii="仿宋" w:hAnsi="仿宋" w:eastAsia="仿宋" w:cs="宋体"/>
          <w:sz w:val="32"/>
          <w:szCs w:val="32"/>
        </w:rPr>
      </w:pPr>
      <w:r>
        <w:rPr>
          <w:rFonts w:hint="eastAsia" w:ascii="仿宋" w:hAnsi="仿宋" w:eastAsia="仿宋" w:cs="宋体"/>
          <w:sz w:val="32"/>
          <w:szCs w:val="32"/>
        </w:rPr>
        <w:t>1、加强康复人才培养工作，建立适合我县实际的康复人才培养工作机制和培养模式。加强康复机构管理，使其在建设规模、机构职能、设备设施和人员配置等方面更加规范完善。</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1"/>
        <w:jc w:val="left"/>
        <w:rPr>
          <w:rFonts w:hint="eastAsia" w:ascii="仿宋" w:hAnsi="仿宋" w:eastAsia="仿宋" w:cs="宋体"/>
          <w:sz w:val="32"/>
          <w:szCs w:val="32"/>
        </w:rPr>
      </w:pPr>
      <w:r>
        <w:rPr>
          <w:rFonts w:hint="eastAsia" w:ascii="仿宋" w:hAnsi="仿宋" w:eastAsia="仿宋" w:cs="宋体"/>
          <w:sz w:val="32"/>
          <w:szCs w:val="32"/>
        </w:rPr>
        <w:t>2、组织实施中国残联阳光助学计划——残疾人事业专项彩票公益金助学项目，为家庭经济困难的残疾儿童提供学前教育资助。加大手语、盲文培训和推广力度，提高特殊语言文字服务能力。</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1"/>
        <w:jc w:val="left"/>
        <w:rPr>
          <w:rFonts w:hint="eastAsia" w:ascii="仿宋" w:hAnsi="仿宋" w:eastAsia="仿宋" w:cs="宋体"/>
          <w:sz w:val="32"/>
          <w:szCs w:val="32"/>
        </w:rPr>
      </w:pPr>
      <w:r>
        <w:rPr>
          <w:rFonts w:hint="eastAsia" w:ascii="仿宋" w:hAnsi="仿宋" w:eastAsia="仿宋" w:cs="宋体"/>
          <w:sz w:val="32"/>
          <w:szCs w:val="32"/>
        </w:rPr>
        <w:t>3、完善残疾人就业和培训实名制统计及动态管理工作。加强和规范残疾人就业服务窗口建设，举办残疾人就业洽谈会。</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1"/>
        <w:jc w:val="left"/>
        <w:rPr>
          <w:rFonts w:hint="eastAsia" w:ascii="仿宋" w:hAnsi="仿宋" w:eastAsia="仿宋" w:cs="宋体"/>
          <w:sz w:val="32"/>
          <w:szCs w:val="32"/>
        </w:rPr>
      </w:pPr>
      <w:r>
        <w:rPr>
          <w:rFonts w:hint="eastAsia" w:ascii="仿宋" w:hAnsi="仿宋" w:eastAsia="仿宋" w:cs="宋体"/>
          <w:sz w:val="32"/>
          <w:szCs w:val="32"/>
        </w:rPr>
        <w:t>4、做好残疾人培训的宣传、组织工作，为省、市残疾人培训输送优秀学员，残疾人培训就业率达到80%以上。</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1"/>
        <w:jc w:val="left"/>
        <w:rPr>
          <w:rFonts w:hint="eastAsia" w:ascii="仿宋" w:hAnsi="仿宋" w:eastAsia="仿宋" w:cs="宋体"/>
          <w:sz w:val="32"/>
          <w:szCs w:val="32"/>
        </w:rPr>
      </w:pPr>
      <w:r>
        <w:rPr>
          <w:rFonts w:hint="eastAsia" w:ascii="仿宋" w:hAnsi="仿宋" w:eastAsia="仿宋" w:cs="宋体"/>
          <w:sz w:val="32"/>
          <w:szCs w:val="32"/>
        </w:rPr>
        <w:t>5、建立一个示范性扶贫基地，完成农村残疾人实用技术培训500人次。组织落实农村基层组织助残扶贫工程、万村千乡市场工程助残扶贫项目和农家书屋残疾人就业等扶贫工程。</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1"/>
        <w:jc w:val="left"/>
        <w:rPr>
          <w:rFonts w:hint="eastAsia" w:ascii="仿宋" w:hAnsi="仿宋" w:eastAsia="仿宋" w:cs="宋体"/>
          <w:sz w:val="32"/>
          <w:szCs w:val="32"/>
        </w:rPr>
      </w:pPr>
      <w:r>
        <w:rPr>
          <w:rFonts w:hint="eastAsia" w:ascii="仿宋" w:hAnsi="仿宋" w:eastAsia="仿宋" w:cs="宋体"/>
          <w:sz w:val="32"/>
          <w:szCs w:val="32"/>
        </w:rPr>
        <w:t>6、加强残疾人体育健身示范点建设，举办残疾人体育健身指导员培训班，培养残疾人体育健身师资力量。</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1"/>
        <w:jc w:val="left"/>
        <w:rPr>
          <w:rFonts w:ascii="仿宋" w:hAnsi="仿宋" w:eastAsia="仿宋" w:cs="宋体"/>
          <w:sz w:val="32"/>
          <w:szCs w:val="32"/>
        </w:rPr>
      </w:pPr>
      <w:r>
        <w:rPr>
          <w:rFonts w:hint="eastAsia" w:ascii="仿宋" w:hAnsi="仿宋" w:eastAsia="仿宋" w:cs="宋体"/>
          <w:sz w:val="32"/>
          <w:szCs w:val="32"/>
        </w:rPr>
        <w:t>7、加强残疾人法律救助工作站规范化建设，做到有专职人员、有无障碍的工作场地、有为残、疾人提供法律救助服务的合作单位、有工作经费、有登记统计、有工作制度和职责，逐步建立残疾人法律救助工作联络站。</w:t>
      </w:r>
    </w:p>
    <w:p>
      <w:pPr>
        <w:autoSpaceDE w:val="0"/>
        <w:autoSpaceDN w:val="0"/>
        <w:adjustRightInd w:val="0"/>
        <w:ind w:left="198" w:firstLine="640" w:firstLineChars="200"/>
        <w:jc w:val="left"/>
        <w:rPr>
          <w:rFonts w:ascii="Times New Roman" w:hAnsi="Times New Roman" w:eastAsia="仿宋" w:cs="Times New Roman"/>
          <w:b/>
          <w:sz w:val="32"/>
          <w:szCs w:val="32"/>
        </w:rPr>
      </w:pPr>
      <w:r>
        <w:rPr>
          <w:rFonts w:hint="eastAsia" w:ascii="方正楷体_GBK" w:hAnsi="楷体" w:eastAsia="方正楷体_GBK" w:cs="楷体"/>
          <w:b w:val="0"/>
          <w:sz w:val="32"/>
          <w:szCs w:val="32"/>
        </w:rPr>
        <w:t>（二）</w:t>
      </w:r>
      <w:r>
        <w:rPr>
          <w:rFonts w:hint="eastAsia" w:ascii="方正楷体_GBK" w:hAnsi="楷体" w:eastAsia="方正楷体_GBK" w:cs="楷体"/>
          <w:b w:val="0"/>
          <w:sz w:val="32"/>
          <w:szCs w:val="32"/>
          <w:lang w:eastAsia="zh-CN"/>
        </w:rPr>
        <w:t>分项</w:t>
      </w:r>
      <w:r>
        <w:rPr>
          <w:rFonts w:hint="eastAsia" w:ascii="Times New Roman" w:hAnsi="Times New Roman" w:eastAsia="仿宋" w:cs="Times New Roman"/>
          <w:b/>
          <w:sz w:val="32"/>
          <w:szCs w:val="32"/>
        </w:rPr>
        <w:t>绩效目标：</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480" w:firstLineChars="150"/>
        <w:jc w:val="left"/>
        <w:rPr>
          <w:rFonts w:hint="eastAsia" w:ascii="仿宋" w:hAnsi="仿宋" w:eastAsia="仿宋" w:cs="宋体"/>
          <w:sz w:val="32"/>
          <w:szCs w:val="32"/>
        </w:rPr>
      </w:pPr>
      <w:r>
        <w:rPr>
          <w:rFonts w:hint="eastAsia" w:ascii="Times New Roman" w:hAnsi="Times New Roman" w:eastAsia="仿宋" w:cs="Times New Roman"/>
          <w:sz w:val="32"/>
          <w:szCs w:val="32"/>
        </w:rPr>
        <w:t>1、</w:t>
      </w:r>
      <w:r>
        <w:rPr>
          <w:rFonts w:hint="eastAsia" w:ascii="仿宋" w:hAnsi="仿宋" w:eastAsia="仿宋" w:cs="宋体"/>
          <w:sz w:val="32"/>
          <w:szCs w:val="32"/>
        </w:rPr>
        <w:t>残疾人法律维权：维护残疾人合法权益，对特困残疾人进行救助，促进社会稳定。保障残疾人出行便利，融入社会。</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480" w:firstLineChars="150"/>
        <w:jc w:val="left"/>
        <w:rPr>
          <w:rFonts w:hint="eastAsia" w:ascii="仿宋" w:hAnsi="仿宋" w:eastAsia="仿宋" w:cs="宋体"/>
          <w:sz w:val="32"/>
          <w:szCs w:val="32"/>
        </w:rPr>
      </w:pPr>
      <w:r>
        <w:rPr>
          <w:rFonts w:hint="eastAsia" w:ascii="仿宋" w:hAnsi="仿宋" w:eastAsia="仿宋" w:cs="宋体"/>
          <w:sz w:val="32"/>
          <w:szCs w:val="32"/>
        </w:rPr>
        <w:t>2、残疾人服务：逐步实现残疾人“人人享有基本康复服务”，促进残疾人增收，保障贫困重度残疾人基本生活，为就业年龄段智力、精神、重度残疾人提供护理补贴。对当年考入高等学校的残疾大学生及残疾人家庭子女提供资助，提高残疾人就业率。媒体宣传广泛深入，残疾人文体生活丰富，残疾人文化体育比赛成绩优良，助残志愿者与残疾人对接良好。</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480" w:firstLineChars="150"/>
        <w:jc w:val="left"/>
        <w:rPr>
          <w:rFonts w:ascii="仿宋" w:hAnsi="仿宋" w:eastAsia="仿宋" w:cs="宋体"/>
          <w:sz w:val="32"/>
          <w:szCs w:val="32"/>
        </w:rPr>
      </w:pPr>
      <w:r>
        <w:rPr>
          <w:rFonts w:hint="eastAsia" w:ascii="仿宋" w:hAnsi="仿宋" w:eastAsia="仿宋" w:cs="宋体"/>
          <w:sz w:val="32"/>
          <w:szCs w:val="32"/>
        </w:rPr>
        <w:t>3、残疾人综合业务管理：残疾残疾人就业保障金稳定增收，残疾残疾人稳定就业。</w:t>
      </w:r>
    </w:p>
    <w:p>
      <w:pPr>
        <w:autoSpaceDE w:val="0"/>
        <w:autoSpaceDN w:val="0"/>
        <w:adjustRightInd w:val="0"/>
        <w:ind w:firstLine="321" w:firstLineChars="100"/>
        <w:jc w:val="left"/>
        <w:rPr>
          <w:rFonts w:hint="eastAsia" w:ascii="方正小标宋_GBK" w:eastAsia="方正小标宋_GBK"/>
          <w:color w:val="FFFFFF"/>
          <w:sz w:val="32"/>
        </w:rPr>
      </w:pPr>
      <w:r>
        <w:rPr>
          <w:rFonts w:hint="eastAsia" w:ascii="Times New Roman" w:hAnsi="Times New Roman" w:eastAsia="方正仿宋_GBK"/>
          <w:b/>
          <w:sz w:val="32"/>
          <w:szCs w:val="32"/>
        </w:rPr>
        <w:t>第二部分：预算项目绩效目标：</w:t>
      </w:r>
      <w:bookmarkEnd w:id="0"/>
    </w:p>
    <w:p>
      <w:pPr>
        <w:jc w:val="left"/>
        <w:outlineLvl w:val="3"/>
        <w:rPr>
          <w:rFonts w:ascii="Times New Roman" w:hAnsi="宋体"/>
          <w:b/>
          <w:sz w:val="28"/>
        </w:rPr>
      </w:pPr>
      <w:bookmarkStart w:id="1" w:name="_Toc66069369"/>
      <w:r>
        <w:rPr>
          <w:rFonts w:hint="eastAsia" w:ascii="方正仿宋_GBK" w:eastAsia="方正仿宋_GBK"/>
          <w:b/>
          <w:sz w:val="28"/>
        </w:rPr>
        <w:t>1.冀财社[2020]159号/中央/2021年残疾人事业发展补助资金绩效目标表</w:t>
      </w:r>
      <w:bookmarkEnd w:id="1"/>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1、冀财社[2020]159号/中央/2021年残疾人事业发展补助资金绩效目标表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762001</w:t>
            </w:r>
            <w:r>
              <w:rPr>
                <w:rFonts w:hint="eastAsia" w:ascii="方正书宋_GBK" w:eastAsia="方正书宋_GBK"/>
                <w:b/>
              </w:rPr>
              <w:t>隆尧县残疾人联合会本级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1305252115BA99LAYB01T</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冀财社</w:t>
            </w:r>
            <w:r>
              <w:rPr>
                <w:rFonts w:ascii="方正书宋_GBK" w:eastAsia="方正书宋_GBK"/>
              </w:rPr>
              <w:t>[2020]159</w:t>
            </w:r>
            <w:r>
              <w:rPr>
                <w:rFonts w:hint="eastAsia" w:ascii="方正书宋_GBK" w:eastAsia="方正书宋_GBK"/>
              </w:rPr>
              <w:t>号</w:t>
            </w:r>
            <w:r>
              <w:rPr>
                <w:rFonts w:ascii="方正书宋_GBK" w:eastAsia="方正书宋_GBK"/>
              </w:rPr>
              <w:t>/</w:t>
            </w:r>
            <w:r>
              <w:rPr>
                <w:rFonts w:hint="eastAsia" w:ascii="方正书宋_GBK" w:eastAsia="方正书宋_GBK"/>
              </w:rPr>
              <w:t>中央</w:t>
            </w:r>
            <w:r>
              <w:rPr>
                <w:rFonts w:ascii="方正书宋_GBK" w:eastAsia="方正书宋_GBK"/>
              </w:rPr>
              <w:t>/2021</w:t>
            </w:r>
            <w:r>
              <w:rPr>
                <w:rFonts w:hint="eastAsia" w:ascii="方正书宋_GBK" w:eastAsia="方正书宋_GBK"/>
              </w:rPr>
              <w:t>年残疾人事业发展补助资金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24</w:t>
            </w:r>
            <w:r>
              <w:rPr>
                <w:rFonts w:hint="eastAsia" w:ascii="方正书宋_GBK" w:eastAsia="方正书宋_GBK"/>
                <w:lang w:val="en-US" w:eastAsia="zh-CN"/>
              </w:rPr>
              <w:t>.</w:t>
            </w:r>
            <w:r>
              <w:rPr>
                <w:rFonts w:ascii="方正书宋_GBK" w:eastAsia="方正书宋_GBK"/>
              </w:rPr>
              <w:t>97</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24</w:t>
            </w:r>
            <w:r>
              <w:rPr>
                <w:rFonts w:hint="eastAsia" w:ascii="方正书宋_GBK" w:eastAsia="方正书宋_GBK"/>
                <w:lang w:val="en-US" w:eastAsia="zh-CN"/>
              </w:rPr>
              <w:t>.</w:t>
            </w:r>
            <w:r>
              <w:rPr>
                <w:rFonts w:ascii="方正书宋_GBK" w:eastAsia="方正书宋_GBK"/>
              </w:rPr>
              <w:t>97</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为残疾人机动轮椅车发放燃油补贴，弥补残疾人出行成本，通过阳光家园计划项目年度工作的实施，补助残疾人得到托养照料。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为残疾人机动轮椅车发放燃油补贴，弥补残疾人出行成本</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通过阳光家园计划项目年度工作的实施，补助残疾人得到托养照料</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残疾人实用技术培训数量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残疾人实用技术培训数量</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198</w:t>
            </w:r>
            <w:r>
              <w:rPr>
                <w:rFonts w:hint="eastAsia" w:ascii="方正书宋_GBK" w:eastAsia="方正书宋_GBK"/>
              </w:rPr>
              <w:t>人次</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托养服务人次数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托养服务人次数</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44</w:t>
            </w:r>
            <w:r>
              <w:rPr>
                <w:rFonts w:hint="eastAsia" w:ascii="方正书宋_GBK" w:eastAsia="方正书宋_GBK"/>
              </w:rPr>
              <w:t>人次</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接受培训的残疾人掌握的技能数量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接受农村实用技术培训的残疾人掌握的生产技能数量</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门</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补助资金及时发放率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补助资金及时发放率</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12</w:t>
            </w:r>
            <w:r>
              <w:rPr>
                <w:rFonts w:hint="eastAsia" w:ascii="方正书宋_GBK" w:eastAsia="方正书宋_GBK"/>
              </w:rPr>
              <w:t>月</w:t>
            </w:r>
            <w:r>
              <w:rPr>
                <w:rFonts w:ascii="方正书宋_GBK" w:eastAsia="方正书宋_GBK"/>
              </w:rPr>
              <w:t>31</w:t>
            </w:r>
            <w:r>
              <w:rPr>
                <w:rFonts w:hint="eastAsia" w:ascii="方正书宋_GBK" w:eastAsia="方正书宋_GBK"/>
              </w:rPr>
              <w:t>日前</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机动轮椅车燃油补贴标准</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机动轮椅车燃油补贴标准</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260</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ascii="方正书宋_GBK" w:eastAsia="方正书宋_GBK"/>
              </w:rPr>
              <w:t>.</w:t>
            </w:r>
            <w:r>
              <w:rPr>
                <w:rFonts w:hint="eastAsia" w:ascii="方正书宋_GBK" w:eastAsia="方正书宋_GBK"/>
              </w:rPr>
              <w:t>年</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关心理解残疾人的社会氛围</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关心理解残疾人的社会氛围</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有所提高</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受助对象满意度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受助对象满意度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2" w:name="_Toc66069370"/>
      <w:r>
        <w:rPr>
          <w:rFonts w:hint="eastAsia" w:ascii="方正仿宋_GBK" w:eastAsia="方正仿宋_GBK"/>
          <w:b/>
          <w:sz w:val="28"/>
        </w:rPr>
        <w:t>2.建立和省残联协同办公平台网络费绩效目标表</w:t>
      </w:r>
      <w:bookmarkEnd w:id="2"/>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2、建立和省残联协同办公平台网络费绩效目标表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762001</w:t>
            </w:r>
            <w:r>
              <w:rPr>
                <w:rFonts w:hint="eastAsia" w:ascii="方正书宋_GBK" w:eastAsia="方正书宋_GBK"/>
                <w:b/>
              </w:rPr>
              <w:t>隆尧县残疾人联合会本级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130525217ANGXV861YGAU</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建立和省残联协同办公平台网络费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和省级残联系统建立协同办公平台，保障残联各项工作顺利开展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和省级残联系统建立协同办公平台，保障残联各项工作顺利开展</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助残公益广告的数量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助残公益广告的数量</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条</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覆盖率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保障收益人群发放全覆盖</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项目完成时间</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项目完成时间</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12</w:t>
            </w:r>
            <w:r>
              <w:rPr>
                <w:rFonts w:hint="eastAsia" w:ascii="方正书宋_GBK" w:eastAsia="方正书宋_GBK"/>
              </w:rPr>
              <w:t>月</w:t>
            </w:r>
            <w:r>
              <w:rPr>
                <w:rFonts w:ascii="方正书宋_GBK" w:eastAsia="方正书宋_GBK"/>
              </w:rPr>
              <w:t>31</w:t>
            </w:r>
            <w:r>
              <w:rPr>
                <w:rFonts w:hint="eastAsia" w:ascii="方正书宋_GBK" w:eastAsia="方正书宋_GBK"/>
              </w:rPr>
              <w:t>日前</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预算控制数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预算实际支出</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按期完成</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关心理解支持残疾人的社会氛围</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关心理解支持残疾人的社会氛围</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有所改善</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残疾人对服务的满意度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残疾人对服务的满意度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3" w:name="_Toc66069371"/>
      <w:r>
        <w:rPr>
          <w:rFonts w:hint="eastAsia" w:ascii="方正仿宋_GBK" w:eastAsia="方正仿宋_GBK"/>
          <w:b/>
          <w:sz w:val="28"/>
        </w:rPr>
        <w:t>3.残疾人节日慰问活动费绩效目标表</w:t>
      </w:r>
      <w:bookmarkEnd w:id="3"/>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3、残疾人节日慰问活动费绩效目标表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762001</w:t>
            </w:r>
            <w:r>
              <w:rPr>
                <w:rFonts w:hint="eastAsia" w:ascii="方正书宋_GBK" w:eastAsia="方正书宋_GBK"/>
                <w:b/>
              </w:rPr>
              <w:t>隆尧县残疾人联合会本级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13052521EBGINPSZ2GPB5</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残疾人节日慰问活动费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lang w:val="en-US" w:eastAsia="zh-CN"/>
              </w:rPr>
              <w:t>.</w:t>
            </w:r>
            <w:r>
              <w:rPr>
                <w:rFonts w:ascii="方正书宋_GBK" w:eastAsia="方正书宋_GBK"/>
              </w:rPr>
              <w:t>5</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lang w:val="en-US" w:eastAsia="zh-CN"/>
              </w:rPr>
              <w:t>.</w:t>
            </w:r>
            <w:r>
              <w:rPr>
                <w:rFonts w:ascii="方正书宋_GBK" w:eastAsia="方正书宋_GBK"/>
              </w:rPr>
              <w:t>5</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通过开展残疾人节日慰问活动工作，提高受助残疾人生活自理和社会参与能力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通过开展残疾人节日慰问活动工作，提高受助残疾人生活自理和社会参与能力</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计划完成数量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计划完成慰问数量</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200</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保障机关正常运行</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保障机关正常运行</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按时完成</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完成时间</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完成时间</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12</w:t>
            </w:r>
            <w:r>
              <w:rPr>
                <w:rFonts w:hint="eastAsia" w:ascii="方正书宋_GBK" w:eastAsia="方正书宋_GBK"/>
              </w:rPr>
              <w:t>月</w:t>
            </w:r>
            <w:r>
              <w:rPr>
                <w:rFonts w:ascii="方正书宋_GBK" w:eastAsia="方正书宋_GBK"/>
              </w:rPr>
              <w:t>31</w:t>
            </w:r>
            <w:r>
              <w:rPr>
                <w:rFonts w:hint="eastAsia" w:ascii="方正书宋_GBK" w:eastAsia="方正书宋_GBK"/>
              </w:rPr>
              <w:t>日前</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总成本</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总成本</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45000</w:t>
            </w:r>
            <w:r>
              <w:rPr>
                <w:rFonts w:hint="eastAsia" w:ascii="方正书宋_GBK" w:eastAsia="方正书宋_GBK"/>
              </w:rPr>
              <w:t>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关心理解支持残疾人的社会氛围</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关心理解支持残疾人的社会氛围</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有所改善</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接受托养服务残疾人满意度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接受托养服务残疾人满意度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4" w:name="_Toc66069372"/>
      <w:r>
        <w:rPr>
          <w:rFonts w:hint="eastAsia" w:ascii="方正仿宋_GBK" w:eastAsia="方正仿宋_GBK"/>
          <w:b/>
          <w:sz w:val="28"/>
        </w:rPr>
        <w:t>4.残疾人基本服务状况数据更新费绩效目标表</w:t>
      </w:r>
      <w:bookmarkEnd w:id="4"/>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4、残疾人基本服务状况数据更新费绩效目标表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762001</w:t>
            </w:r>
            <w:r>
              <w:rPr>
                <w:rFonts w:hint="eastAsia" w:ascii="方正书宋_GBK" w:eastAsia="方正书宋_GBK"/>
                <w:b/>
              </w:rPr>
              <w:t>隆尧县残疾人联合会本级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13052521EN8BGG7BLR8O8</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残疾人基本服务状况数据更新费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通过开展残疾人基本康复动态更新服务，增强残疾人生活自理和社会参与能力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通过开展残疾人基本康复动态更新服务，增强残疾人生活自理和社会参与能力</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动态更新残疾人数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动态更新残疾人数</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15000</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项目经费拨付完成率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项目经费拨付情况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3</w:t>
            </w:r>
            <w:r>
              <w:rPr>
                <w:rFonts w:hint="eastAsia" w:ascii="方正书宋_GBK" w:eastAsia="方正书宋_GBK"/>
                <w:lang w:val="en-US" w:eastAsia="zh-CN"/>
              </w:rPr>
              <w:t>万</w:t>
            </w:r>
            <w:r>
              <w:rPr>
                <w:rFonts w:hint="eastAsia" w:ascii="方正书宋_GBK" w:eastAsia="方正书宋_GBK"/>
              </w:rPr>
              <w:t>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支付时限</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年底完成补助资金</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12</w:t>
            </w:r>
            <w:r>
              <w:rPr>
                <w:rFonts w:hint="eastAsia" w:ascii="方正书宋_GBK" w:eastAsia="方正书宋_GBK"/>
              </w:rPr>
              <w:t>月</w:t>
            </w:r>
            <w:r>
              <w:rPr>
                <w:rFonts w:ascii="方正书宋_GBK" w:eastAsia="方正书宋_GBK"/>
              </w:rPr>
              <w:t>31</w:t>
            </w:r>
            <w:r>
              <w:rPr>
                <w:rFonts w:hint="eastAsia" w:ascii="方正书宋_GBK" w:eastAsia="方正书宋_GBK"/>
              </w:rPr>
              <w:t>日完成</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不高于预算数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不高于预算数</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lang w:val="en-US" w:eastAsia="zh-CN"/>
              </w:rPr>
              <w:t>万</w:t>
            </w:r>
            <w:r>
              <w:rPr>
                <w:rFonts w:hint="eastAsia" w:ascii="方正书宋_GBK" w:eastAsia="方正书宋_GBK"/>
              </w:rPr>
              <w:t>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保证工作正常运转</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保证工作正常运转</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有所改善</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5" w:name="_Toc66069373"/>
      <w:r>
        <w:rPr>
          <w:rFonts w:hint="eastAsia" w:ascii="方正仿宋_GBK" w:eastAsia="方正仿宋_GBK"/>
          <w:b/>
          <w:sz w:val="28"/>
        </w:rPr>
        <w:t>5.残联专项经费绩效目标表</w:t>
      </w:r>
      <w:bookmarkEnd w:id="5"/>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5、残联专项经费绩效目标表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762001</w:t>
            </w:r>
            <w:r>
              <w:rPr>
                <w:rFonts w:hint="eastAsia" w:ascii="方正书宋_GBK" w:eastAsia="方正书宋_GBK"/>
                <w:b/>
              </w:rPr>
              <w:t>隆尧县残疾人联合会本级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13052521FITI9G1YDQ80L</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残联专项经费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lang w:val="en-US" w:eastAsia="zh-CN"/>
              </w:rPr>
              <w:t>.</w:t>
            </w:r>
            <w:r>
              <w:rPr>
                <w:rFonts w:ascii="方正书宋_GBK" w:eastAsia="方正书宋_GBK"/>
              </w:rPr>
              <w:t>0088</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lang w:val="en-US" w:eastAsia="zh-CN"/>
              </w:rPr>
              <w:t>.</w:t>
            </w:r>
            <w:r>
              <w:rPr>
                <w:rFonts w:ascii="方正书宋_GBK" w:eastAsia="方正书宋_GBK"/>
              </w:rPr>
              <w:t>0088</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通过</w:t>
            </w:r>
            <w:r>
              <w:rPr>
                <w:rFonts w:ascii="方正书宋_GBK" w:eastAsia="方正书宋_GBK"/>
              </w:rPr>
              <w:t>2021</w:t>
            </w:r>
            <w:r>
              <w:rPr>
                <w:rFonts w:hint="eastAsia" w:ascii="方正书宋_GBK" w:eastAsia="方正书宋_GBK"/>
              </w:rPr>
              <w:t>年度县级预算项目残联专项经费的实施，保障残联各项工作顺利开展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1.2021</w:t>
            </w:r>
            <w:r>
              <w:rPr>
                <w:rFonts w:hint="eastAsia" w:ascii="方正书宋_GBK" w:eastAsia="方正书宋_GBK"/>
              </w:rPr>
              <w:t>年度县级预算项目残联专项经费的实施，保障残联各项工作顺利开展</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经费发放及时</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及时发放</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项目经费拨付完成率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项目经费拨付情况</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及时拨付</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资金支出率（</w:t>
            </w:r>
            <w:r>
              <w:rPr>
                <w:rFonts w:ascii="方正书宋_GBK" w:eastAsia="方正书宋_GBK"/>
              </w:rPr>
              <w:t>%</w:t>
            </w:r>
            <w:r>
              <w:rPr>
                <w:rFonts w:hint="eastAsia" w:ascii="方正书宋_GBK" w:eastAsia="方正书宋_GBK"/>
              </w:rPr>
              <w:t>）</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资金支出率（</w:t>
            </w:r>
            <w:r>
              <w:rPr>
                <w:rFonts w:ascii="方正书宋_GBK" w:eastAsia="方正书宋_GBK"/>
              </w:rPr>
              <w:t>%</w:t>
            </w:r>
            <w:r>
              <w:rPr>
                <w:rFonts w:hint="eastAsia" w:ascii="方正书宋_GBK" w:eastAsia="方正书宋_GBK"/>
              </w:rPr>
              <w:t>）</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项目预算控制数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经费规模</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lang w:val="en-US" w:eastAsia="zh-CN"/>
              </w:rPr>
              <w:t>.</w:t>
            </w:r>
            <w:r>
              <w:rPr>
                <w:rFonts w:ascii="方正书宋_GBK" w:eastAsia="方正书宋_GBK"/>
              </w:rPr>
              <w:t>0088</w:t>
            </w:r>
            <w:r>
              <w:rPr>
                <w:rFonts w:hint="eastAsia" w:ascii="方正书宋_GBK" w:eastAsia="方正书宋_GBK"/>
                <w:lang w:val="en-US" w:eastAsia="zh-CN"/>
              </w:rPr>
              <w:t>万</w:t>
            </w:r>
            <w:r>
              <w:rPr>
                <w:rFonts w:hint="eastAsia" w:ascii="方正书宋_GBK" w:eastAsia="方正书宋_GBK"/>
              </w:rPr>
              <w:t>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维护单位正常运转及稳定</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维护单位正常运转及稳定</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按时完成</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服务对象满意率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6" w:name="_Toc66069374"/>
      <w:r>
        <w:rPr>
          <w:rFonts w:hint="eastAsia" w:ascii="方正仿宋_GBK" w:eastAsia="方正仿宋_GBK"/>
          <w:b/>
          <w:sz w:val="28"/>
        </w:rPr>
        <w:t>6.贫困残疾人家庭子女大学生补助费绩效目标表</w:t>
      </w:r>
      <w:bookmarkEnd w:id="6"/>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6、贫困残疾人家庭子女大学生补助费绩效目标表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762001</w:t>
            </w:r>
            <w:r>
              <w:rPr>
                <w:rFonts w:hint="eastAsia" w:ascii="方正书宋_GBK" w:eastAsia="方正书宋_GBK"/>
                <w:b/>
              </w:rPr>
              <w:t>隆尧县残疾人联合会本级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13052521G4PU537C3PZB0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贫困残疾人家庭子女大学生补助费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lang w:val="en-US" w:eastAsia="zh-CN"/>
              </w:rPr>
              <w:t>0.</w:t>
            </w:r>
            <w:r>
              <w:rPr>
                <w:rFonts w:ascii="方正书宋_GBK" w:eastAsia="方正书宋_GBK"/>
              </w:rPr>
              <w:t>8</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lang w:val="en-US" w:eastAsia="zh-CN"/>
              </w:rPr>
              <w:t>0.</w:t>
            </w:r>
            <w:r>
              <w:rPr>
                <w:rFonts w:ascii="方正书宋_GBK" w:eastAsia="方正书宋_GBK"/>
              </w:rPr>
              <w:t>8</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通过对残疾人学生和残疾人家庭子女学生实施资助，保障他们顺利入学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hint="default" w:ascii="方正书宋_GBK" w:eastAsia="方正书宋_GBK"/>
                <w:lang w:val="en-US" w:eastAsia="zh-CN"/>
              </w:rPr>
            </w:pPr>
            <w:r>
              <w:rPr>
                <w:rFonts w:hint="eastAsia" w:ascii="方正书宋_GBK" w:eastAsia="方正书宋_GBK"/>
                <w:lang w:val="en-US" w:eastAsia="zh-CN"/>
              </w:rPr>
              <w:t>100%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通过对残疾人学生和残疾人家庭子女学生实施资助，保障他们顺利入学</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当年考入高校的人数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当年考入高校的人数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资助学生人数占符合人数的比例</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资助学生人数占符合人数的比例</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工作按时完成率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工作按时完成率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按时完成</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项目预算情况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项目预算情况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按时完成</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关心理解残疾人的社会氛围</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关心理解残疾人的社会氛围</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有所改善</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资助学生对资助的满意度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资助学生对资助的满意度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7" w:name="_Toc66069375"/>
      <w:r>
        <w:rPr>
          <w:rFonts w:hint="eastAsia" w:ascii="方正仿宋_GBK" w:eastAsia="方正仿宋_GBK"/>
          <w:b/>
          <w:sz w:val="28"/>
        </w:rPr>
        <w:t>7.冀财社[2020]197号/省级/2021年残疾人事业发展补助资金绩效目标表</w:t>
      </w:r>
      <w:bookmarkEnd w:id="7"/>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7、冀财社[2020]197号/省级/2021年残疾人事业发展补助资金绩效目标表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762001</w:t>
            </w:r>
            <w:r>
              <w:rPr>
                <w:rFonts w:hint="eastAsia" w:ascii="方正书宋_GBK" w:eastAsia="方正书宋_GBK"/>
                <w:b/>
              </w:rPr>
              <w:t>隆尧县残疾人联合会本级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13052521GZ4EG4GCRGQTW</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冀财社</w:t>
            </w:r>
            <w:r>
              <w:rPr>
                <w:rFonts w:ascii="方正书宋_GBK" w:eastAsia="方正书宋_GBK"/>
              </w:rPr>
              <w:t>[2020]197</w:t>
            </w:r>
            <w:r>
              <w:rPr>
                <w:rFonts w:hint="eastAsia" w:ascii="方正书宋_GBK" w:eastAsia="方正书宋_GBK"/>
              </w:rPr>
              <w:t>号</w:t>
            </w:r>
            <w:r>
              <w:rPr>
                <w:rFonts w:ascii="方正书宋_GBK" w:eastAsia="方正书宋_GBK"/>
              </w:rPr>
              <w:t>/</w:t>
            </w:r>
            <w:r>
              <w:rPr>
                <w:rFonts w:hint="eastAsia" w:ascii="方正书宋_GBK" w:eastAsia="方正书宋_GBK"/>
              </w:rPr>
              <w:t>省级</w:t>
            </w:r>
            <w:r>
              <w:rPr>
                <w:rFonts w:ascii="方正书宋_GBK" w:eastAsia="方正书宋_GBK"/>
              </w:rPr>
              <w:t>/2021</w:t>
            </w:r>
            <w:r>
              <w:rPr>
                <w:rFonts w:hint="eastAsia" w:ascii="方正书宋_GBK" w:eastAsia="方正书宋_GBK"/>
              </w:rPr>
              <w:t>年残疾人事业发展补助资金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113</w:t>
            </w:r>
            <w:r>
              <w:rPr>
                <w:rFonts w:hint="eastAsia" w:ascii="方正书宋_GBK" w:eastAsia="方正书宋_GBK"/>
                <w:lang w:val="en-US" w:eastAsia="zh-CN"/>
              </w:rPr>
              <w:t>.</w:t>
            </w:r>
            <w:r>
              <w:rPr>
                <w:rFonts w:ascii="方正书宋_GBK" w:eastAsia="方正书宋_GBK"/>
              </w:rPr>
              <w:t>47</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113</w:t>
            </w:r>
            <w:r>
              <w:rPr>
                <w:rFonts w:hint="eastAsia" w:ascii="方正书宋_GBK" w:eastAsia="方正书宋_GBK"/>
                <w:lang w:val="en-US" w:eastAsia="zh-CN"/>
              </w:rPr>
              <w:t>.</w:t>
            </w:r>
            <w:r>
              <w:rPr>
                <w:rFonts w:ascii="方正书宋_GBK" w:eastAsia="方正书宋_GBK"/>
              </w:rPr>
              <w:t>47</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通过为残疾人提供基本康复、家庭医生签约和基本辅具适配服务，减轻功能障碍，增强生活自理和社会参与能力；通过对残疾人进行托养服务，减轻残疾人家庭负担；通过对有需求的残疾人家庭进行无障碍改造，改善残疾人居家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通过为残疾人提供基本康复、家庭医生签约和基本辅具适配服务，减轻功能障碍，增强生活自理和社会参与能力。</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通过对残疾人进行托养服务，减轻残疾人家庭负担。</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通过对有需求的残疾人家庭进行无障碍改造，改善残疾人居家环境。</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得到基本康复服务的残疾人人数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得到基本康复服务的残疾人人数</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1216</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康复显效率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康复显效率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项目完成时间</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项目完成时间</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12</w:t>
            </w:r>
            <w:r>
              <w:rPr>
                <w:rFonts w:hint="eastAsia" w:ascii="方正书宋_GBK" w:eastAsia="方正书宋_GBK"/>
              </w:rPr>
              <w:t>月</w:t>
            </w:r>
            <w:r>
              <w:rPr>
                <w:rFonts w:ascii="方正书宋_GBK" w:eastAsia="方正书宋_GBK"/>
              </w:rPr>
              <w:t>31</w:t>
            </w:r>
            <w:r>
              <w:rPr>
                <w:rFonts w:hint="eastAsia" w:ascii="方正书宋_GBK" w:eastAsia="方正书宋_GBK"/>
              </w:rPr>
              <w:t>日前</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家庭医生签约补助标准</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家庭医生签约补助标准</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60</w:t>
            </w:r>
            <w:r>
              <w:rPr>
                <w:rFonts w:hint="eastAsia" w:ascii="方正书宋_GBK" w:eastAsia="方正书宋_GBK"/>
              </w:rPr>
              <w:t>元</w:t>
            </w:r>
            <w:r>
              <w:rPr>
                <w:rFonts w:ascii="方正书宋_GBK" w:eastAsia="方正书宋_GBK"/>
              </w:rPr>
              <w:t>/</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残疾人康复服务水平</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残疾人康复服务水平</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有所提高</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残疾人对残疾人康复服务的满意度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残疾人或其家属对残疾人康复服务的满意度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8" w:name="_Toc66069376"/>
      <w:r>
        <w:rPr>
          <w:rFonts w:hint="eastAsia" w:ascii="方正仿宋_GBK" w:eastAsia="方正仿宋_GBK"/>
          <w:b/>
          <w:sz w:val="28"/>
        </w:rPr>
        <w:t>8.残疾人人身意外保险费绩效目标表</w:t>
      </w:r>
      <w:bookmarkEnd w:id="8"/>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8、残疾人人身意外保险费绩效目标表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762001</w:t>
            </w:r>
            <w:r>
              <w:rPr>
                <w:rFonts w:hint="eastAsia" w:ascii="方正书宋_GBK" w:eastAsia="方正书宋_GBK"/>
                <w:b/>
              </w:rPr>
              <w:t>隆尧县残疾人联合会本级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13052521HDBTYRMKK405F</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残疾人人身意外保险费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通过开展让残疾儿童享受人身意外伤害保险项目，提高受助残疾人的社会参与能力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通过开展让残疾儿童享受人身意外伤害保险项目，提高受助残疾人的社会参与能力</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享受意外保险费的人数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享受意外保险费的人数</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显效率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显效率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完成时间</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完成时间</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按期完成</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活动经费标准</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活动经费标准</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元</w:t>
            </w:r>
            <w:r>
              <w:rPr>
                <w:rFonts w:ascii="方正书宋_GBK" w:eastAsia="方正书宋_GBK"/>
              </w:rPr>
              <w:t>/</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关心理解支持残疾人的社会氛围</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关心理解支持残疾人的社会氛围</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有所改善</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残疾人满意度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残疾人满意度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9" w:name="_Toc66069377"/>
      <w:r>
        <w:rPr>
          <w:rFonts w:hint="eastAsia" w:ascii="方正仿宋_GBK" w:eastAsia="方正仿宋_GBK"/>
          <w:b/>
          <w:sz w:val="28"/>
        </w:rPr>
        <w:t>9.残疾人就业服务审核绩效目标表</w:t>
      </w:r>
      <w:bookmarkEnd w:id="9"/>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9、残疾人就业服务审核绩效目标表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762001</w:t>
            </w:r>
            <w:r>
              <w:rPr>
                <w:rFonts w:hint="eastAsia" w:ascii="方正书宋_GBK" w:eastAsia="方正书宋_GBK"/>
                <w:b/>
              </w:rPr>
              <w:t>隆尧县残疾人联合会本级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13052521RW5GI9GO45N29</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残疾人就业服务审核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hint="eastAsia" w:ascii="方正书宋_GBK" w:eastAsia="方正书宋_GBK"/>
                <w:lang w:val="en-US" w:eastAsia="zh-CN"/>
              </w:rPr>
            </w:pPr>
            <w:r>
              <w:rPr>
                <w:rFonts w:hint="eastAsia" w:ascii="方正书宋_GBK" w:eastAsia="方正书宋_GBK"/>
                <w:lang w:val="en-US" w:eastAsia="zh-CN"/>
              </w:rPr>
              <w:t>3</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年县级预算安排残保金网上审核专用经费</w:t>
            </w:r>
            <w:r>
              <w:rPr>
                <w:rFonts w:ascii="方正书宋_GBK" w:eastAsia="方正书宋_GBK"/>
              </w:rPr>
              <w:t>30000</w:t>
            </w:r>
            <w:r>
              <w:rPr>
                <w:rFonts w:hint="eastAsia" w:ascii="方正书宋_GBK" w:eastAsia="方正书宋_GBK"/>
              </w:rPr>
              <w:t>元，为更好地保障残疾人权益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hint="default" w:ascii="方正书宋_GBK" w:eastAsia="方正书宋_GBK"/>
                <w:lang w:val="en-US" w:eastAsia="zh-CN"/>
              </w:rPr>
            </w:pPr>
            <w:r>
              <w:rPr>
                <w:rFonts w:hint="eastAsia" w:ascii="方正书宋_GBK" w:eastAsia="方正书宋_GBK"/>
                <w:lang w:val="en-US" w:eastAsia="zh-CN"/>
              </w:rPr>
              <w:t>100%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1.2021</w:t>
            </w:r>
            <w:r>
              <w:rPr>
                <w:rFonts w:hint="eastAsia" w:ascii="方正书宋_GBK" w:eastAsia="方正书宋_GBK"/>
              </w:rPr>
              <w:t>年县级预算安排残保金网上审核专用经费</w:t>
            </w:r>
            <w:r>
              <w:rPr>
                <w:rFonts w:ascii="方正书宋_GBK" w:eastAsia="方正书宋_GBK"/>
              </w:rPr>
              <w:t>30000</w:t>
            </w:r>
            <w:r>
              <w:rPr>
                <w:rFonts w:hint="eastAsia" w:ascii="方正书宋_GBK" w:eastAsia="方正书宋_GBK"/>
              </w:rPr>
              <w:t>元，为更好地保障残疾人权益</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动态更新残疾人数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动态更新残疾人数</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15000</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考核指标完成率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考核指标完成率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完成时间</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完成时间</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12</w:t>
            </w:r>
            <w:r>
              <w:rPr>
                <w:rFonts w:hint="eastAsia" w:ascii="方正书宋_GBK" w:eastAsia="方正书宋_GBK"/>
              </w:rPr>
              <w:t>月</w:t>
            </w:r>
            <w:r>
              <w:rPr>
                <w:rFonts w:ascii="方正书宋_GBK" w:eastAsia="方正书宋_GBK"/>
              </w:rPr>
              <w:t>31</w:t>
            </w:r>
            <w:r>
              <w:rPr>
                <w:rFonts w:hint="eastAsia" w:ascii="方正书宋_GBK" w:eastAsia="方正书宋_GBK"/>
              </w:rPr>
              <w:t>日前</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项目预算情况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项目预算情况</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按时完成</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关心支持理解残疾人的社会氛围</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关心支持理解残疾人的社会氛围</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有所改善</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残疾人满意率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反映对家庭无障碍改造满意和较满意的残疾人人数占调查总人数的比例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10" w:name="_Toc66069378"/>
      <w:r>
        <w:rPr>
          <w:rFonts w:hint="eastAsia" w:ascii="方正仿宋_GBK" w:eastAsia="方正仿宋_GBK"/>
          <w:b/>
          <w:sz w:val="28"/>
        </w:rPr>
        <w:t>10.残疾人实用技术培训费绩效目标表</w:t>
      </w:r>
      <w:bookmarkEnd w:id="10"/>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10、残疾人实用技术培训费绩效目标表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762001</w:t>
            </w:r>
            <w:r>
              <w:rPr>
                <w:rFonts w:hint="eastAsia" w:ascii="方正书宋_GBK" w:eastAsia="方正书宋_GBK"/>
                <w:b/>
              </w:rPr>
              <w:t>隆尧县残疾人联合会本级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13052521STZC69OM5SGNO</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残疾人实用技术培训费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完成农村实用技术培训年度工作，帮助农村贫困残疾人提高生产增收技能。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完成农村实用技术培训年度工作，帮助农村贫困残疾人提高生产增收技能。</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接受农村实用技术培训残疾人数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接受农村实用技术培训残疾人数</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残疾人掌握的技能数量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残疾人掌握的技能数量</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门</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项目完成时间</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项目完成时间</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12</w:t>
            </w:r>
            <w:r>
              <w:rPr>
                <w:rFonts w:hint="eastAsia" w:ascii="方正书宋_GBK" w:eastAsia="方正书宋_GBK"/>
              </w:rPr>
              <w:t>月</w:t>
            </w:r>
            <w:r>
              <w:rPr>
                <w:rFonts w:ascii="方正书宋_GBK" w:eastAsia="方正书宋_GBK"/>
              </w:rPr>
              <w:t>31</w:t>
            </w:r>
            <w:r>
              <w:rPr>
                <w:rFonts w:hint="eastAsia" w:ascii="方正书宋_GBK" w:eastAsia="方正书宋_GBK"/>
              </w:rPr>
              <w:t>日前</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基本康复补助标准</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基本康复补助标准</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310</w:t>
            </w:r>
            <w:r>
              <w:rPr>
                <w:rFonts w:hint="eastAsia" w:ascii="方正书宋_GBK" w:eastAsia="方正书宋_GBK"/>
              </w:rPr>
              <w:t>元</w:t>
            </w:r>
            <w:r>
              <w:rPr>
                <w:rFonts w:ascii="方正书宋_GBK" w:eastAsia="方正书宋_GBK"/>
              </w:rPr>
              <w:t>/</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关心理解残疾人的社会氛围</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关心理解残疾人的社会氛围</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有所改善</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残疾人满意度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残疾人满意度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3"/>
        <w:rPr>
          <w:rFonts w:ascii="Times New Roman" w:hAnsi="宋体"/>
          <w:b/>
          <w:sz w:val="28"/>
        </w:rPr>
      </w:pPr>
      <w:bookmarkStart w:id="11" w:name="_Toc66069379"/>
      <w:r>
        <w:rPr>
          <w:rFonts w:hint="eastAsia" w:ascii="方正仿宋_GBK" w:eastAsia="方正仿宋_GBK"/>
          <w:b/>
          <w:sz w:val="28"/>
        </w:rPr>
        <w:t>11.退役军人专岗费绩效目标表</w:t>
      </w:r>
      <w:bookmarkEnd w:id="11"/>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11、退役军人专岗费绩效目标表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762001</w:t>
            </w:r>
            <w:r>
              <w:rPr>
                <w:rFonts w:hint="eastAsia" w:ascii="方正书宋_GBK" w:eastAsia="方正书宋_GBK"/>
                <w:b/>
              </w:rPr>
              <w:t>隆尧县残疾人联合会本级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13052521TLCQW9CT4DDW4</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退役军人专岗费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lang w:val="en-US" w:eastAsia="zh-CN"/>
              </w:rPr>
              <w:t>0.</w:t>
            </w:r>
            <w:r>
              <w:rPr>
                <w:rFonts w:ascii="方正书宋_GBK" w:eastAsia="方正书宋_GBK"/>
              </w:rPr>
              <w:t>3</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lang w:val="en-US" w:eastAsia="zh-CN"/>
              </w:rPr>
              <w:t>0.</w:t>
            </w:r>
            <w:r>
              <w:rPr>
                <w:rFonts w:ascii="方正书宋_GBK" w:eastAsia="方正书宋_GBK"/>
              </w:rPr>
              <w:t>3</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年县级预算安排</w:t>
            </w:r>
            <w:r>
              <w:rPr>
                <w:rFonts w:ascii="方正书宋_GBK" w:eastAsia="方正书宋_GBK"/>
              </w:rPr>
              <w:t>3000</w:t>
            </w:r>
            <w:r>
              <w:rPr>
                <w:rFonts w:hint="eastAsia" w:ascii="方正书宋_GBK" w:eastAsia="方正书宋_GBK"/>
              </w:rPr>
              <w:t>元用于我单位公益岗位人员费用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1.2021</w:t>
            </w:r>
            <w:r>
              <w:rPr>
                <w:rFonts w:hint="eastAsia" w:ascii="方正书宋_GBK" w:eastAsia="方正书宋_GBK"/>
              </w:rPr>
              <w:t>年县级预算安排</w:t>
            </w:r>
            <w:r>
              <w:rPr>
                <w:rFonts w:ascii="方正书宋_GBK" w:eastAsia="方正书宋_GBK"/>
              </w:rPr>
              <w:t>3000</w:t>
            </w:r>
            <w:r>
              <w:rPr>
                <w:rFonts w:hint="eastAsia" w:ascii="方正书宋_GBK" w:eastAsia="方正书宋_GBK"/>
              </w:rPr>
              <w:t>元用于我单位公益岗位人员费用</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足额发放</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足额发放公益岗人员补贴</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lang w:val="en-US" w:eastAsia="zh-CN"/>
              </w:rPr>
              <w:t>0.</w:t>
            </w:r>
            <w:r>
              <w:rPr>
                <w:rFonts w:ascii="方正书宋_GBK" w:eastAsia="方正书宋_GBK"/>
              </w:rPr>
              <w:t>3</w:t>
            </w:r>
            <w:r>
              <w:rPr>
                <w:rFonts w:hint="eastAsia" w:ascii="方正书宋_GBK" w:eastAsia="方正书宋_GBK"/>
                <w:lang w:val="en-US" w:eastAsia="zh-CN"/>
              </w:rPr>
              <w:t>万</w:t>
            </w:r>
            <w:r>
              <w:rPr>
                <w:rFonts w:hint="eastAsia" w:ascii="方正书宋_GBK" w:eastAsia="方正书宋_GBK"/>
              </w:rPr>
              <w:t>元</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资金支出率（</w:t>
            </w:r>
            <w:r>
              <w:rPr>
                <w:rFonts w:ascii="方正书宋_GBK" w:eastAsia="方正书宋_GBK"/>
              </w:rPr>
              <w:t>%</w:t>
            </w:r>
            <w:r>
              <w:rPr>
                <w:rFonts w:hint="eastAsia" w:ascii="方正书宋_GBK" w:eastAsia="方正书宋_GBK"/>
              </w:rPr>
              <w:t>）</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资金支出率（</w:t>
            </w:r>
            <w:r>
              <w:rPr>
                <w:rFonts w:ascii="方正书宋_GBK" w:eastAsia="方正书宋_GBK"/>
              </w:rPr>
              <w:t>%</w:t>
            </w:r>
            <w:r>
              <w:rPr>
                <w:rFonts w:hint="eastAsia" w:ascii="方正书宋_GBK" w:eastAsia="方正书宋_GBK"/>
              </w:rPr>
              <w:t>）</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按时完成</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　经费预算</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　项目实施经费使用情况</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足额发放</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社会影响力提升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有所改善</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公益岗位人员满意度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公益岗位人员满意度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2249" w:firstLineChars="800"/>
        <w:jc w:val="left"/>
        <w:outlineLvl w:val="3"/>
        <w:rPr>
          <w:rFonts w:ascii="Times New Roman" w:hAnsi="宋体"/>
          <w:b/>
          <w:sz w:val="28"/>
        </w:rPr>
      </w:pPr>
      <w:bookmarkStart w:id="12" w:name="_Toc66069380"/>
      <w:r>
        <w:rPr>
          <w:rFonts w:hint="eastAsia" w:ascii="方正仿宋_GBK" w:eastAsia="方正仿宋_GBK"/>
          <w:b/>
          <w:sz w:val="28"/>
        </w:rPr>
        <w:t>12.冀财社[2020]159号/中央/2021年残疾人事业发展补助资金绩效目标表</w:t>
      </w:r>
      <w:bookmarkEnd w:id="12"/>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12、冀财社[2020]159号/中央/2021年残疾人事业发展补助资金绩效目标表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762001</w:t>
            </w:r>
            <w:r>
              <w:rPr>
                <w:rFonts w:hint="eastAsia" w:ascii="方正书宋_GBK" w:eastAsia="方正书宋_GBK"/>
                <w:b/>
              </w:rPr>
              <w:t>隆尧县残疾人联合会本级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13052521YG70Q0HD0CW7V</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冀财社</w:t>
            </w:r>
            <w:r>
              <w:rPr>
                <w:rFonts w:ascii="方正书宋_GBK" w:eastAsia="方正书宋_GBK"/>
              </w:rPr>
              <w:t>[2020]159</w:t>
            </w:r>
            <w:r>
              <w:rPr>
                <w:rFonts w:hint="eastAsia" w:ascii="方正书宋_GBK" w:eastAsia="方正书宋_GBK"/>
              </w:rPr>
              <w:t>号</w:t>
            </w:r>
            <w:r>
              <w:rPr>
                <w:rFonts w:ascii="方正书宋_GBK" w:eastAsia="方正书宋_GBK"/>
              </w:rPr>
              <w:t>/</w:t>
            </w:r>
            <w:r>
              <w:rPr>
                <w:rFonts w:hint="eastAsia" w:ascii="方正书宋_GBK" w:eastAsia="方正书宋_GBK"/>
              </w:rPr>
              <w:t>中央</w:t>
            </w:r>
            <w:r>
              <w:rPr>
                <w:rFonts w:ascii="方正书宋_GBK" w:eastAsia="方正书宋_GBK"/>
              </w:rPr>
              <w:t>/2021</w:t>
            </w:r>
            <w:r>
              <w:rPr>
                <w:rFonts w:hint="eastAsia" w:ascii="方正书宋_GBK" w:eastAsia="方正书宋_GBK"/>
              </w:rPr>
              <w:t>年残疾人事业发展补助资金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23</w:t>
            </w:r>
            <w:r>
              <w:rPr>
                <w:rFonts w:hint="eastAsia" w:ascii="方正书宋_GBK" w:eastAsia="方正书宋_GBK"/>
                <w:lang w:val="en-US" w:eastAsia="zh-CN"/>
              </w:rPr>
              <w:t>.</w:t>
            </w:r>
            <w:r>
              <w:rPr>
                <w:rFonts w:ascii="方正书宋_GBK" w:eastAsia="方正书宋_GBK"/>
              </w:rPr>
              <w:t>1</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23</w:t>
            </w:r>
            <w:r>
              <w:rPr>
                <w:rFonts w:hint="eastAsia" w:ascii="方正书宋_GBK" w:eastAsia="方正书宋_GBK"/>
                <w:lang w:val="en-US" w:eastAsia="zh-CN"/>
              </w:rPr>
              <w:t>.</w:t>
            </w:r>
            <w:r>
              <w:rPr>
                <w:rFonts w:ascii="方正书宋_GBK" w:eastAsia="方正书宋_GBK"/>
              </w:rPr>
              <w:t>1</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通过开展残疾人基本康复服务项目年度工作，为残疾人提供基本康复服务，努力提高受助残疾人生活自理和社会参与能力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通过开展残疾人基本康复服务项目年度工作，为残疾人提供基本康复服务，努力提高受助残疾人生活自理和社会参与能力</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帮助农村贫困残疾人提高生产增收技能</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为残疾人机动轮椅车车主发放燃油补贴，弥补残疾人出行成本。</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得到基本康复服务的残疾人人数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得到基本康复服务的残疾人人数</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745</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康复显效率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康复显效率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项目完成时间</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项目完成时间</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12</w:t>
            </w:r>
            <w:r>
              <w:rPr>
                <w:rFonts w:hint="eastAsia" w:ascii="方正书宋_GBK" w:eastAsia="方正书宋_GBK"/>
              </w:rPr>
              <w:t>月</w:t>
            </w:r>
            <w:r>
              <w:rPr>
                <w:rFonts w:ascii="方正书宋_GBK" w:eastAsia="方正书宋_GBK"/>
              </w:rPr>
              <w:t>31</w:t>
            </w:r>
            <w:r>
              <w:rPr>
                <w:rFonts w:hint="eastAsia" w:ascii="方正书宋_GBK" w:eastAsia="方正书宋_GBK"/>
              </w:rPr>
              <w:t>日前</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基本康复补助标准</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基本康复补助标准</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310</w:t>
            </w:r>
            <w:r>
              <w:rPr>
                <w:rFonts w:hint="eastAsia" w:ascii="方正书宋_GBK" w:eastAsia="方正书宋_GBK"/>
              </w:rPr>
              <w:t>元</w:t>
            </w:r>
            <w:r>
              <w:rPr>
                <w:rFonts w:ascii="方正书宋_GBK" w:eastAsia="方正书宋_GBK"/>
              </w:rPr>
              <w:t>/</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残疾人康复服务水平</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残疾人康复服务水平</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有所提高</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残疾人康复服务覆盖率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残疾人康复服务覆盖率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理解残疾人的社会氛围</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关心、理解、支持残疾人的社会氛围</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有所提高</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接受农村培训残疾人满意度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接受农村实用技术培训残疾人或其家属满意度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残疾人或对康复服务的满意度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残疾人或其家属对残疾人基本康复服务的满意度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接受燃油补贴残疾人满意度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接受燃油补贴残疾人满意度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noWrap w:val="0"/>
            <w:vAlign w:val="center"/>
          </w:tcPr>
          <w:p>
            <w:pPr>
              <w:spacing w:line="300" w:lineRule="exact"/>
              <w:jc w:val="left"/>
              <w:rPr>
                <w:rFonts w:ascii="方正书宋_GBK" w:eastAsia="方正书宋_GBK"/>
              </w:rPr>
            </w:pPr>
          </w:p>
        </w:tc>
      </w:tr>
    </w:tbl>
    <w:p>
      <w:pPr>
        <w:tabs>
          <w:tab w:val="left" w:pos="794"/>
        </w:tabs>
        <w:jc w:val="left"/>
        <w:outlineLvl w:val="0"/>
        <w:rPr>
          <w:rFonts w:hint="eastAsia" w:ascii="方正小标宋_GBK" w:eastAsia="方正小标宋_GBK"/>
          <w:color w:val="FFFFFF"/>
          <w:sz w:val="32"/>
          <w:lang w:eastAsia="zh-CN"/>
        </w:rPr>
      </w:pPr>
    </w:p>
    <w:p>
      <w:pPr>
        <w:jc w:val="center"/>
        <w:outlineLvl w:val="0"/>
        <w:rPr>
          <w:rFonts w:hint="eastAsia" w:ascii="方正小标宋_GBK" w:eastAsia="方正小标宋_GBK"/>
          <w:color w:val="FFFFFF"/>
          <w:sz w:val="32"/>
        </w:rPr>
      </w:pPr>
    </w:p>
    <w:p>
      <w:pPr>
        <w:jc w:val="center"/>
        <w:outlineLvl w:val="0"/>
        <w:rPr>
          <w:rFonts w:hint="eastAsia" w:ascii="方正小标宋_GBK" w:eastAsia="方正小标宋_GBK"/>
          <w:color w:val="FFFFFF"/>
          <w:sz w:val="32"/>
        </w:rPr>
      </w:pPr>
    </w:p>
    <w:p>
      <w:pPr>
        <w:jc w:val="center"/>
        <w:outlineLvl w:val="0"/>
        <w:rPr>
          <w:rFonts w:hint="eastAsia" w:ascii="方正小标宋_GBK" w:eastAsia="方正小标宋_GBK"/>
          <w:color w:val="FFFFFF"/>
          <w:sz w:val="32"/>
        </w:rPr>
      </w:pPr>
    </w:p>
    <w:p>
      <w:pPr>
        <w:jc w:val="center"/>
        <w:outlineLvl w:val="0"/>
        <w:rPr>
          <w:rFonts w:hint="eastAsia" w:ascii="方正小标宋_GBK" w:eastAsia="方正小标宋_GBK"/>
          <w:color w:val="FFFFFF"/>
          <w:sz w:val="32"/>
        </w:rPr>
      </w:pPr>
    </w:p>
    <w:p>
      <w:pPr>
        <w:jc w:val="center"/>
        <w:outlineLvl w:val="0"/>
        <w:rPr>
          <w:rFonts w:hint="eastAsia" w:ascii="方正小标宋_GBK" w:eastAsia="方正小标宋_GBK"/>
          <w:color w:val="FFFFFF"/>
          <w:sz w:val="32"/>
        </w:rPr>
      </w:pPr>
    </w:p>
    <w:p>
      <w:pPr>
        <w:jc w:val="center"/>
        <w:outlineLvl w:val="0"/>
        <w:rPr>
          <w:rFonts w:hint="eastAsia" w:ascii="方正小标宋_GBK" w:eastAsia="方正小标宋_GBK"/>
          <w:color w:val="FFFFFF"/>
          <w:sz w:val="32"/>
        </w:rPr>
      </w:pPr>
    </w:p>
    <w:p>
      <w:pPr>
        <w:jc w:val="center"/>
        <w:outlineLvl w:val="0"/>
        <w:rPr>
          <w:rFonts w:hint="eastAsia" w:ascii="方正小标宋_GBK" w:eastAsia="方正小标宋_GBK"/>
          <w:color w:val="FFFFFF"/>
          <w:sz w:val="32"/>
        </w:rPr>
      </w:pPr>
    </w:p>
    <w:p>
      <w:pPr>
        <w:jc w:val="center"/>
        <w:outlineLvl w:val="0"/>
        <w:rPr>
          <w:rFonts w:hint="eastAsia" w:ascii="方正小标宋_GBK" w:eastAsia="方正小标宋_GBK"/>
          <w:color w:val="FFFFFF"/>
          <w:sz w:val="32"/>
        </w:rPr>
      </w:pPr>
    </w:p>
    <w:p>
      <w:pPr>
        <w:jc w:val="center"/>
        <w:outlineLvl w:val="0"/>
        <w:rPr>
          <w:rFonts w:hint="eastAsia" w:ascii="方正小标宋_GBK" w:eastAsia="方正小标宋_GBK"/>
          <w:color w:val="FFFFFF"/>
          <w:sz w:val="32"/>
        </w:rPr>
      </w:pPr>
    </w:p>
    <w:p>
      <w:pPr>
        <w:jc w:val="center"/>
        <w:outlineLvl w:val="0"/>
        <w:rPr>
          <w:rFonts w:hint="eastAsia" w:ascii="方正小标宋_GBK" w:eastAsia="方正小标宋_GBK"/>
          <w:color w:val="FFFFFF"/>
          <w:sz w:val="32"/>
        </w:rPr>
      </w:pPr>
    </w:p>
    <w:p>
      <w:pPr>
        <w:jc w:val="center"/>
        <w:outlineLvl w:val="0"/>
        <w:rPr>
          <w:rFonts w:hint="eastAsia" w:ascii="方正小标宋_GBK" w:eastAsia="方正小标宋_GBK"/>
          <w:color w:val="FFFFFF"/>
          <w:sz w:val="32"/>
        </w:rPr>
      </w:pPr>
    </w:p>
    <w:p>
      <w:pPr>
        <w:jc w:val="center"/>
        <w:outlineLvl w:val="0"/>
        <w:rPr>
          <w:rFonts w:hint="eastAsia" w:ascii="方正小标宋_GBK" w:eastAsia="方正小标宋_GBK"/>
          <w:color w:val="FFFFFF"/>
          <w:sz w:val="32"/>
        </w:rPr>
      </w:pPr>
    </w:p>
    <w:p>
      <w:pPr>
        <w:jc w:val="center"/>
        <w:outlineLvl w:val="0"/>
        <w:rPr>
          <w:rFonts w:hint="eastAsia" w:ascii="方正小标宋_GBK" w:eastAsia="方正小标宋_GBK"/>
          <w:color w:val="FFFFFF"/>
          <w:sz w:val="32"/>
        </w:rPr>
      </w:pPr>
    </w:p>
    <w:p>
      <w:pPr>
        <w:jc w:val="center"/>
        <w:outlineLvl w:val="0"/>
        <w:rPr>
          <w:rFonts w:hint="eastAsia" w:ascii="方正小标宋_GBK" w:eastAsia="方正小标宋_GBK"/>
          <w:color w:val="FFFFFF"/>
          <w:sz w:val="32"/>
        </w:rPr>
      </w:pPr>
    </w:p>
    <w:p>
      <w:pPr>
        <w:jc w:val="center"/>
        <w:outlineLvl w:val="0"/>
        <w:rPr>
          <w:rFonts w:hint="eastAsia" w:ascii="方正小标宋_GBK" w:eastAsia="方正小标宋_GBK"/>
          <w:color w:val="FFFFFF"/>
          <w:sz w:val="32"/>
        </w:rPr>
      </w:pPr>
    </w:p>
    <w:p>
      <w:pPr>
        <w:jc w:val="center"/>
        <w:outlineLvl w:val="0"/>
        <w:rPr>
          <w:rFonts w:hint="eastAsia" w:ascii="方正小标宋_GBK" w:eastAsia="方正小标宋_GBK"/>
          <w:color w:val="FFFFFF"/>
          <w:sz w:val="32"/>
        </w:rPr>
      </w:pPr>
    </w:p>
    <w:p>
      <w:pPr>
        <w:jc w:val="center"/>
        <w:outlineLvl w:val="0"/>
        <w:rPr>
          <w:rFonts w:hint="eastAsia" w:ascii="方正小标宋_GBK" w:eastAsia="方正小标宋_GBK"/>
          <w:color w:val="FFFFFF"/>
          <w:sz w:val="32"/>
        </w:rPr>
      </w:pPr>
    </w:p>
    <w:p>
      <w:pPr>
        <w:jc w:val="center"/>
        <w:outlineLvl w:val="0"/>
        <w:rPr>
          <w:rFonts w:hint="eastAsia" w:ascii="方正小标宋_GBK" w:eastAsia="方正小标宋_GBK"/>
          <w:color w:val="FFFFFF"/>
          <w:sz w:val="32"/>
        </w:rPr>
      </w:pPr>
    </w:p>
    <w:p>
      <w:pPr>
        <w:jc w:val="center"/>
        <w:outlineLvl w:val="0"/>
        <w:rPr>
          <w:rFonts w:ascii="方正小标宋_GBK" w:eastAsia="方正小标宋_GBK"/>
          <w:color w:val="FFFFFF"/>
          <w:sz w:val="32"/>
        </w:rPr>
      </w:pPr>
    </w:p>
    <w:p>
      <w:pPr>
        <w:spacing w:line="300" w:lineRule="exact"/>
        <w:jc w:val="left"/>
        <w:outlineLvl w:val="0"/>
        <w:sectPr>
          <w:pgSz w:w="16839" w:h="11907" w:orient="landscape"/>
          <w:pgMar w:top="1020" w:right="1361" w:bottom="1020" w:left="1361" w:header="851" w:footer="992" w:gutter="0"/>
          <w:cols w:space="425" w:num="1"/>
          <w:docGrid w:type="lines" w:linePitch="312" w:charSpace="0"/>
        </w:sectPr>
      </w:pPr>
    </w:p>
    <w:p>
      <w:pPr>
        <w:tabs>
          <w:tab w:val="left" w:pos="6151"/>
        </w:tabs>
        <w:bidi w:val="0"/>
        <w:jc w:val="left"/>
        <w:rPr>
          <w:lang w:val="en-US" w:eastAsia="zh-CN"/>
        </w:rPr>
      </w:pP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ind w:firstLine="640" w:firstLineChars="200"/>
        <w:outlineLvl w:val="0"/>
        <w:rPr>
          <w:rFonts w:ascii="Times New Roman" w:hAnsi="Times New Roman" w:eastAsia="仿宋" w:cs="Times New Roman"/>
          <w:sz w:val="32"/>
          <w:szCs w:val="24"/>
        </w:rPr>
      </w:pPr>
      <w:r>
        <w:rPr>
          <w:rFonts w:ascii="Times New Roman" w:hAnsi="Times New Roman" w:eastAsia="仿宋" w:cs="Times New Roman"/>
          <w:sz w:val="32"/>
          <w:szCs w:val="24"/>
        </w:rPr>
        <w:t xml:space="preserve"> 20</w:t>
      </w:r>
      <w:r>
        <w:rPr>
          <w:rFonts w:hint="eastAsia" w:ascii="Times New Roman" w:hAnsi="Times New Roman" w:eastAsia="仿宋" w:cs="Times New Roman"/>
          <w:sz w:val="32"/>
          <w:szCs w:val="24"/>
          <w:lang w:val="en-US" w:eastAsia="zh-CN"/>
        </w:rPr>
        <w:t>21</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我部门</w:t>
      </w:r>
      <w:r>
        <w:rPr>
          <w:rFonts w:ascii="Times New Roman" w:hAnsi="Times New Roman" w:eastAsia="仿宋" w:cs="Times New Roman"/>
          <w:sz w:val="32"/>
          <w:szCs w:val="24"/>
        </w:rPr>
        <w:t>安排政府采购预算</w:t>
      </w:r>
      <w:r>
        <w:rPr>
          <w:rFonts w:hint="eastAsia" w:ascii="Times New Roman" w:hAnsi="Times New Roman" w:eastAsia="仿宋" w:cs="Times New Roman"/>
          <w:sz w:val="32"/>
          <w:szCs w:val="24"/>
          <w:lang w:val="en-US" w:eastAsia="zh-CN"/>
        </w:rPr>
        <w:t>108.72</w:t>
      </w:r>
      <w:r>
        <w:rPr>
          <w:rFonts w:ascii="Times New Roman" w:hAnsi="Times New Roman" w:eastAsia="仿宋" w:cs="Times New Roman"/>
          <w:sz w:val="32"/>
          <w:szCs w:val="24"/>
        </w:rPr>
        <w:t>万元。具体内容见下表。</w:t>
      </w:r>
    </w:p>
    <w:p>
      <w:pPr>
        <w:ind w:firstLine="6400" w:firstLineChars="2000"/>
        <w:outlineLvl w:val="0"/>
        <w:rPr>
          <w:rFonts w:hint="eastAsia" w:ascii="Times New Roman" w:hAnsi="Times New Roman" w:eastAsia="仿宋" w:cs="Times New Roman"/>
          <w:sz w:val="32"/>
          <w:szCs w:val="24"/>
        </w:rPr>
      </w:pPr>
      <w:r>
        <w:rPr>
          <w:rFonts w:hint="eastAsia" w:ascii="方正小标宋_GBK" w:eastAsia="方正小标宋_GBK"/>
          <w:sz w:val="32"/>
        </w:rPr>
        <w:t>部门政府采购预算</w:t>
      </w:r>
    </w:p>
    <w:tbl>
      <w:tblPr>
        <w:tblStyle w:val="7"/>
        <w:tblW w:w="155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4"/>
        <w:gridCol w:w="1134"/>
        <w:gridCol w:w="1531"/>
        <w:gridCol w:w="1531"/>
        <w:gridCol w:w="709"/>
        <w:gridCol w:w="907"/>
        <w:gridCol w:w="907"/>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703" w:type="dxa"/>
            <w:gridSpan w:val="7"/>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小标宋_GBK" w:eastAsia="方正小标宋_GBK"/>
                <w:sz w:val="24"/>
              </w:rPr>
            </w:pPr>
            <w:r>
              <w:rPr>
                <w:rFonts w:ascii="方正小标宋_GBK" w:eastAsia="方正小标宋_GBK"/>
                <w:sz w:val="24"/>
              </w:rPr>
              <w:t>762</w:t>
            </w:r>
            <w:r>
              <w:rPr>
                <w:rFonts w:hint="eastAsia" w:ascii="方正小标宋_GBK" w:eastAsia="方正小标宋_GBK"/>
                <w:sz w:val="24"/>
              </w:rPr>
              <w:t>隆尧县残联</w:t>
            </w:r>
          </w:p>
        </w:tc>
        <w:tc>
          <w:tcPr>
            <w:tcW w:w="6804"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sz w:val="24"/>
              </w:rPr>
            </w:pPr>
            <w:r>
              <w:rPr>
                <w:rFonts w:hint="eastAsia" w:ascii="方正书宋_GBK" w:eastAsia="方正书宋_GBK"/>
                <w:sz w:val="24"/>
              </w:rPr>
              <w:t>单位：</w:t>
            </w:r>
            <w:r>
              <w:rPr>
                <w:rFonts w:hint="eastAsia" w:ascii="方正书宋_GBK" w:eastAsia="方正书宋_GBK"/>
                <w:lang w:val="en-US" w:eastAsia="zh-CN"/>
              </w:rPr>
              <w:t>万</w:t>
            </w:r>
            <w:r>
              <w:rPr>
                <w:rFonts w:hint="eastAsia" w:ascii="方正书宋_GBK" w:eastAsia="方正书宋_GBK"/>
                <w:sz w:val="24"/>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18" w:type="dxa"/>
            <w:gridSpan w:val="2"/>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531"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531"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计量</w:t>
            </w:r>
            <w:r>
              <w:rPr>
                <w:rFonts w:ascii="方正书宋_GBK" w:eastAsia="方正书宋_GBK"/>
                <w:b/>
              </w:rPr>
              <w:t xml:space="preserve">  </w:t>
            </w:r>
            <w:r>
              <w:rPr>
                <w:rFonts w:hint="eastAsia" w:ascii="方正书宋_GBK" w:eastAsia="方正书宋_GBK"/>
                <w:b/>
              </w:rPr>
              <w:t>单位</w:t>
            </w:r>
          </w:p>
        </w:tc>
        <w:tc>
          <w:tcPr>
            <w:tcW w:w="907"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07"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6804" w:type="dxa"/>
            <w:gridSpan w:val="6"/>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8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531" w:type="dxa"/>
            <w:vMerge w:val="continue"/>
            <w:shd w:val="clear" w:color="auto" w:fill="auto"/>
            <w:noWrap w:val="0"/>
            <w:vAlign w:val="center"/>
          </w:tcPr>
          <w:p>
            <w:pPr>
              <w:spacing w:line="300" w:lineRule="exact"/>
              <w:jc w:val="left"/>
              <w:outlineLvl w:val="1"/>
              <w:rPr>
                <w:rFonts w:ascii="Times New Roman" w:eastAsia="方正仿宋_GBK"/>
                <w:sz w:val="28"/>
              </w:rPr>
            </w:pPr>
          </w:p>
        </w:tc>
        <w:tc>
          <w:tcPr>
            <w:tcW w:w="1531" w:type="dxa"/>
            <w:vMerge w:val="continue"/>
            <w:shd w:val="clear" w:color="auto" w:fill="auto"/>
            <w:noWrap w:val="0"/>
            <w:vAlign w:val="center"/>
          </w:tcPr>
          <w:p>
            <w:pPr>
              <w:spacing w:line="300" w:lineRule="exact"/>
              <w:jc w:val="left"/>
              <w:outlineLvl w:val="1"/>
              <w:rPr>
                <w:rFonts w:ascii="Times New Roman" w:eastAsia="方正仿宋_GBK"/>
                <w:sz w:val="28"/>
              </w:rPr>
            </w:pPr>
          </w:p>
        </w:tc>
        <w:tc>
          <w:tcPr>
            <w:tcW w:w="709" w:type="dxa"/>
            <w:vMerge w:val="continue"/>
            <w:shd w:val="clear" w:color="auto" w:fill="auto"/>
            <w:noWrap w:val="0"/>
            <w:vAlign w:val="center"/>
          </w:tcPr>
          <w:p>
            <w:pPr>
              <w:spacing w:line="300" w:lineRule="exact"/>
              <w:jc w:val="left"/>
              <w:outlineLvl w:val="1"/>
              <w:rPr>
                <w:rFonts w:ascii="Times New Roman" w:eastAsia="方正仿宋_GBK"/>
                <w:sz w:val="28"/>
              </w:rPr>
            </w:pPr>
          </w:p>
        </w:tc>
        <w:tc>
          <w:tcPr>
            <w:tcW w:w="907" w:type="dxa"/>
            <w:vMerge w:val="continue"/>
            <w:shd w:val="clear" w:color="auto" w:fill="auto"/>
            <w:noWrap w:val="0"/>
            <w:vAlign w:val="center"/>
          </w:tcPr>
          <w:p>
            <w:pPr>
              <w:spacing w:line="300" w:lineRule="exact"/>
              <w:jc w:val="left"/>
              <w:outlineLvl w:val="1"/>
              <w:rPr>
                <w:rFonts w:ascii="Times New Roman" w:eastAsia="方正仿宋_GBK"/>
                <w:sz w:val="28"/>
              </w:rPr>
            </w:pPr>
          </w:p>
        </w:tc>
        <w:tc>
          <w:tcPr>
            <w:tcW w:w="907" w:type="dxa"/>
            <w:vMerge w:val="continue"/>
            <w:shd w:val="clear" w:color="auto" w:fill="auto"/>
            <w:noWrap w:val="0"/>
            <w:vAlign w:val="center"/>
          </w:tcPr>
          <w:p>
            <w:pPr>
              <w:spacing w:line="300" w:lineRule="exact"/>
              <w:jc w:val="left"/>
              <w:outlineLvl w:val="1"/>
              <w:rPr>
                <w:rFonts w:ascii="Times New Roman" w:eastAsia="方正仿宋_GBK"/>
                <w:sz w:val="28"/>
              </w:rPr>
            </w:pP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单位资金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98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合</w:t>
            </w:r>
            <w:r>
              <w:rPr>
                <w:rFonts w:ascii="方正书宋_GBK" w:eastAsia="方正书宋_GBK"/>
                <w:b/>
              </w:rPr>
              <w:t xml:space="preserve">  </w:t>
            </w:r>
            <w:r>
              <w:rPr>
                <w:rFonts w:hint="eastAsia" w:ascii="方正书宋_GBK" w:eastAsia="方正书宋_GBK"/>
                <w:b/>
              </w:rPr>
              <w:t>计</w:t>
            </w:r>
          </w:p>
        </w:tc>
        <w:tc>
          <w:tcPr>
            <w:tcW w:w="1134" w:type="dxa"/>
            <w:shd w:val="clear" w:color="auto" w:fill="auto"/>
            <w:noWrap w:val="0"/>
            <w:vAlign w:val="center"/>
          </w:tcPr>
          <w:p>
            <w:pPr>
              <w:spacing w:line="300" w:lineRule="exact"/>
              <w:jc w:val="right"/>
              <w:rPr>
                <w:rFonts w:ascii="方正书宋_GBK" w:eastAsia="方正书宋_GBK"/>
                <w:b/>
              </w:rPr>
            </w:pPr>
          </w:p>
        </w:tc>
        <w:tc>
          <w:tcPr>
            <w:tcW w:w="1531" w:type="dxa"/>
            <w:shd w:val="clear" w:color="auto" w:fill="auto"/>
            <w:noWrap w:val="0"/>
            <w:vAlign w:val="center"/>
          </w:tcPr>
          <w:p>
            <w:pPr>
              <w:spacing w:line="300" w:lineRule="exact"/>
              <w:jc w:val="left"/>
              <w:rPr>
                <w:rFonts w:ascii="方正书宋_GBK" w:eastAsia="方正书宋_GBK"/>
                <w:b/>
              </w:rPr>
            </w:pPr>
          </w:p>
        </w:tc>
        <w:tc>
          <w:tcPr>
            <w:tcW w:w="1531" w:type="dxa"/>
            <w:shd w:val="clear" w:color="auto" w:fill="auto"/>
            <w:noWrap w:val="0"/>
            <w:vAlign w:val="center"/>
          </w:tcPr>
          <w:p>
            <w:pPr>
              <w:spacing w:line="300" w:lineRule="exact"/>
              <w:jc w:val="left"/>
              <w:rPr>
                <w:rFonts w:ascii="方正书宋_GBK" w:eastAsia="方正书宋_GBK"/>
                <w:b/>
              </w:rPr>
            </w:pPr>
          </w:p>
        </w:tc>
        <w:tc>
          <w:tcPr>
            <w:tcW w:w="709" w:type="dxa"/>
            <w:shd w:val="clear" w:color="auto" w:fill="auto"/>
            <w:noWrap w:val="0"/>
            <w:vAlign w:val="center"/>
          </w:tcPr>
          <w:p>
            <w:pPr>
              <w:spacing w:line="300" w:lineRule="exact"/>
              <w:jc w:val="center"/>
              <w:rPr>
                <w:rFonts w:ascii="方正书宋_GBK" w:eastAsia="方正书宋_GBK"/>
                <w:b/>
              </w:rPr>
            </w:pPr>
          </w:p>
        </w:tc>
        <w:tc>
          <w:tcPr>
            <w:tcW w:w="907" w:type="dxa"/>
            <w:shd w:val="clear" w:color="auto" w:fill="auto"/>
            <w:noWrap w:val="0"/>
            <w:vAlign w:val="center"/>
          </w:tcPr>
          <w:p>
            <w:pPr>
              <w:spacing w:line="300" w:lineRule="exact"/>
              <w:jc w:val="right"/>
              <w:rPr>
                <w:rFonts w:ascii="方正书宋_GBK" w:eastAsia="方正书宋_GBK"/>
                <w:b/>
              </w:rPr>
            </w:pPr>
          </w:p>
        </w:tc>
        <w:tc>
          <w:tcPr>
            <w:tcW w:w="907" w:type="dxa"/>
            <w:shd w:val="clear" w:color="auto" w:fill="auto"/>
            <w:noWrap w:val="0"/>
            <w:vAlign w:val="center"/>
          </w:tcPr>
          <w:p>
            <w:pPr>
              <w:spacing w:line="300" w:lineRule="exact"/>
              <w:jc w:val="right"/>
              <w:rPr>
                <w:rFonts w:ascii="方正书宋_GBK" w:eastAsia="方正书宋_GBK"/>
                <w:b/>
              </w:rPr>
            </w:pPr>
          </w:p>
        </w:tc>
        <w:tc>
          <w:tcPr>
            <w:tcW w:w="1134" w:type="dxa"/>
            <w:shd w:val="clear" w:color="auto" w:fill="auto"/>
            <w:noWrap w:val="0"/>
            <w:vAlign w:val="center"/>
          </w:tcPr>
          <w:p>
            <w:pPr>
              <w:spacing w:line="300" w:lineRule="exact"/>
              <w:jc w:val="right"/>
              <w:rPr>
                <w:rFonts w:ascii="方正书宋_GBK" w:eastAsia="方正书宋_GBK"/>
                <w:b/>
              </w:rPr>
            </w:pPr>
            <w:r>
              <w:rPr>
                <w:rFonts w:ascii="方正书宋_GBK" w:eastAsia="方正书宋_GBK"/>
                <w:b/>
              </w:rPr>
              <w:t>108</w:t>
            </w:r>
            <w:r>
              <w:rPr>
                <w:rFonts w:hint="eastAsia" w:ascii="方正书宋_GBK" w:eastAsia="方正书宋_GBK"/>
                <w:b/>
                <w:lang w:val="en-US" w:eastAsia="zh-CN"/>
              </w:rPr>
              <w:t>.</w:t>
            </w:r>
            <w:r>
              <w:rPr>
                <w:rFonts w:ascii="方正书宋_GBK" w:eastAsia="方正书宋_GBK"/>
                <w:b/>
              </w:rPr>
              <w:t>72</w:t>
            </w:r>
          </w:p>
        </w:tc>
        <w:tc>
          <w:tcPr>
            <w:tcW w:w="1134" w:type="dxa"/>
            <w:shd w:val="clear" w:color="auto" w:fill="auto"/>
            <w:noWrap w:val="0"/>
            <w:vAlign w:val="center"/>
          </w:tcPr>
          <w:p>
            <w:pPr>
              <w:spacing w:line="300" w:lineRule="exact"/>
              <w:jc w:val="right"/>
              <w:rPr>
                <w:rFonts w:ascii="方正书宋_GBK" w:eastAsia="方正书宋_GBK"/>
                <w:b/>
              </w:rPr>
            </w:pPr>
            <w:r>
              <w:rPr>
                <w:rFonts w:ascii="方正书宋_GBK" w:eastAsia="方正书宋_GBK"/>
                <w:b/>
              </w:rPr>
              <w:t>108</w:t>
            </w:r>
            <w:r>
              <w:rPr>
                <w:rFonts w:hint="eastAsia" w:ascii="方正书宋_GBK" w:eastAsia="方正书宋_GBK"/>
                <w:b/>
                <w:lang w:val="en-US" w:eastAsia="zh-CN"/>
              </w:rPr>
              <w:t>.</w:t>
            </w:r>
            <w:r>
              <w:rPr>
                <w:rFonts w:ascii="方正书宋_GBK" w:eastAsia="方正书宋_GBK"/>
                <w:b/>
              </w:rPr>
              <w:t>72</w:t>
            </w:r>
          </w:p>
        </w:tc>
        <w:tc>
          <w:tcPr>
            <w:tcW w:w="1134" w:type="dxa"/>
            <w:shd w:val="clear" w:color="auto" w:fill="auto"/>
            <w:noWrap w:val="0"/>
            <w:vAlign w:val="center"/>
          </w:tcPr>
          <w:p>
            <w:pPr>
              <w:spacing w:line="300" w:lineRule="exact"/>
              <w:jc w:val="right"/>
              <w:rPr>
                <w:rFonts w:ascii="方正书宋_GBK" w:eastAsia="方正书宋_GBK"/>
                <w:b/>
              </w:rPr>
            </w:pPr>
          </w:p>
        </w:tc>
        <w:tc>
          <w:tcPr>
            <w:tcW w:w="1134" w:type="dxa"/>
            <w:shd w:val="clear" w:color="auto" w:fill="auto"/>
            <w:noWrap w:val="0"/>
            <w:vAlign w:val="center"/>
          </w:tcPr>
          <w:p>
            <w:pPr>
              <w:spacing w:line="300" w:lineRule="exact"/>
              <w:jc w:val="right"/>
              <w:rPr>
                <w:rFonts w:ascii="方正书宋_GBK" w:eastAsia="方正书宋_GBK"/>
                <w:b/>
              </w:rPr>
            </w:pPr>
          </w:p>
        </w:tc>
        <w:tc>
          <w:tcPr>
            <w:tcW w:w="1134" w:type="dxa"/>
            <w:shd w:val="clear" w:color="auto" w:fill="auto"/>
            <w:noWrap w:val="0"/>
            <w:vAlign w:val="center"/>
          </w:tcPr>
          <w:p>
            <w:pPr>
              <w:spacing w:line="300" w:lineRule="exact"/>
              <w:jc w:val="right"/>
              <w:rPr>
                <w:rFonts w:ascii="方正书宋_GBK" w:eastAsia="方正书宋_GBK"/>
                <w:b/>
              </w:rPr>
            </w:pPr>
          </w:p>
        </w:tc>
        <w:tc>
          <w:tcPr>
            <w:tcW w:w="1134" w:type="dxa"/>
            <w:shd w:val="clear" w:color="auto" w:fill="auto"/>
            <w:noWrap w:val="0"/>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noWrap w:val="0"/>
            <w:vAlign w:val="center"/>
          </w:tcPr>
          <w:p>
            <w:pPr>
              <w:spacing w:line="300" w:lineRule="exact"/>
              <w:jc w:val="center"/>
              <w:rPr>
                <w:rFonts w:hint="eastAsia" w:ascii="方正书宋_GBK" w:eastAsia="方正书宋_GBK"/>
                <w:b/>
              </w:rPr>
            </w:pPr>
            <w:r>
              <w:rPr>
                <w:rFonts w:hint="eastAsia" w:ascii="方正书宋_GBK" w:eastAsia="方正书宋_GBK"/>
                <w:b/>
              </w:rPr>
              <w:t>隆尧县残疾人联合会本级小计</w:t>
            </w:r>
          </w:p>
        </w:tc>
        <w:tc>
          <w:tcPr>
            <w:tcW w:w="1134" w:type="dxa"/>
            <w:shd w:val="clear" w:color="auto" w:fill="auto"/>
            <w:noWrap w:val="0"/>
            <w:vAlign w:val="center"/>
          </w:tcPr>
          <w:p>
            <w:pPr>
              <w:spacing w:line="300" w:lineRule="exact"/>
              <w:jc w:val="right"/>
              <w:rPr>
                <w:rFonts w:ascii="方正书宋_GBK" w:eastAsia="方正书宋_GBK"/>
                <w:b/>
              </w:rPr>
            </w:pPr>
          </w:p>
        </w:tc>
        <w:tc>
          <w:tcPr>
            <w:tcW w:w="1531" w:type="dxa"/>
            <w:shd w:val="clear" w:color="auto" w:fill="auto"/>
            <w:noWrap w:val="0"/>
            <w:vAlign w:val="center"/>
          </w:tcPr>
          <w:p>
            <w:pPr>
              <w:spacing w:line="300" w:lineRule="exact"/>
              <w:jc w:val="left"/>
              <w:rPr>
                <w:rFonts w:ascii="方正书宋_GBK" w:eastAsia="方正书宋_GBK"/>
                <w:b/>
              </w:rPr>
            </w:pPr>
          </w:p>
        </w:tc>
        <w:tc>
          <w:tcPr>
            <w:tcW w:w="1531" w:type="dxa"/>
            <w:shd w:val="clear" w:color="auto" w:fill="auto"/>
            <w:noWrap w:val="0"/>
            <w:vAlign w:val="center"/>
          </w:tcPr>
          <w:p>
            <w:pPr>
              <w:spacing w:line="300" w:lineRule="exact"/>
              <w:jc w:val="left"/>
              <w:rPr>
                <w:rFonts w:ascii="方正书宋_GBK" w:eastAsia="方正书宋_GBK"/>
                <w:b/>
              </w:rPr>
            </w:pPr>
          </w:p>
        </w:tc>
        <w:tc>
          <w:tcPr>
            <w:tcW w:w="709" w:type="dxa"/>
            <w:shd w:val="clear" w:color="auto" w:fill="auto"/>
            <w:noWrap w:val="0"/>
            <w:vAlign w:val="center"/>
          </w:tcPr>
          <w:p>
            <w:pPr>
              <w:spacing w:line="300" w:lineRule="exact"/>
              <w:jc w:val="center"/>
              <w:rPr>
                <w:rFonts w:ascii="方正书宋_GBK" w:eastAsia="方正书宋_GBK"/>
                <w:b/>
              </w:rPr>
            </w:pPr>
          </w:p>
        </w:tc>
        <w:tc>
          <w:tcPr>
            <w:tcW w:w="907" w:type="dxa"/>
            <w:shd w:val="clear" w:color="auto" w:fill="auto"/>
            <w:noWrap w:val="0"/>
            <w:vAlign w:val="center"/>
          </w:tcPr>
          <w:p>
            <w:pPr>
              <w:spacing w:line="300" w:lineRule="exact"/>
              <w:jc w:val="right"/>
              <w:rPr>
                <w:rFonts w:ascii="方正书宋_GBK" w:eastAsia="方正书宋_GBK"/>
                <w:b/>
              </w:rPr>
            </w:pPr>
          </w:p>
        </w:tc>
        <w:tc>
          <w:tcPr>
            <w:tcW w:w="907" w:type="dxa"/>
            <w:shd w:val="clear" w:color="auto" w:fill="auto"/>
            <w:noWrap w:val="0"/>
            <w:vAlign w:val="center"/>
          </w:tcPr>
          <w:p>
            <w:pPr>
              <w:spacing w:line="300" w:lineRule="exact"/>
              <w:jc w:val="right"/>
              <w:rPr>
                <w:rFonts w:ascii="方正书宋_GBK" w:eastAsia="方正书宋_GBK"/>
                <w:b/>
              </w:rPr>
            </w:pPr>
          </w:p>
        </w:tc>
        <w:tc>
          <w:tcPr>
            <w:tcW w:w="1134" w:type="dxa"/>
            <w:shd w:val="clear" w:color="auto" w:fill="auto"/>
            <w:noWrap w:val="0"/>
            <w:vAlign w:val="center"/>
          </w:tcPr>
          <w:p>
            <w:pPr>
              <w:spacing w:line="300" w:lineRule="exact"/>
              <w:jc w:val="right"/>
              <w:rPr>
                <w:rFonts w:ascii="方正书宋_GBK" w:eastAsia="方正书宋_GBK"/>
                <w:b/>
              </w:rPr>
            </w:pPr>
            <w:r>
              <w:rPr>
                <w:rFonts w:ascii="方正书宋_GBK" w:eastAsia="方正书宋_GBK"/>
                <w:b/>
              </w:rPr>
              <w:t>108</w:t>
            </w:r>
            <w:r>
              <w:rPr>
                <w:rFonts w:hint="eastAsia" w:ascii="方正书宋_GBK" w:eastAsia="方正书宋_GBK"/>
                <w:b/>
                <w:lang w:val="en-US" w:eastAsia="zh-CN"/>
              </w:rPr>
              <w:t>.</w:t>
            </w:r>
            <w:r>
              <w:rPr>
                <w:rFonts w:ascii="方正书宋_GBK" w:eastAsia="方正书宋_GBK"/>
                <w:b/>
              </w:rPr>
              <w:t>72</w:t>
            </w:r>
          </w:p>
        </w:tc>
        <w:tc>
          <w:tcPr>
            <w:tcW w:w="1134" w:type="dxa"/>
            <w:shd w:val="clear" w:color="auto" w:fill="auto"/>
            <w:noWrap w:val="0"/>
            <w:vAlign w:val="center"/>
          </w:tcPr>
          <w:p>
            <w:pPr>
              <w:spacing w:line="300" w:lineRule="exact"/>
              <w:jc w:val="right"/>
              <w:rPr>
                <w:rFonts w:ascii="方正书宋_GBK" w:eastAsia="方正书宋_GBK"/>
                <w:b/>
              </w:rPr>
            </w:pPr>
            <w:r>
              <w:rPr>
                <w:rFonts w:ascii="方正书宋_GBK" w:eastAsia="方正书宋_GBK"/>
                <w:b/>
              </w:rPr>
              <w:t>108</w:t>
            </w:r>
            <w:r>
              <w:rPr>
                <w:rFonts w:hint="eastAsia" w:ascii="方正书宋_GBK" w:eastAsia="方正书宋_GBK"/>
                <w:b/>
                <w:lang w:val="en-US" w:eastAsia="zh-CN"/>
              </w:rPr>
              <w:t>.</w:t>
            </w:r>
            <w:r>
              <w:rPr>
                <w:rFonts w:ascii="方正书宋_GBK" w:eastAsia="方正书宋_GBK"/>
                <w:b/>
              </w:rPr>
              <w:t>72</w:t>
            </w:r>
          </w:p>
        </w:tc>
        <w:tc>
          <w:tcPr>
            <w:tcW w:w="1134" w:type="dxa"/>
            <w:shd w:val="clear" w:color="auto" w:fill="auto"/>
            <w:noWrap w:val="0"/>
            <w:vAlign w:val="center"/>
          </w:tcPr>
          <w:p>
            <w:pPr>
              <w:spacing w:line="300" w:lineRule="exact"/>
              <w:jc w:val="right"/>
              <w:rPr>
                <w:rFonts w:ascii="方正书宋_GBK" w:eastAsia="方正书宋_GBK"/>
                <w:b/>
              </w:rPr>
            </w:pPr>
          </w:p>
        </w:tc>
        <w:tc>
          <w:tcPr>
            <w:tcW w:w="1134" w:type="dxa"/>
            <w:shd w:val="clear" w:color="auto" w:fill="auto"/>
            <w:noWrap w:val="0"/>
            <w:vAlign w:val="center"/>
          </w:tcPr>
          <w:p>
            <w:pPr>
              <w:spacing w:line="300" w:lineRule="exact"/>
              <w:jc w:val="right"/>
              <w:rPr>
                <w:rFonts w:ascii="方正书宋_GBK" w:eastAsia="方正书宋_GBK"/>
                <w:b/>
              </w:rPr>
            </w:pPr>
          </w:p>
        </w:tc>
        <w:tc>
          <w:tcPr>
            <w:tcW w:w="1134" w:type="dxa"/>
            <w:shd w:val="clear" w:color="auto" w:fill="auto"/>
            <w:noWrap w:val="0"/>
            <w:vAlign w:val="center"/>
          </w:tcPr>
          <w:p>
            <w:pPr>
              <w:spacing w:line="300" w:lineRule="exact"/>
              <w:jc w:val="right"/>
              <w:rPr>
                <w:rFonts w:ascii="方正书宋_GBK" w:eastAsia="方正书宋_GBK"/>
                <w:b/>
              </w:rPr>
            </w:pPr>
          </w:p>
        </w:tc>
        <w:tc>
          <w:tcPr>
            <w:tcW w:w="1134" w:type="dxa"/>
            <w:shd w:val="clear" w:color="auto" w:fill="auto"/>
            <w:noWrap w:val="0"/>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残疾人就业服务审核</w:t>
            </w:r>
          </w:p>
        </w:tc>
        <w:tc>
          <w:tcPr>
            <w:tcW w:w="1134"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3</w:t>
            </w:r>
          </w:p>
        </w:tc>
        <w:tc>
          <w:tcPr>
            <w:tcW w:w="153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台式计算机</w:t>
            </w:r>
          </w:p>
        </w:tc>
        <w:tc>
          <w:tcPr>
            <w:tcW w:w="153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A02010104</w:t>
            </w:r>
          </w:p>
        </w:tc>
        <w:tc>
          <w:tcPr>
            <w:tcW w:w="709" w:type="dxa"/>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台</w:t>
            </w:r>
          </w:p>
        </w:tc>
        <w:tc>
          <w:tcPr>
            <w:tcW w:w="907"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4</w:t>
            </w:r>
          </w:p>
        </w:tc>
        <w:tc>
          <w:tcPr>
            <w:tcW w:w="907" w:type="dxa"/>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lang w:val="en-US" w:eastAsia="zh-CN"/>
              </w:rPr>
              <w:t>0.</w:t>
            </w:r>
            <w:r>
              <w:rPr>
                <w:rFonts w:ascii="方正书宋_GBK" w:eastAsia="方正书宋_GBK"/>
              </w:rPr>
              <w:t>45</w:t>
            </w:r>
          </w:p>
        </w:tc>
        <w:tc>
          <w:tcPr>
            <w:tcW w:w="1134"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1</w:t>
            </w:r>
            <w:r>
              <w:rPr>
                <w:rFonts w:hint="eastAsia" w:ascii="方正书宋_GBK" w:eastAsia="方正书宋_GBK"/>
                <w:lang w:val="en-US" w:eastAsia="zh-CN"/>
              </w:rPr>
              <w:t>.</w:t>
            </w:r>
            <w:r>
              <w:rPr>
                <w:rFonts w:ascii="方正书宋_GBK" w:eastAsia="方正书宋_GBK"/>
              </w:rPr>
              <w:t>8</w:t>
            </w:r>
          </w:p>
        </w:tc>
        <w:tc>
          <w:tcPr>
            <w:tcW w:w="1134"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1</w:t>
            </w:r>
            <w:r>
              <w:rPr>
                <w:rFonts w:hint="eastAsia" w:ascii="方正书宋_GBK" w:eastAsia="方正书宋_GBK"/>
                <w:lang w:val="en-US" w:eastAsia="zh-CN"/>
              </w:rPr>
              <w:t>.</w:t>
            </w:r>
            <w:r>
              <w:rPr>
                <w:rFonts w:ascii="方正书宋_GBK" w:eastAsia="方正书宋_GBK"/>
              </w:rPr>
              <w:t>8</w:t>
            </w:r>
          </w:p>
        </w:tc>
        <w:tc>
          <w:tcPr>
            <w:tcW w:w="1134" w:type="dxa"/>
            <w:shd w:val="clear" w:color="auto" w:fill="auto"/>
            <w:noWrap w:val="0"/>
            <w:vAlign w:val="center"/>
          </w:tcPr>
          <w:p>
            <w:pPr>
              <w:spacing w:line="300" w:lineRule="exact"/>
              <w:jc w:val="right"/>
              <w:rPr>
                <w:rFonts w:ascii="方正书宋_GBK" w:eastAsia="方正书宋_GBK"/>
              </w:rPr>
            </w:pPr>
          </w:p>
        </w:tc>
        <w:tc>
          <w:tcPr>
            <w:tcW w:w="1134" w:type="dxa"/>
            <w:shd w:val="clear" w:color="auto" w:fill="auto"/>
            <w:noWrap w:val="0"/>
            <w:vAlign w:val="center"/>
          </w:tcPr>
          <w:p>
            <w:pPr>
              <w:spacing w:line="300" w:lineRule="exact"/>
              <w:jc w:val="right"/>
              <w:rPr>
                <w:rFonts w:ascii="方正书宋_GBK" w:eastAsia="方正书宋_GBK"/>
              </w:rPr>
            </w:pPr>
          </w:p>
        </w:tc>
        <w:tc>
          <w:tcPr>
            <w:tcW w:w="1134" w:type="dxa"/>
            <w:shd w:val="clear" w:color="auto" w:fill="auto"/>
            <w:noWrap w:val="0"/>
            <w:vAlign w:val="center"/>
          </w:tcPr>
          <w:p>
            <w:pPr>
              <w:spacing w:line="300" w:lineRule="exact"/>
              <w:jc w:val="right"/>
              <w:rPr>
                <w:rFonts w:ascii="方正书宋_GBK" w:eastAsia="方正书宋_GBK"/>
              </w:rPr>
            </w:pPr>
          </w:p>
        </w:tc>
        <w:tc>
          <w:tcPr>
            <w:tcW w:w="1134" w:type="dxa"/>
            <w:shd w:val="clear" w:color="auto" w:fill="auto"/>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残疾人就业服务审核</w:t>
            </w:r>
          </w:p>
        </w:tc>
        <w:tc>
          <w:tcPr>
            <w:tcW w:w="1134"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3</w:t>
            </w:r>
          </w:p>
        </w:tc>
        <w:tc>
          <w:tcPr>
            <w:tcW w:w="153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便携式计算机</w:t>
            </w:r>
          </w:p>
        </w:tc>
        <w:tc>
          <w:tcPr>
            <w:tcW w:w="153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A02010105</w:t>
            </w:r>
          </w:p>
        </w:tc>
        <w:tc>
          <w:tcPr>
            <w:tcW w:w="709"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台</w:t>
            </w:r>
          </w:p>
        </w:tc>
        <w:tc>
          <w:tcPr>
            <w:tcW w:w="907"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1</w:t>
            </w:r>
          </w:p>
        </w:tc>
        <w:tc>
          <w:tcPr>
            <w:tcW w:w="907"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5500.00</w:t>
            </w:r>
          </w:p>
        </w:tc>
        <w:tc>
          <w:tcPr>
            <w:tcW w:w="1134" w:type="dxa"/>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lang w:val="en-US" w:eastAsia="zh-CN"/>
              </w:rPr>
              <w:t>0.</w:t>
            </w:r>
            <w:r>
              <w:rPr>
                <w:rFonts w:ascii="方正书宋_GBK" w:eastAsia="方正书宋_GBK"/>
              </w:rPr>
              <w:t>55</w:t>
            </w:r>
          </w:p>
        </w:tc>
        <w:tc>
          <w:tcPr>
            <w:tcW w:w="1134" w:type="dxa"/>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lang w:val="en-US" w:eastAsia="zh-CN"/>
              </w:rPr>
              <w:t>0.</w:t>
            </w:r>
            <w:r>
              <w:rPr>
                <w:rFonts w:ascii="方正书宋_GBK" w:eastAsia="方正书宋_GBK"/>
              </w:rPr>
              <w:t>55</w:t>
            </w:r>
          </w:p>
        </w:tc>
        <w:tc>
          <w:tcPr>
            <w:tcW w:w="1134" w:type="dxa"/>
            <w:shd w:val="clear" w:color="auto" w:fill="auto"/>
            <w:noWrap w:val="0"/>
            <w:vAlign w:val="center"/>
          </w:tcPr>
          <w:p>
            <w:pPr>
              <w:spacing w:line="300" w:lineRule="exact"/>
              <w:jc w:val="right"/>
              <w:rPr>
                <w:rFonts w:ascii="方正书宋_GBK" w:eastAsia="方正书宋_GBK"/>
              </w:rPr>
            </w:pPr>
          </w:p>
        </w:tc>
        <w:tc>
          <w:tcPr>
            <w:tcW w:w="1134" w:type="dxa"/>
            <w:shd w:val="clear" w:color="auto" w:fill="auto"/>
            <w:noWrap w:val="0"/>
            <w:vAlign w:val="center"/>
          </w:tcPr>
          <w:p>
            <w:pPr>
              <w:spacing w:line="300" w:lineRule="exact"/>
              <w:jc w:val="right"/>
              <w:rPr>
                <w:rFonts w:ascii="方正书宋_GBK" w:eastAsia="方正书宋_GBK"/>
              </w:rPr>
            </w:pPr>
          </w:p>
        </w:tc>
        <w:tc>
          <w:tcPr>
            <w:tcW w:w="1134" w:type="dxa"/>
            <w:shd w:val="clear" w:color="auto" w:fill="auto"/>
            <w:noWrap w:val="0"/>
            <w:vAlign w:val="center"/>
          </w:tcPr>
          <w:p>
            <w:pPr>
              <w:spacing w:line="300" w:lineRule="exact"/>
              <w:jc w:val="right"/>
              <w:rPr>
                <w:rFonts w:ascii="方正书宋_GBK" w:eastAsia="方正书宋_GBK"/>
              </w:rPr>
            </w:pPr>
          </w:p>
        </w:tc>
        <w:tc>
          <w:tcPr>
            <w:tcW w:w="1134" w:type="dxa"/>
            <w:shd w:val="clear" w:color="auto" w:fill="auto"/>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98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残疾人就业服务审核</w:t>
            </w:r>
          </w:p>
        </w:tc>
        <w:tc>
          <w:tcPr>
            <w:tcW w:w="1134"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3</w:t>
            </w:r>
          </w:p>
        </w:tc>
        <w:tc>
          <w:tcPr>
            <w:tcW w:w="153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其他计算机设备</w:t>
            </w:r>
          </w:p>
        </w:tc>
        <w:tc>
          <w:tcPr>
            <w:tcW w:w="153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A02010199</w:t>
            </w:r>
          </w:p>
        </w:tc>
        <w:tc>
          <w:tcPr>
            <w:tcW w:w="709"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台</w:t>
            </w:r>
          </w:p>
        </w:tc>
        <w:tc>
          <w:tcPr>
            <w:tcW w:w="907"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1</w:t>
            </w:r>
          </w:p>
        </w:tc>
        <w:tc>
          <w:tcPr>
            <w:tcW w:w="907"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2500.00</w:t>
            </w:r>
          </w:p>
        </w:tc>
        <w:tc>
          <w:tcPr>
            <w:tcW w:w="1134" w:type="dxa"/>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lang w:val="en-US" w:eastAsia="zh-CN"/>
              </w:rPr>
              <w:t>0.</w:t>
            </w:r>
            <w:r>
              <w:rPr>
                <w:rFonts w:ascii="方正书宋_GBK" w:eastAsia="方正书宋_GBK"/>
              </w:rPr>
              <w:t>25</w:t>
            </w:r>
          </w:p>
        </w:tc>
        <w:tc>
          <w:tcPr>
            <w:tcW w:w="1134" w:type="dxa"/>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lang w:val="en-US" w:eastAsia="zh-CN"/>
              </w:rPr>
              <w:t>0.</w:t>
            </w:r>
            <w:r>
              <w:rPr>
                <w:rFonts w:ascii="方正书宋_GBK" w:eastAsia="方正书宋_GBK"/>
              </w:rPr>
              <w:t>25</w:t>
            </w:r>
          </w:p>
        </w:tc>
        <w:tc>
          <w:tcPr>
            <w:tcW w:w="1134" w:type="dxa"/>
            <w:shd w:val="clear" w:color="auto" w:fill="auto"/>
            <w:noWrap w:val="0"/>
            <w:vAlign w:val="center"/>
          </w:tcPr>
          <w:p>
            <w:pPr>
              <w:spacing w:line="300" w:lineRule="exact"/>
              <w:jc w:val="right"/>
              <w:rPr>
                <w:rFonts w:ascii="方正书宋_GBK" w:eastAsia="方正书宋_GBK"/>
              </w:rPr>
            </w:pPr>
          </w:p>
        </w:tc>
        <w:tc>
          <w:tcPr>
            <w:tcW w:w="1134" w:type="dxa"/>
            <w:shd w:val="clear" w:color="auto" w:fill="auto"/>
            <w:noWrap w:val="0"/>
            <w:vAlign w:val="center"/>
          </w:tcPr>
          <w:p>
            <w:pPr>
              <w:spacing w:line="300" w:lineRule="exact"/>
              <w:jc w:val="right"/>
              <w:rPr>
                <w:rFonts w:ascii="方正书宋_GBK" w:eastAsia="方正书宋_GBK"/>
              </w:rPr>
            </w:pPr>
          </w:p>
        </w:tc>
        <w:tc>
          <w:tcPr>
            <w:tcW w:w="1134" w:type="dxa"/>
            <w:shd w:val="clear" w:color="auto" w:fill="auto"/>
            <w:noWrap w:val="0"/>
            <w:vAlign w:val="center"/>
          </w:tcPr>
          <w:p>
            <w:pPr>
              <w:spacing w:line="300" w:lineRule="exact"/>
              <w:jc w:val="right"/>
              <w:rPr>
                <w:rFonts w:ascii="方正书宋_GBK" w:eastAsia="方正书宋_GBK"/>
              </w:rPr>
            </w:pPr>
          </w:p>
        </w:tc>
        <w:tc>
          <w:tcPr>
            <w:tcW w:w="1134" w:type="dxa"/>
            <w:shd w:val="clear" w:color="auto" w:fill="auto"/>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残疾人就业服务审核</w:t>
            </w:r>
          </w:p>
        </w:tc>
        <w:tc>
          <w:tcPr>
            <w:tcW w:w="1134"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3</w:t>
            </w:r>
          </w:p>
        </w:tc>
        <w:tc>
          <w:tcPr>
            <w:tcW w:w="153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复印机</w:t>
            </w:r>
          </w:p>
        </w:tc>
        <w:tc>
          <w:tcPr>
            <w:tcW w:w="153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A020201</w:t>
            </w:r>
          </w:p>
        </w:tc>
        <w:tc>
          <w:tcPr>
            <w:tcW w:w="709"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台</w:t>
            </w:r>
          </w:p>
        </w:tc>
        <w:tc>
          <w:tcPr>
            <w:tcW w:w="907"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1</w:t>
            </w:r>
          </w:p>
        </w:tc>
        <w:tc>
          <w:tcPr>
            <w:tcW w:w="907"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4000.00</w:t>
            </w:r>
          </w:p>
        </w:tc>
        <w:tc>
          <w:tcPr>
            <w:tcW w:w="1134" w:type="dxa"/>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lang w:val="en-US" w:eastAsia="zh-CN"/>
              </w:rPr>
              <w:t>0.</w:t>
            </w:r>
            <w:r>
              <w:rPr>
                <w:rFonts w:ascii="方正书宋_GBK" w:eastAsia="方正书宋_GBK"/>
              </w:rPr>
              <w:t>4</w:t>
            </w:r>
          </w:p>
        </w:tc>
        <w:tc>
          <w:tcPr>
            <w:tcW w:w="1134" w:type="dxa"/>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lang w:val="en-US" w:eastAsia="zh-CN"/>
              </w:rPr>
              <w:t>0.</w:t>
            </w:r>
            <w:r>
              <w:rPr>
                <w:rFonts w:ascii="方正书宋_GBK" w:eastAsia="方正书宋_GBK"/>
              </w:rPr>
              <w:t>4</w:t>
            </w:r>
          </w:p>
        </w:tc>
        <w:tc>
          <w:tcPr>
            <w:tcW w:w="1134" w:type="dxa"/>
            <w:shd w:val="clear" w:color="auto" w:fill="auto"/>
            <w:noWrap w:val="0"/>
            <w:vAlign w:val="center"/>
          </w:tcPr>
          <w:p>
            <w:pPr>
              <w:spacing w:line="300" w:lineRule="exact"/>
              <w:jc w:val="right"/>
              <w:rPr>
                <w:rFonts w:ascii="方正书宋_GBK" w:eastAsia="方正书宋_GBK"/>
              </w:rPr>
            </w:pPr>
          </w:p>
        </w:tc>
        <w:tc>
          <w:tcPr>
            <w:tcW w:w="1134" w:type="dxa"/>
            <w:shd w:val="clear" w:color="auto" w:fill="auto"/>
            <w:noWrap w:val="0"/>
            <w:vAlign w:val="center"/>
          </w:tcPr>
          <w:p>
            <w:pPr>
              <w:spacing w:line="300" w:lineRule="exact"/>
              <w:jc w:val="right"/>
              <w:rPr>
                <w:rFonts w:ascii="方正书宋_GBK" w:eastAsia="方正书宋_GBK"/>
              </w:rPr>
            </w:pPr>
          </w:p>
        </w:tc>
        <w:tc>
          <w:tcPr>
            <w:tcW w:w="1134" w:type="dxa"/>
            <w:shd w:val="clear" w:color="auto" w:fill="auto"/>
            <w:noWrap w:val="0"/>
            <w:vAlign w:val="center"/>
          </w:tcPr>
          <w:p>
            <w:pPr>
              <w:spacing w:line="300" w:lineRule="exact"/>
              <w:jc w:val="right"/>
              <w:rPr>
                <w:rFonts w:ascii="方正书宋_GBK" w:eastAsia="方正书宋_GBK"/>
              </w:rPr>
            </w:pPr>
          </w:p>
        </w:tc>
        <w:tc>
          <w:tcPr>
            <w:tcW w:w="1134" w:type="dxa"/>
            <w:shd w:val="clear" w:color="auto" w:fill="auto"/>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冀财社</w:t>
            </w:r>
            <w:r>
              <w:rPr>
                <w:rFonts w:ascii="方正书宋_GBK" w:eastAsia="方正书宋_GBK"/>
              </w:rPr>
              <w:t>[2020]159</w:t>
            </w:r>
            <w:r>
              <w:rPr>
                <w:rFonts w:hint="eastAsia" w:ascii="方正书宋_GBK" w:eastAsia="方正书宋_GBK"/>
              </w:rPr>
              <w:t>号</w:t>
            </w:r>
            <w:r>
              <w:rPr>
                <w:rFonts w:ascii="方正书宋_GBK" w:eastAsia="方正书宋_GBK"/>
              </w:rPr>
              <w:t>/</w:t>
            </w:r>
            <w:r>
              <w:rPr>
                <w:rFonts w:hint="eastAsia" w:ascii="方正书宋_GBK" w:eastAsia="方正书宋_GBK"/>
              </w:rPr>
              <w:t>中央</w:t>
            </w:r>
            <w:r>
              <w:rPr>
                <w:rFonts w:ascii="方正书宋_GBK" w:eastAsia="方正书宋_GBK"/>
              </w:rPr>
              <w:t>/2021</w:t>
            </w:r>
            <w:r>
              <w:rPr>
                <w:rFonts w:hint="eastAsia" w:ascii="方正书宋_GBK" w:eastAsia="方正书宋_GBK"/>
              </w:rPr>
              <w:t>年残疾人事业发展补助资金</w:t>
            </w:r>
          </w:p>
        </w:tc>
        <w:tc>
          <w:tcPr>
            <w:tcW w:w="1134"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23</w:t>
            </w:r>
            <w:r>
              <w:rPr>
                <w:rFonts w:hint="eastAsia" w:ascii="方正书宋_GBK" w:eastAsia="方正书宋_GBK"/>
                <w:lang w:val="en-US" w:eastAsia="zh-CN"/>
              </w:rPr>
              <w:t>.</w:t>
            </w:r>
            <w:r>
              <w:rPr>
                <w:rFonts w:ascii="方正书宋_GBK" w:eastAsia="方正书宋_GBK"/>
              </w:rPr>
              <w:t>1</w:t>
            </w:r>
          </w:p>
        </w:tc>
        <w:tc>
          <w:tcPr>
            <w:tcW w:w="153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健康检查服务</w:t>
            </w:r>
          </w:p>
        </w:tc>
        <w:tc>
          <w:tcPr>
            <w:tcW w:w="153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C190107</w:t>
            </w:r>
          </w:p>
        </w:tc>
        <w:tc>
          <w:tcPr>
            <w:tcW w:w="709"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人次</w:t>
            </w:r>
          </w:p>
        </w:tc>
        <w:tc>
          <w:tcPr>
            <w:tcW w:w="907"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1</w:t>
            </w:r>
          </w:p>
        </w:tc>
        <w:tc>
          <w:tcPr>
            <w:tcW w:w="907"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231000.00</w:t>
            </w:r>
          </w:p>
        </w:tc>
        <w:tc>
          <w:tcPr>
            <w:tcW w:w="1134"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23</w:t>
            </w:r>
            <w:r>
              <w:rPr>
                <w:rFonts w:hint="eastAsia" w:ascii="方正书宋_GBK" w:eastAsia="方正书宋_GBK"/>
                <w:lang w:val="en-US" w:eastAsia="zh-CN"/>
              </w:rPr>
              <w:t>.</w:t>
            </w:r>
            <w:r>
              <w:rPr>
                <w:rFonts w:ascii="方正书宋_GBK" w:eastAsia="方正书宋_GBK"/>
              </w:rPr>
              <w:t>1</w:t>
            </w:r>
          </w:p>
        </w:tc>
        <w:tc>
          <w:tcPr>
            <w:tcW w:w="1134"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23</w:t>
            </w:r>
            <w:r>
              <w:rPr>
                <w:rFonts w:hint="eastAsia" w:ascii="方正书宋_GBK" w:eastAsia="方正书宋_GBK"/>
                <w:lang w:val="en-US" w:eastAsia="zh-CN"/>
              </w:rPr>
              <w:t>.</w:t>
            </w:r>
            <w:r>
              <w:rPr>
                <w:rFonts w:ascii="方正书宋_GBK" w:eastAsia="方正书宋_GBK"/>
              </w:rPr>
              <w:t>1</w:t>
            </w:r>
          </w:p>
        </w:tc>
        <w:tc>
          <w:tcPr>
            <w:tcW w:w="1134" w:type="dxa"/>
            <w:shd w:val="clear" w:color="auto" w:fill="auto"/>
            <w:noWrap w:val="0"/>
            <w:vAlign w:val="center"/>
          </w:tcPr>
          <w:p>
            <w:pPr>
              <w:spacing w:line="300" w:lineRule="exact"/>
              <w:jc w:val="right"/>
              <w:rPr>
                <w:rFonts w:ascii="方正书宋_GBK" w:eastAsia="方正书宋_GBK"/>
              </w:rPr>
            </w:pPr>
          </w:p>
        </w:tc>
        <w:tc>
          <w:tcPr>
            <w:tcW w:w="1134" w:type="dxa"/>
            <w:shd w:val="clear" w:color="auto" w:fill="auto"/>
            <w:noWrap w:val="0"/>
            <w:vAlign w:val="center"/>
          </w:tcPr>
          <w:p>
            <w:pPr>
              <w:spacing w:line="300" w:lineRule="exact"/>
              <w:jc w:val="right"/>
              <w:rPr>
                <w:rFonts w:ascii="方正书宋_GBK" w:eastAsia="方正书宋_GBK"/>
              </w:rPr>
            </w:pPr>
          </w:p>
        </w:tc>
        <w:tc>
          <w:tcPr>
            <w:tcW w:w="1134" w:type="dxa"/>
            <w:shd w:val="clear" w:color="auto" w:fill="auto"/>
            <w:noWrap w:val="0"/>
            <w:vAlign w:val="center"/>
          </w:tcPr>
          <w:p>
            <w:pPr>
              <w:spacing w:line="300" w:lineRule="exact"/>
              <w:jc w:val="right"/>
              <w:rPr>
                <w:rFonts w:ascii="方正书宋_GBK" w:eastAsia="方正书宋_GBK"/>
              </w:rPr>
            </w:pPr>
          </w:p>
        </w:tc>
        <w:tc>
          <w:tcPr>
            <w:tcW w:w="1134" w:type="dxa"/>
            <w:shd w:val="clear" w:color="auto" w:fill="auto"/>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冀财社</w:t>
            </w:r>
            <w:r>
              <w:rPr>
                <w:rFonts w:ascii="方正书宋_GBK" w:eastAsia="方正书宋_GBK"/>
              </w:rPr>
              <w:t>[2020]197</w:t>
            </w:r>
            <w:r>
              <w:rPr>
                <w:rFonts w:hint="eastAsia" w:ascii="方正书宋_GBK" w:eastAsia="方正书宋_GBK"/>
              </w:rPr>
              <w:t>号</w:t>
            </w:r>
            <w:r>
              <w:rPr>
                <w:rFonts w:ascii="方正书宋_GBK" w:eastAsia="方正书宋_GBK"/>
              </w:rPr>
              <w:t>/</w:t>
            </w:r>
            <w:r>
              <w:rPr>
                <w:rFonts w:hint="eastAsia" w:ascii="方正书宋_GBK" w:eastAsia="方正书宋_GBK"/>
              </w:rPr>
              <w:t>省级</w:t>
            </w:r>
            <w:r>
              <w:rPr>
                <w:rFonts w:ascii="方正书宋_GBK" w:eastAsia="方正书宋_GBK"/>
              </w:rPr>
              <w:t>/2021</w:t>
            </w:r>
            <w:r>
              <w:rPr>
                <w:rFonts w:hint="eastAsia" w:ascii="方正书宋_GBK" w:eastAsia="方正书宋_GBK"/>
              </w:rPr>
              <w:t>年残疾人事业发展补助资金</w:t>
            </w:r>
          </w:p>
        </w:tc>
        <w:tc>
          <w:tcPr>
            <w:tcW w:w="1134"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1134700.00</w:t>
            </w:r>
          </w:p>
        </w:tc>
        <w:tc>
          <w:tcPr>
            <w:tcW w:w="153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健康检查服务</w:t>
            </w:r>
          </w:p>
        </w:tc>
        <w:tc>
          <w:tcPr>
            <w:tcW w:w="153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C190107</w:t>
            </w:r>
          </w:p>
        </w:tc>
        <w:tc>
          <w:tcPr>
            <w:tcW w:w="709"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人</w:t>
            </w:r>
          </w:p>
        </w:tc>
        <w:tc>
          <w:tcPr>
            <w:tcW w:w="907"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1</w:t>
            </w:r>
          </w:p>
        </w:tc>
        <w:tc>
          <w:tcPr>
            <w:tcW w:w="907"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82</w:t>
            </w:r>
            <w:r>
              <w:rPr>
                <w:rFonts w:hint="eastAsia" w:ascii="方正书宋_GBK" w:eastAsia="方正书宋_GBK"/>
                <w:lang w:val="en-US" w:eastAsia="zh-CN"/>
              </w:rPr>
              <w:t>.</w:t>
            </w:r>
            <w:r>
              <w:rPr>
                <w:rFonts w:ascii="方正书宋_GBK" w:eastAsia="方正书宋_GBK"/>
              </w:rPr>
              <w:t>62</w:t>
            </w:r>
          </w:p>
        </w:tc>
        <w:tc>
          <w:tcPr>
            <w:tcW w:w="1134"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82</w:t>
            </w:r>
            <w:r>
              <w:rPr>
                <w:rFonts w:hint="eastAsia" w:ascii="方正书宋_GBK" w:eastAsia="方正书宋_GBK"/>
                <w:lang w:val="en-US" w:eastAsia="zh-CN"/>
              </w:rPr>
              <w:t>.</w:t>
            </w:r>
            <w:r>
              <w:rPr>
                <w:rFonts w:ascii="方正书宋_GBK" w:eastAsia="方正书宋_GBK"/>
              </w:rPr>
              <w:t>62</w:t>
            </w:r>
          </w:p>
        </w:tc>
        <w:tc>
          <w:tcPr>
            <w:tcW w:w="1134"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82</w:t>
            </w:r>
            <w:r>
              <w:rPr>
                <w:rFonts w:hint="eastAsia" w:ascii="方正书宋_GBK" w:eastAsia="方正书宋_GBK"/>
                <w:lang w:val="en-US" w:eastAsia="zh-CN"/>
              </w:rPr>
              <w:t>.</w:t>
            </w:r>
            <w:r>
              <w:rPr>
                <w:rFonts w:ascii="方正书宋_GBK" w:eastAsia="方正书宋_GBK"/>
              </w:rPr>
              <w:t>62</w:t>
            </w:r>
          </w:p>
        </w:tc>
        <w:tc>
          <w:tcPr>
            <w:tcW w:w="1134" w:type="dxa"/>
            <w:shd w:val="clear" w:color="auto" w:fill="auto"/>
            <w:noWrap w:val="0"/>
            <w:vAlign w:val="center"/>
          </w:tcPr>
          <w:p>
            <w:pPr>
              <w:spacing w:line="300" w:lineRule="exact"/>
              <w:jc w:val="right"/>
              <w:rPr>
                <w:rFonts w:ascii="方正书宋_GBK" w:eastAsia="方正书宋_GBK"/>
              </w:rPr>
            </w:pPr>
          </w:p>
        </w:tc>
        <w:tc>
          <w:tcPr>
            <w:tcW w:w="1134" w:type="dxa"/>
            <w:shd w:val="clear" w:color="auto" w:fill="auto"/>
            <w:noWrap w:val="0"/>
            <w:vAlign w:val="center"/>
          </w:tcPr>
          <w:p>
            <w:pPr>
              <w:spacing w:line="300" w:lineRule="exact"/>
              <w:jc w:val="right"/>
              <w:rPr>
                <w:rFonts w:ascii="方正书宋_GBK" w:eastAsia="方正书宋_GBK"/>
              </w:rPr>
            </w:pPr>
          </w:p>
        </w:tc>
        <w:tc>
          <w:tcPr>
            <w:tcW w:w="1134" w:type="dxa"/>
            <w:shd w:val="clear" w:color="auto" w:fill="auto"/>
            <w:noWrap w:val="0"/>
            <w:vAlign w:val="center"/>
          </w:tcPr>
          <w:p>
            <w:pPr>
              <w:spacing w:line="300" w:lineRule="exact"/>
              <w:jc w:val="right"/>
              <w:rPr>
                <w:rFonts w:ascii="方正书宋_GBK" w:eastAsia="方正书宋_GBK"/>
              </w:rPr>
            </w:pPr>
          </w:p>
        </w:tc>
        <w:tc>
          <w:tcPr>
            <w:tcW w:w="1134" w:type="dxa"/>
            <w:shd w:val="clear" w:color="auto" w:fill="auto"/>
            <w:noWrap w:val="0"/>
            <w:vAlign w:val="center"/>
          </w:tcPr>
          <w:p>
            <w:pPr>
              <w:spacing w:line="300" w:lineRule="exact"/>
              <w:jc w:val="right"/>
              <w:rPr>
                <w:rFonts w:ascii="方正书宋_GBK" w:eastAsia="方正书宋_GBK"/>
              </w:rPr>
            </w:pPr>
          </w:p>
        </w:tc>
      </w:tr>
    </w:tbl>
    <w:p>
      <w:pPr>
        <w:spacing w:line="300" w:lineRule="exact"/>
        <w:jc w:val="left"/>
        <w:outlineLvl w:val="0"/>
        <w:sectPr>
          <w:pgSz w:w="16839" w:h="11907" w:orient="landscape"/>
          <w:pgMar w:top="1361" w:right="1020" w:bottom="1361" w:left="1020" w:header="851" w:footer="992" w:gutter="0"/>
          <w:cols w:space="425" w:num="1"/>
          <w:docGrid w:type="lines" w:linePitch="312" w:charSpace="0"/>
        </w:sectPr>
      </w:pPr>
    </w:p>
    <w:p>
      <w:pPr>
        <w:autoSpaceDE w:val="0"/>
        <w:autoSpaceDN w:val="0"/>
        <w:adjustRightInd w:val="0"/>
        <w:ind w:firstLine="420" w:firstLineChars="200"/>
        <w:jc w:val="left"/>
        <w:rPr>
          <w:rFonts w:ascii="黑体" w:hAnsi="黑体" w:eastAsia="黑体" w:cs="Times New Roman"/>
          <w:sz w:val="32"/>
          <w:szCs w:val="32"/>
        </w:rPr>
      </w:pPr>
      <w:r>
        <w:rPr>
          <w:rFonts w:hint="eastAsia" w:cs="黑体"/>
          <w:kern w:val="2"/>
          <w:sz w:val="21"/>
          <w:szCs w:val="22"/>
          <w:lang w:val="en-US" w:eastAsia="zh-CN" w:bidi="ar-SA"/>
        </w:rPr>
        <w:tab/>
      </w:r>
      <w:r>
        <w:rPr>
          <w:rFonts w:hint="eastAsia" w:ascii="黑体" w:hAnsi="黑体" w:eastAsia="黑体" w:cs="Times New Roman"/>
          <w:sz w:val="32"/>
          <w:szCs w:val="32"/>
        </w:rPr>
        <w:t>七、国有资产信息</w:t>
      </w:r>
    </w:p>
    <w:p>
      <w:pPr>
        <w:ind w:firstLine="64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隆尧县残联20</w:t>
      </w:r>
      <w:r>
        <w:rPr>
          <w:rFonts w:hint="eastAsia" w:ascii="Times New Roman" w:hAnsi="Times New Roman" w:eastAsia="仿宋" w:cs="Times New Roman"/>
          <w:color w:val="000000"/>
          <w:sz w:val="32"/>
          <w:szCs w:val="32"/>
          <w:lang w:val="en-US" w:eastAsia="zh-CN"/>
        </w:rPr>
        <w:t>20</w:t>
      </w:r>
      <w:r>
        <w:rPr>
          <w:rFonts w:ascii="Times New Roman" w:hAnsi="Times New Roman" w:eastAsia="仿宋" w:cs="Times New Roman"/>
          <w:color w:val="000000"/>
          <w:sz w:val="32"/>
          <w:szCs w:val="32"/>
        </w:rPr>
        <w:t>年末固定资产金额为</w:t>
      </w:r>
      <w:r>
        <w:rPr>
          <w:rFonts w:hint="eastAsia" w:ascii="Times New Roman" w:hAnsi="Times New Roman" w:eastAsia="仿宋" w:cs="Times New Roman"/>
          <w:color w:val="000000"/>
          <w:sz w:val="32"/>
          <w:szCs w:val="32"/>
          <w:lang w:val="en-US" w:eastAsia="zh-CN"/>
        </w:rPr>
        <w:t>74.13</w:t>
      </w:r>
      <w:bookmarkStart w:id="13" w:name="_GoBack"/>
      <w:bookmarkEnd w:id="13"/>
      <w:r>
        <w:rPr>
          <w:rFonts w:ascii="Times New Roman" w:hAnsi="Times New Roman" w:eastAsia="仿宋" w:cs="Times New Roman"/>
          <w:color w:val="000000"/>
          <w:sz w:val="32"/>
          <w:szCs w:val="32"/>
        </w:rPr>
        <w:t>万元（详见下表），本年度单位</w:t>
      </w:r>
      <w:r>
        <w:rPr>
          <w:rFonts w:hint="eastAsia" w:ascii="Times New Roman" w:hAnsi="Times New Roman" w:eastAsia="仿宋" w:cs="Times New Roman"/>
          <w:color w:val="000000"/>
          <w:sz w:val="32"/>
          <w:szCs w:val="32"/>
          <w:lang w:eastAsia="zh-CN"/>
        </w:rPr>
        <w:t>购置</w:t>
      </w:r>
      <w:r>
        <w:rPr>
          <w:rFonts w:ascii="Times New Roman" w:hAnsi="Times New Roman" w:eastAsia="仿宋" w:cs="Times New Roman"/>
          <w:color w:val="000000"/>
          <w:sz w:val="32"/>
          <w:szCs w:val="32"/>
        </w:rPr>
        <w:t>固定资产</w:t>
      </w:r>
      <w:r>
        <w:rPr>
          <w:rFonts w:hint="eastAsia" w:ascii="Times New Roman" w:hAnsi="Times New Roman" w:eastAsia="仿宋" w:cs="Times New Roman"/>
          <w:color w:val="000000"/>
          <w:sz w:val="32"/>
          <w:szCs w:val="32"/>
          <w:lang w:eastAsia="zh-CN"/>
        </w:rPr>
        <w:t>总额为</w:t>
      </w:r>
      <w:r>
        <w:rPr>
          <w:rFonts w:hint="eastAsia" w:ascii="Times New Roman" w:hAnsi="Times New Roman" w:eastAsia="仿宋" w:cs="Times New Roman"/>
          <w:color w:val="000000"/>
          <w:sz w:val="32"/>
          <w:szCs w:val="32"/>
          <w:lang w:val="en-US" w:eastAsia="zh-CN"/>
        </w:rPr>
        <w:t>2.9万元</w:t>
      </w:r>
      <w:r>
        <w:rPr>
          <w:rFonts w:ascii="Times New Roman" w:hAnsi="Times New Roman" w:eastAsia="仿宋" w:cs="Times New Roman"/>
          <w:color w:val="000000"/>
          <w:sz w:val="32"/>
          <w:szCs w:val="32"/>
        </w:rPr>
        <w:t>，主要</w:t>
      </w:r>
      <w:r>
        <w:rPr>
          <w:rFonts w:hint="eastAsia" w:ascii="Times New Roman" w:hAnsi="Times New Roman" w:eastAsia="仿宋" w:cs="Times New Roman"/>
          <w:color w:val="000000"/>
          <w:sz w:val="32"/>
          <w:szCs w:val="32"/>
        </w:rPr>
        <w:t>是</w:t>
      </w:r>
      <w:r>
        <w:rPr>
          <w:rFonts w:hint="eastAsia" w:ascii="Times New Roman" w:hAnsi="Times New Roman" w:eastAsia="仿宋" w:cs="Times New Roman"/>
          <w:color w:val="000000"/>
          <w:sz w:val="32"/>
          <w:szCs w:val="32"/>
          <w:lang w:eastAsia="zh-CN"/>
        </w:rPr>
        <w:t>复印机、办公家具</w:t>
      </w:r>
      <w:r>
        <w:rPr>
          <w:rFonts w:ascii="Times New Roman" w:hAnsi="Times New Roman" w:eastAsia="仿宋" w:cs="Times New Roman"/>
          <w:color w:val="000000"/>
          <w:sz w:val="32"/>
          <w:szCs w:val="32"/>
        </w:rPr>
        <w:t>等，已列入政府采购预算表</w:t>
      </w:r>
      <w:r>
        <w:rPr>
          <w:rFonts w:hint="eastAsia" w:ascii="Times New Roman" w:hAnsi="Times New Roman" w:eastAsia="仿宋" w:cs="Times New Roman"/>
          <w:color w:val="000000"/>
          <w:sz w:val="32"/>
          <w:szCs w:val="32"/>
        </w:rPr>
        <w:t>，详见政府采购预算表。</w:t>
      </w:r>
    </w:p>
    <w:tbl>
      <w:tblPr>
        <w:tblStyle w:val="7"/>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hAnsi="宋体" w:cs="宋体"/>
                <w:b/>
                <w:bCs/>
                <w:kern w:val="0"/>
                <w:sz w:val="32"/>
                <w:szCs w:val="32"/>
              </w:rPr>
            </w:pPr>
            <w:r>
              <w:rPr>
                <w:rFonts w:hint="eastAsia" w:ascii="宋体" w:hAnsi="宋体" w:cs="宋体"/>
                <w:b/>
                <w:bCs/>
                <w:kern w:val="0"/>
                <w:sz w:val="32"/>
                <w:szCs w:val="32"/>
              </w:rPr>
              <w:t>隆尧县残联部门固定资产占用情况表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编制部门：</w:t>
            </w:r>
            <w:r>
              <w:rPr>
                <w:rFonts w:hint="eastAsia" w:ascii="Times New Roman" w:hAnsi="Times New Roman" w:eastAsia="仿宋" w:cs="Times New Roman"/>
                <w:kern w:val="0"/>
                <w:sz w:val="22"/>
              </w:rPr>
              <w:t>隆尧县残联</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w:t>
            </w:r>
            <w:r>
              <w:rPr>
                <w:rFonts w:hint="eastAsia" w:ascii="Times New Roman" w:hAnsi="Times New Roman" w:eastAsia="仿宋" w:cs="Times New Roman"/>
                <w:kern w:val="0"/>
                <w:sz w:val="22"/>
                <w:lang w:val="en-US" w:eastAsia="zh-CN"/>
              </w:rPr>
              <w:t>20</w:t>
            </w:r>
            <w:r>
              <w:rPr>
                <w:rFonts w:ascii="Times New Roman" w:hAnsi="Times New Roman" w:eastAsia="仿宋" w:cs="Times New Roman"/>
                <w:kern w:val="0"/>
                <w:sz w:val="22"/>
              </w:rPr>
              <w:t>年12月31日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color w:val="FF0000"/>
                <w:kern w:val="0"/>
                <w:sz w:val="22"/>
                <w:lang w:val="en-US" w:eastAsia="zh-CN"/>
              </w:rPr>
            </w:pPr>
            <w:r>
              <w:rPr>
                <w:rFonts w:hint="eastAsia" w:ascii="Times New Roman" w:hAnsi="Times New Roman" w:eastAsia="仿宋" w:cs="Times New Roman"/>
                <w:color w:val="FF0000"/>
                <w:kern w:val="0"/>
                <w:sz w:val="22"/>
                <w:lang w:val="en-US" w:eastAsia="zh-CN"/>
              </w:rPr>
              <w:t>74.13</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4</w:t>
            </w:r>
            <w:r>
              <w:rPr>
                <w:rFonts w:hint="eastAsia" w:ascii="Times New Roman" w:hAnsi="Times New Roman" w:eastAsia="仿宋" w:cs="Times New Roman"/>
                <w:kern w:val="0"/>
                <w:sz w:val="22"/>
              </w:rPr>
              <w:t>96</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25.07</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496</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25.07</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14.99</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w:t>
            </w:r>
            <w:r>
              <w:rPr>
                <w:rFonts w:hint="eastAsia" w:ascii="Times New Roman" w:hAnsi="Times New Roman" w:eastAsia="仿宋" w:cs="Times New Roman"/>
                <w:kern w:val="0"/>
                <w:sz w:val="22"/>
              </w:rPr>
              <w:t>专用设备</w:t>
            </w:r>
          </w:p>
        </w:tc>
        <w:tc>
          <w:tcPr>
            <w:tcW w:w="3155" w:type="dxa"/>
            <w:tcBorders>
              <w:top w:val="nil"/>
              <w:left w:val="nil"/>
              <w:bottom w:val="single" w:color="auto" w:sz="4" w:space="0"/>
              <w:right w:val="single" w:color="auto" w:sz="4" w:space="0"/>
            </w:tcBorders>
            <w:vAlign w:val="center"/>
          </w:tcPr>
          <w:p>
            <w:pPr>
              <w:widowControl/>
              <w:ind w:firstLine="1320" w:firstLineChars="600"/>
              <w:rPr>
                <w:rFonts w:ascii="Times New Roman" w:hAnsi="Times New Roman" w:eastAsia="仿宋" w:cs="Times New Roman"/>
                <w:kern w:val="0"/>
                <w:sz w:val="22"/>
              </w:rPr>
            </w:pPr>
            <w:r>
              <w:rPr>
                <w:rFonts w:hint="eastAsia" w:ascii="Times New Roman" w:hAnsi="Times New Roman" w:eastAsia="仿宋" w:cs="Times New Roman"/>
                <w:kern w:val="0"/>
                <w:sz w:val="22"/>
              </w:rPr>
              <w:t>54</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11.73</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22.34</w:t>
            </w:r>
          </w:p>
        </w:tc>
      </w:tr>
    </w:tbl>
    <w:p>
      <w:pPr>
        <w:autoSpaceDE w:val="0"/>
        <w:autoSpaceDN w:val="0"/>
        <w:adjustRightInd w:val="0"/>
        <w:ind w:firstLine="640" w:firstLineChars="200"/>
        <w:jc w:val="left"/>
        <w:rPr>
          <w:rFonts w:hint="eastAsia" w:ascii="黑体" w:hAnsi="黑体" w:eastAsia="黑体" w:cs="Times New Roman"/>
          <w:sz w:val="32"/>
          <w:szCs w:val="32"/>
        </w:rPr>
      </w:pPr>
      <w:r>
        <w:rPr>
          <w:rFonts w:hint="eastAsia" w:ascii="黑体" w:hAnsi="黑体" w:eastAsia="黑体" w:cs="Times New Roman"/>
          <w:sz w:val="32"/>
          <w:szCs w:val="32"/>
        </w:rPr>
        <w:t>八、名词解释</w:t>
      </w:r>
    </w:p>
    <w:p>
      <w:pPr>
        <w:ind w:firstLine="707" w:firstLineChars="220"/>
        <w:rPr>
          <w:rFonts w:ascii="仿宋" w:hAnsi="仿宋" w:eastAsia="仿宋" w:cs="宋体"/>
          <w:color w:val="000000"/>
          <w:sz w:val="32"/>
        </w:rPr>
      </w:pPr>
      <w:r>
        <w:rPr>
          <w:rFonts w:hint="eastAsia" w:ascii="仿宋" w:hAnsi="仿宋" w:eastAsia="仿宋" w:cs="宋体"/>
          <w:b/>
          <w:color w:val="000000"/>
          <w:sz w:val="32"/>
        </w:rPr>
        <w:t>1</w:t>
      </w:r>
      <w:r>
        <w:rPr>
          <w:rFonts w:hint="eastAsia" w:ascii="仿宋" w:hAnsi="仿宋" w:eastAsia="仿宋" w:cs="宋体"/>
          <w:color w:val="000000"/>
          <w:sz w:val="32"/>
        </w:rPr>
        <w:t>、一般公共预算拨款收入：指县级财政当年拨付的资金。</w:t>
      </w:r>
    </w:p>
    <w:p>
      <w:pPr>
        <w:autoSpaceDE w:val="0"/>
        <w:autoSpaceDN w:val="0"/>
        <w:ind w:firstLine="704" w:firstLineChars="220"/>
        <w:rPr>
          <w:rFonts w:ascii="仿宋" w:hAnsi="仿宋" w:eastAsia="仿宋" w:cs="宋体"/>
          <w:color w:val="000000"/>
          <w:sz w:val="32"/>
        </w:rPr>
      </w:pPr>
      <w:r>
        <w:rPr>
          <w:rFonts w:hint="eastAsia" w:ascii="仿宋" w:hAnsi="仿宋" w:eastAsia="仿宋" w:cs="宋体"/>
          <w:color w:val="000000"/>
          <w:sz w:val="32"/>
        </w:rPr>
        <w:t>2、基本支出：指为保障机构正常运转、完成日常工作任务而发生的人员支出和公用支出。</w:t>
      </w:r>
    </w:p>
    <w:p>
      <w:pPr>
        <w:autoSpaceDE w:val="0"/>
        <w:autoSpaceDN w:val="0"/>
        <w:ind w:firstLine="704" w:firstLineChars="220"/>
        <w:rPr>
          <w:rFonts w:ascii="仿宋" w:hAnsi="仿宋" w:eastAsia="仿宋" w:cs="宋体"/>
          <w:color w:val="000000"/>
          <w:sz w:val="32"/>
        </w:rPr>
      </w:pPr>
      <w:r>
        <w:rPr>
          <w:rFonts w:hint="eastAsia" w:ascii="仿宋" w:hAnsi="仿宋" w:eastAsia="仿宋" w:cs="宋体"/>
          <w:color w:val="000000"/>
          <w:sz w:val="32"/>
        </w:rPr>
        <w:t>3、项目支出：指在基本支出之外为完成特定行政任务和事业发展目标所发生的支出。</w:t>
      </w:r>
    </w:p>
    <w:p>
      <w:pPr>
        <w:autoSpaceDE w:val="0"/>
        <w:autoSpaceDN w:val="0"/>
        <w:ind w:firstLine="704" w:firstLineChars="220"/>
        <w:rPr>
          <w:rFonts w:ascii="仿宋" w:hAnsi="仿宋" w:eastAsia="仿宋" w:cs="宋体"/>
          <w:color w:val="000000"/>
          <w:sz w:val="32"/>
        </w:rPr>
      </w:pPr>
      <w:r>
        <w:rPr>
          <w:rFonts w:hint="eastAsia" w:ascii="仿宋" w:hAnsi="仿宋" w:eastAsia="仿宋" w:cs="宋体"/>
          <w:color w:val="000000"/>
          <w:sz w:val="32"/>
        </w:rPr>
        <w:t>4、</w:t>
      </w:r>
      <w:r>
        <w:rPr>
          <w:rFonts w:hint="eastAsia" w:ascii="仿宋" w:hAnsi="仿宋" w:eastAsia="仿宋" w:cs="宋体"/>
          <w:b/>
          <w:color w:val="000000"/>
          <w:sz w:val="32"/>
        </w:rPr>
        <w:t>“</w:t>
      </w:r>
      <w:r>
        <w:rPr>
          <w:rFonts w:hint="eastAsia" w:ascii="仿宋" w:hAnsi="仿宋" w:eastAsia="仿宋" w:cs="宋体"/>
          <w:color w:val="000000"/>
          <w:sz w:val="32"/>
        </w:rPr>
        <w:t>三公</w:t>
      </w:r>
      <w:r>
        <w:rPr>
          <w:rFonts w:hint="eastAsia" w:ascii="仿宋" w:hAnsi="仿宋" w:eastAsia="仿宋" w:cs="宋体"/>
          <w:b/>
          <w:color w:val="000000"/>
          <w:sz w:val="32"/>
        </w:rPr>
        <w:t>”</w:t>
      </w:r>
      <w:r>
        <w:rPr>
          <w:rFonts w:hint="eastAsia" w:ascii="仿宋" w:hAnsi="仿宋" w:eastAsia="仿宋" w:cs="宋体"/>
          <w:color w:val="000000"/>
          <w:sz w:val="32"/>
        </w:rPr>
        <w:t>经费：纳入县级财政预算管理的“三公”经费，是指用财政拨款安排的因公出国（境）费、公务用车购置及运行费和公务接待费。其中，因公出国（境）费反映单位公务出国（境）的住宿费、旅费、伙食补助费、杂费、培训费等支出；公务用车购置及运行费反映单位公务用车购置费及租用费、燃料费、维修费、过路过桥费、保险费、安全奖励费用等支出；公务接待费反映单位按规定开支的各类公务接待支出。</w:t>
      </w:r>
    </w:p>
    <w:p>
      <w:pPr>
        <w:ind w:firstLine="704" w:firstLineChars="220"/>
        <w:rPr>
          <w:rFonts w:ascii="仿宋" w:hAnsi="仿宋" w:eastAsia="仿宋" w:cs="宋体"/>
          <w:kern w:val="0"/>
          <w:sz w:val="32"/>
          <w:szCs w:val="32"/>
        </w:rPr>
      </w:pPr>
      <w:r>
        <w:rPr>
          <w:rFonts w:hint="eastAsia" w:ascii="仿宋" w:hAnsi="仿宋" w:eastAsia="仿宋" w:cs="宋体"/>
          <w:color w:val="000000"/>
          <w:sz w:val="32"/>
        </w:rPr>
        <w:t>5、机关运行费：为保障行政单位（含参照公务员法管理的事业单位）运行用于购买货物和服务的各项资金，包括办公及印刷费、邮电费、差旅费、会议费、福利费、日常维修费、专用材料及一般设备购置费、办公用房水电费、办公用房取暖费、办公用房物业管理费、公务用车运行维护费以及其他费用.</w:t>
      </w:r>
    </w:p>
    <w:p>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p>
      <w:pPr>
        <w:tabs>
          <w:tab w:val="left" w:pos="1828"/>
        </w:tabs>
        <w:bidi w:val="0"/>
        <w:rPr>
          <w:rFonts w:ascii="Calibri" w:hAnsi="Calibri" w:eastAsia="宋体" w:cs="黑体"/>
          <w:kern w:val="2"/>
          <w:sz w:val="21"/>
          <w:szCs w:val="22"/>
          <w:lang w:val="en-US" w:eastAsia="zh-CN" w:bidi="ar-SA"/>
        </w:rPr>
      </w:pPr>
    </w:p>
    <w:p>
      <w:pPr>
        <w:bidi w:val="0"/>
        <w:rPr>
          <w:lang w:val="en-US" w:eastAsia="zh-CN"/>
        </w:rPr>
      </w:pPr>
    </w:p>
    <w:p>
      <w:pPr>
        <w:spacing w:line="300" w:lineRule="exact"/>
        <w:jc w:val="left"/>
        <w:outlineLvl w:val="0"/>
        <w:sectPr>
          <w:pgSz w:w="16839" w:h="11907" w:orient="landscape"/>
          <w:pgMar w:top="1361" w:right="1020" w:bottom="1361" w:left="1020" w:header="851" w:footer="992" w:gutter="0"/>
          <w:cols w:space="720" w:num="1"/>
          <w:docGrid w:type="lines" w:linePitch="312" w:charSpace="0"/>
        </w:sectPr>
      </w:pPr>
    </w:p>
    <w:p>
      <w:pPr>
        <w:ind w:firstLine="640" w:firstLineChars="200"/>
        <w:rPr>
          <w:rFonts w:ascii="Times New Roman" w:hAnsi="Times New Roman" w:eastAsia="仿宋" w:cs="Times New Roman"/>
          <w:sz w:val="32"/>
          <w:szCs w:val="32"/>
        </w:rPr>
      </w:pPr>
    </w:p>
    <w:sectPr>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SimSun-ExtB"/>
    <w:panose1 w:val="00000000000000000000"/>
    <w:charset w:val="86"/>
    <w:family w:val="script"/>
    <w:pitch w:val="default"/>
    <w:sig w:usb0="00000000" w:usb1="00000000" w:usb2="00000010" w:usb3="00000000" w:csb0="00040000" w:csb1="00000000"/>
  </w:font>
  <w:font w:name="SimSun-ExtB">
    <w:panose1 w:val="02010609060101010101"/>
    <w:charset w:val="86"/>
    <w:family w:val="auto"/>
    <w:pitch w:val="default"/>
    <w:sig w:usb0="00000001" w:usb1="02000000" w:usb2="00000000" w:usb3="00000000" w:csb0="00040001" w:csb1="00000000"/>
  </w:font>
  <w:font w:name="仿宋">
    <w:panose1 w:val="02010609060101010101"/>
    <w:charset w:val="86"/>
    <w:family w:val="modern"/>
    <w:pitch w:val="default"/>
    <w:sig w:usb0="800002BF" w:usb1="38CF7CFA" w:usb2="00000016" w:usb3="00000000" w:csb0="00040001" w:csb1="00000000"/>
  </w:font>
  <w:font w:name="方正书宋_GBK">
    <w:altName w:val="微软雅黑"/>
    <w:panose1 w:val="00000000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 w:name="方正仿宋_GBK">
    <w:altName w:val="宋体"/>
    <w:panose1 w:val="00000000000000000000"/>
    <w:charset w:val="86"/>
    <w:family w:val="roman"/>
    <w:pitch w:val="default"/>
    <w:sig w:usb0="00000000" w:usb1="00000000" w:usb2="00000000" w:usb3="00000000" w:csb0="00040001" w:csb1="00000000"/>
  </w:font>
  <w:font w:name="方正楷体_GBK">
    <w:altName w:val="微软雅黑"/>
    <w:panose1 w:val="03000509000000000000"/>
    <w:charset w:val="86"/>
    <w:family w:val="script"/>
    <w:pitch w:val="default"/>
    <w:sig w:usb0="00000000" w:usb1="00000000" w:usb2="00000010" w:usb3="00000000" w:csb0="00040000" w:csb1="00000000"/>
  </w:font>
  <w:font w:name="楷体">
    <w:panose1 w:val="02010609060101010101"/>
    <w:charset w:val="86"/>
    <w:family w:val="modern"/>
    <w:pitch w:val="default"/>
    <w:sig w:usb0="800002BF" w:usb1="38CF7CFA" w:usb2="00000016" w:usb3="00000000" w:csb0="00040001" w:csb1="00000000"/>
  </w:font>
  <w:font w:name="宋体-方正超大字符集">
    <w:altName w:val="宋体"/>
    <w:panose1 w:val="00000000000000000000"/>
    <w:charset w:val="86"/>
    <w:family w:val="script"/>
    <w:pitch w:val="default"/>
    <w:sig w:usb0="00000000" w:usb1="00000000" w:usb2="0000001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053EFF0"/>
    <w:multiLevelType w:val="singleLevel"/>
    <w:tmpl w:val="7053EFF0"/>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2"/>
  </w:compat>
  <w:docVars>
    <w:docVar w:name="commondata" w:val="eyJoZGlkIjoiMTNlZmY4M2Q2NWUzNjgxYTM3NzQ1MjY3NzdmY2ExZmYifQ=="/>
  </w:docVars>
  <w:rsids>
    <w:rsidRoot w:val="00C67CC4"/>
    <w:rsid w:val="0000235E"/>
    <w:rsid w:val="001255EE"/>
    <w:rsid w:val="00156189"/>
    <w:rsid w:val="001944C3"/>
    <w:rsid w:val="001C5E0C"/>
    <w:rsid w:val="001D3466"/>
    <w:rsid w:val="002A3899"/>
    <w:rsid w:val="003345B8"/>
    <w:rsid w:val="00390A49"/>
    <w:rsid w:val="003F4292"/>
    <w:rsid w:val="0045590D"/>
    <w:rsid w:val="0046545D"/>
    <w:rsid w:val="004B434B"/>
    <w:rsid w:val="004D4ED0"/>
    <w:rsid w:val="00512C4A"/>
    <w:rsid w:val="00580841"/>
    <w:rsid w:val="005A206C"/>
    <w:rsid w:val="00601F99"/>
    <w:rsid w:val="006272FB"/>
    <w:rsid w:val="006511A8"/>
    <w:rsid w:val="006B73A6"/>
    <w:rsid w:val="006E496C"/>
    <w:rsid w:val="007941F0"/>
    <w:rsid w:val="008346C8"/>
    <w:rsid w:val="0087107A"/>
    <w:rsid w:val="00925AB0"/>
    <w:rsid w:val="00981010"/>
    <w:rsid w:val="009B76EA"/>
    <w:rsid w:val="00A5050A"/>
    <w:rsid w:val="00A77277"/>
    <w:rsid w:val="00B22C6E"/>
    <w:rsid w:val="00B304E3"/>
    <w:rsid w:val="00B427E0"/>
    <w:rsid w:val="00B54C7F"/>
    <w:rsid w:val="00BE38D2"/>
    <w:rsid w:val="00BF3B5E"/>
    <w:rsid w:val="00C40AA4"/>
    <w:rsid w:val="00C67CC4"/>
    <w:rsid w:val="00CD4399"/>
    <w:rsid w:val="00E743A7"/>
    <w:rsid w:val="00EA75FA"/>
    <w:rsid w:val="00EC3709"/>
    <w:rsid w:val="00EC3C62"/>
    <w:rsid w:val="00EC601F"/>
    <w:rsid w:val="00EF6A17"/>
    <w:rsid w:val="00F73D27"/>
    <w:rsid w:val="00FB7451"/>
    <w:rsid w:val="00FE5868"/>
    <w:rsid w:val="011E7105"/>
    <w:rsid w:val="02D17B65"/>
    <w:rsid w:val="052E3569"/>
    <w:rsid w:val="055F0426"/>
    <w:rsid w:val="17E60E16"/>
    <w:rsid w:val="1B5E720E"/>
    <w:rsid w:val="25B230C6"/>
    <w:rsid w:val="26AD04A8"/>
    <w:rsid w:val="26B015B7"/>
    <w:rsid w:val="2FB9311E"/>
    <w:rsid w:val="425416AA"/>
    <w:rsid w:val="462A3CB0"/>
    <w:rsid w:val="5AF61D44"/>
    <w:rsid w:val="5F7C74C4"/>
    <w:rsid w:val="619D3D87"/>
    <w:rsid w:val="696965BC"/>
    <w:rsid w:val="6C6818DA"/>
    <w:rsid w:val="70962351"/>
    <w:rsid w:val="767C73C7"/>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99"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99" w:semiHidden="0" w:name="footnote reference"/>
    <w:lsdException w:uiPriority="99" w:name="annotation reference"/>
    <w:lsdException w:uiPriority="99" w:name="line number"/>
    <w:lsdException w:qFormat="1" w:unhideWhenUsed="0"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2"/>
    <w:qFormat/>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3"/>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footnote text"/>
    <w:basedOn w:val="1"/>
    <w:link w:val="14"/>
    <w:qFormat/>
    <w:uiPriority w:val="99"/>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szCs w:val="24"/>
    </w:rPr>
  </w:style>
  <w:style w:type="character" w:styleId="9">
    <w:name w:val="page number"/>
    <w:semiHidden/>
    <w:qFormat/>
    <w:uiPriority w:val="99"/>
    <w:rPr>
      <w:rFonts w:cs="Times New Roman"/>
    </w:rPr>
  </w:style>
  <w:style w:type="character" w:styleId="10">
    <w:name w:val="footnote reference"/>
    <w:qFormat/>
    <w:uiPriority w:val="99"/>
    <w:rPr>
      <w:vertAlign w:val="superscript"/>
    </w:rPr>
  </w:style>
  <w:style w:type="paragraph" w:customStyle="1" w:styleId="11">
    <w:name w:val="Char"/>
    <w:basedOn w:val="1"/>
    <w:qFormat/>
    <w:uiPriority w:val="0"/>
    <w:rPr>
      <w:rFonts w:ascii="Times New Roman" w:hAnsi="Times New Roman" w:cs="Times New Roman"/>
      <w:szCs w:val="24"/>
    </w:rPr>
  </w:style>
  <w:style w:type="character" w:customStyle="1" w:styleId="12">
    <w:name w:val="页脚 Char"/>
    <w:link w:val="2"/>
    <w:semiHidden/>
    <w:qFormat/>
    <w:uiPriority w:val="0"/>
    <w:rPr>
      <w:rFonts w:ascii="Times New Roman" w:hAnsi="Times New Roman" w:eastAsia="宋体" w:cs="Times New Roman"/>
      <w:sz w:val="18"/>
      <w:szCs w:val="18"/>
    </w:rPr>
  </w:style>
  <w:style w:type="character" w:customStyle="1" w:styleId="13">
    <w:name w:val="页眉 Char"/>
    <w:link w:val="3"/>
    <w:semiHidden/>
    <w:qFormat/>
    <w:uiPriority w:val="0"/>
    <w:rPr>
      <w:rFonts w:ascii="Times New Roman" w:hAnsi="Times New Roman" w:eastAsia="宋体" w:cs="Times New Roman"/>
      <w:sz w:val="18"/>
      <w:szCs w:val="18"/>
    </w:rPr>
  </w:style>
  <w:style w:type="character" w:customStyle="1" w:styleId="14">
    <w:name w:val="脚注文本 Char"/>
    <w:link w:val="5"/>
    <w:qFormat/>
    <w:uiPriority w:val="99"/>
    <w:rPr>
      <w:rFonts w:ascii="Calibri" w:hAnsi="Calibri" w:cs="黑体"/>
      <w:kern w:val="2"/>
      <w:sz w:val="18"/>
      <w:szCs w:val="1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numbering.xml" Type="http://schemas.openxmlformats.org/officeDocument/2006/relationships/numbering"/><Relationship Id="rId5"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24</Pages>
  <Words>8490</Words>
  <Characters>9504</Characters>
  <Lines>37</Lines>
  <Paragraphs>10</Paragraphs>
  <TotalTime>3</TotalTime>
  <ScaleCrop>false</ScaleCrop>
  <LinksUpToDate>false</LinksUpToDate>
  <CharactersWithSpaces>9526</CharactersWithSpaces>
  <Application>WPS Office_11.1.0.11636_F1E327BC-269C-435d-A152-05C5408002CA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2017-01-23T09:29:00Z</dcterms:created>
  <dc:creator>guest</dc:creator>
  <cp:lastModifiedBy>K56L</cp:lastModifiedBy>
  <cp:lastPrinted>2017-02-10T09:57:00Z</cp:lastPrinted>
  <dcterms:modified xsi:type="dcterms:W3CDTF">2022-09-01T10:02:01Z</dcterms:modified>
  <cp:revision>32</cp:revision>
  <dc:title>o</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2052-11.1.0.11636</vt:lpwstr>
  </property>
  <property fmtid="{D5CDD505-2E9C-101B-9397-08002B2CF9AE}" pid="3" name="ICV">
    <vt:lpwstr>65F66843DAC54D008806BEC020E440B5</vt:lpwstr>
  </property>
</Properties>
</file>