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Times New Roman"/>
          <w:b/>
          <w:sz w:val="44"/>
          <w:szCs w:val="44"/>
        </w:rPr>
      </w:pPr>
      <w:r>
        <w:rPr>
          <w:rFonts w:hint="eastAsia" w:ascii="宋体" w:hAnsi="宋体" w:cs="Times New Roman"/>
          <w:b/>
          <w:sz w:val="44"/>
          <w:szCs w:val="44"/>
        </w:rPr>
        <w:t>中共隆尧县委统战部</w:t>
      </w:r>
      <w:r>
        <w:rPr>
          <w:rFonts w:ascii="宋体" w:hAnsi="宋体" w:cs="Times New Roman"/>
          <w:b/>
          <w:sz w:val="44"/>
          <w:szCs w:val="44"/>
        </w:rPr>
        <w:t>202</w:t>
      </w:r>
      <w:r>
        <w:rPr>
          <w:rFonts w:hint="eastAsia" w:ascii="宋体" w:hAnsi="宋体" w:cs="Times New Roman"/>
          <w:b/>
          <w:sz w:val="44"/>
          <w:szCs w:val="44"/>
        </w:rPr>
        <w:t>1年部门预算信息公开情况说明</w:t>
      </w:r>
    </w:p>
    <w:p>
      <w:pPr>
        <w:jc w:val="center"/>
        <w:rPr>
          <w:rFonts w:ascii="宋体" w:hAnsi="宋体" w:cs="Times New Roman"/>
          <w:b/>
          <w:sz w:val="44"/>
          <w:szCs w:val="44"/>
        </w:rPr>
      </w:pPr>
    </w:p>
    <w:p>
      <w:pPr>
        <w:jc w:val="center"/>
        <w:rPr>
          <w:rFonts w:ascii="Times New Roman" w:hAnsi="Times New Roman" w:eastAsia="方正小标宋_GBK" w:cs="Times New Roman"/>
          <w:sz w:val="44"/>
          <w:szCs w:val="44"/>
        </w:rPr>
      </w:pPr>
    </w:p>
    <w:p>
      <w:pPr>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按照《预算法》、《地方预决算公开操作规程》和《河北县县级预算公开办法》规定，现将中共隆尧县委统战部2021年部门预算公开如下：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pStyle w:val="2"/>
        <w:ind w:firstLine="643" w:firstLineChars="200"/>
        <w:rPr>
          <w:rFonts w:ascii="仿宋_GB2312" w:hAnsi="仿宋" w:eastAsia="仿宋_GB2312" w:cs="宋体"/>
          <w:sz w:val="32"/>
          <w:szCs w:val="32"/>
        </w:rPr>
      </w:pPr>
      <w:r>
        <w:rPr>
          <w:rFonts w:hint="eastAsia" w:ascii="仿宋" w:hAnsi="仿宋" w:eastAsia="仿宋"/>
          <w:b/>
          <w:sz w:val="32"/>
          <w:szCs w:val="32"/>
        </w:rPr>
        <w:t>部门职责：</w:t>
      </w:r>
      <w:r>
        <w:rPr>
          <w:rFonts w:hint="eastAsia" w:ascii="仿宋_GB2312" w:hAnsi="仿宋" w:eastAsia="仿宋_GB2312" w:cs="宋体"/>
          <w:sz w:val="32"/>
          <w:szCs w:val="32"/>
        </w:rPr>
        <w:t xml:space="preserve">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县、市、县委关于统一战线工作重大决策部署，巩固壮大最广泛的统一战线。                </w:t>
      </w:r>
    </w:p>
    <w:p>
      <w:pPr>
        <w:pStyle w:val="2"/>
        <w:rPr>
          <w:rFonts w:ascii="仿宋_GB2312" w:hAnsi="仿宋" w:eastAsia="仿宋_GB2312" w:cs="宋体"/>
          <w:sz w:val="32"/>
          <w:szCs w:val="32"/>
        </w:rPr>
      </w:pPr>
      <w:r>
        <w:rPr>
          <w:rFonts w:hint="eastAsia" w:ascii="仿宋_GB2312" w:hAnsi="仿宋" w:eastAsia="仿宋_GB2312" w:cs="宋体"/>
          <w:sz w:val="32"/>
          <w:szCs w:val="32"/>
        </w:rPr>
        <w:t xml:space="preserve">    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                                   </w:t>
      </w:r>
    </w:p>
    <w:p>
      <w:pPr>
        <w:pStyle w:val="2"/>
        <w:rPr>
          <w:rFonts w:ascii="仿宋_GB2312" w:hAnsi="仿宋" w:eastAsia="仿宋_GB2312" w:cs="宋体"/>
          <w:sz w:val="32"/>
          <w:szCs w:val="32"/>
        </w:rPr>
      </w:pPr>
      <w:r>
        <w:rPr>
          <w:rFonts w:hint="eastAsia" w:ascii="仿宋_GB2312" w:hAnsi="仿宋" w:eastAsia="仿宋_GB2312" w:cs="宋体"/>
          <w:sz w:val="32"/>
          <w:szCs w:val="32"/>
        </w:rPr>
        <w:t xml:space="preserve">    统一领导宗教工作。贯彻落实党的宗教工作基本方针和政策，研究拟订宗教工作的政策措施并督促落实，依法管理宗教事务。引导各宗教坚持中国化方向，巩固和发展同宗教界的爱国统一战线。                         </w:t>
      </w:r>
    </w:p>
    <w:p>
      <w:pPr>
        <w:pStyle w:val="2"/>
        <w:ind w:firstLine="640" w:firstLineChars="200"/>
        <w:rPr>
          <w:rFonts w:ascii="仿宋_GB2312" w:hAnsi="仿宋" w:eastAsia="仿宋_GB2312" w:cs="宋体"/>
          <w:sz w:val="32"/>
          <w:szCs w:val="32"/>
        </w:rPr>
      </w:pPr>
      <w:r>
        <w:rPr>
          <w:rFonts w:hint="eastAsia" w:ascii="仿宋_GB2312" w:hAnsi="仿宋" w:eastAsia="仿宋_GB2312" w:cs="宋体"/>
          <w:sz w:val="32"/>
          <w:szCs w:val="32"/>
        </w:rPr>
        <w:t xml:space="preserve">统一领导全县对台工作。贯彻执行党中央对台工作的方针政策。在县委、县政府的统一领导下，开展对台工作调查研究并结合我县实际提出对策和建议。对全县涉台工作实施统一归口管理，组织、指导、管理、协调县委、县政府各部门的对台工作。 </w:t>
      </w:r>
    </w:p>
    <w:p>
      <w:pPr>
        <w:pStyle w:val="2"/>
        <w:ind w:firstLine="630"/>
        <w:rPr>
          <w:rFonts w:ascii="仿宋" w:hAnsi="仿宋" w:eastAsia="仿宋" w:cs="宋体"/>
          <w:sz w:val="32"/>
          <w:szCs w:val="32"/>
        </w:rPr>
      </w:pPr>
      <w:r>
        <w:rPr>
          <w:rFonts w:hint="eastAsia" w:ascii="仿宋_GB2312" w:hAnsi="仿宋" w:eastAsia="仿宋_GB2312" w:cs="宋体"/>
          <w:sz w:val="32"/>
          <w:szCs w:val="32"/>
        </w:rPr>
        <w:t>统一领导全县侨务工作，贯彻落实党的侨务工作方针政策，调查研究侨情和侨务工作情况，管理侨务行政事务，统筹协调有关部门和社会团体涉侨工作，联系海外有关侨团和代表人士，指导推动涉侨宣传、文化交流、华文教育工作等，保护华侨和归侨侨眷合法权利和利益。</w:t>
      </w:r>
      <w:r>
        <w:rPr>
          <w:rFonts w:ascii="仿宋" w:hAnsi="仿宋" w:eastAsia="仿宋" w:cs="宋体"/>
          <w:sz w:val="32"/>
          <w:szCs w:val="32"/>
        </w:rPr>
        <w:t xml:space="preserve">                </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县委统战部</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eastAsia="仿宋_GB2312" w:cs="宋体"/>
                <w:szCs w:val="24"/>
              </w:rPr>
            </w:pPr>
            <w:r>
              <w:rPr>
                <w:rFonts w:hint="eastAsia" w:ascii="仿宋_GB2312" w:hAnsi="宋体" w:eastAsia="仿宋_GB2312" w:cs="宋体"/>
                <w:szCs w:val="24"/>
              </w:rPr>
              <w:t>县工商联</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按照预算管理有关规定，目前我县部门预算的编制实行综合预算管理，即全部收入和支出都反映的预算中。中共隆尧县委统战部的收支包含在部门预算中。</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1、收入说明</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反映本部门当年全部收入。2021年预算收入898.5407万元，其中：一般公共预算收入898.5407万元，基金预算收入0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万元，财政专户核拨收入0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万元，其他来源收入0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2、支出说明</w:t>
      </w:r>
    </w:p>
    <w:p>
      <w:pPr>
        <w:ind w:firstLine="640"/>
        <w:rPr>
          <w:rFonts w:ascii="仿宋_GB2312" w:hAnsi="Times New Roman" w:eastAsia="仿宋_GB2312" w:cs="Times New Roman"/>
          <w:color w:val="FF0000"/>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中共隆尧县委统战部年度部门预算中支出预算的总体情况。2021年部门支出预算为898.5407万元，其中基本支出79.3007万元，包括人员经费70.0607万元和日常公用经费9.24万元；项目支出819.24万元，主要为统战(民族宗教)经费21</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万元，工商联经费1</w:t>
      </w:r>
      <w:r>
        <w:rPr>
          <w:rFonts w:hint="eastAsia" w:ascii="仿宋_GB2312" w:hAnsi="Times New Roman" w:eastAsia="仿宋_GB2312" w:cs="Times New Roman"/>
          <w:sz w:val="32"/>
          <w:szCs w:val="32"/>
          <w:lang w:val="en-US" w:eastAsia="zh-CN"/>
        </w:rPr>
        <w:t>.00</w:t>
      </w:r>
      <w:bookmarkStart w:id="4" w:name="_GoBack"/>
      <w:bookmarkEnd w:id="4"/>
      <w:r>
        <w:rPr>
          <w:rFonts w:hint="eastAsia" w:ascii="仿宋_GB2312" w:hAnsi="Times New Roman" w:eastAsia="仿宋_GB2312" w:cs="Times New Roman"/>
          <w:sz w:val="32"/>
          <w:szCs w:val="32"/>
        </w:rPr>
        <w:t>万元，归侨职工生活补贴0.24万元，民贸民品贷款贴息797</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sz w:val="32"/>
          <w:szCs w:val="32"/>
        </w:rPr>
        <w:t>3、比上年增减情况</w:t>
      </w:r>
    </w:p>
    <w:p>
      <w:pPr>
        <w:ind w:firstLine="640"/>
        <w:rPr>
          <w:rFonts w:ascii="仿宋_GB2312" w:hAnsi="Times New Roman" w:eastAsia="仿宋_GB2312" w:cs="Times New Roman"/>
          <w:sz w:val="32"/>
          <w:szCs w:val="32"/>
        </w:rPr>
      </w:pPr>
      <w:r>
        <w:rPr>
          <w:rFonts w:hint="eastAsia" w:ascii="仿宋_GB2312" w:hAnsi="Times New Roman" w:eastAsia="仿宋_GB2312" w:cs="Times New Roman"/>
          <w:color w:val="000000"/>
          <w:sz w:val="32"/>
          <w:szCs w:val="32"/>
        </w:rPr>
        <w:t>2021</w:t>
      </w:r>
      <w:r>
        <w:rPr>
          <w:rFonts w:hint="eastAsia" w:ascii="仿宋_GB2312" w:hAnsi="Times New Roman" w:eastAsia="仿宋_GB2312" w:cs="Times New Roman"/>
          <w:color w:val="000000"/>
          <w:sz w:val="32"/>
          <w:szCs w:val="32"/>
          <w:lang w:eastAsia="zh-CN"/>
        </w:rPr>
        <w:t>年，</w:t>
      </w:r>
      <w:r>
        <w:rPr>
          <w:rFonts w:hint="eastAsia" w:ascii="仿宋_GB2312" w:hAnsi="Times New Roman" w:eastAsia="仿宋_GB2312" w:cs="Times New Roman"/>
          <w:color w:val="000000"/>
          <w:sz w:val="32"/>
          <w:szCs w:val="32"/>
        </w:rPr>
        <w:t>部门预算收支安排</w:t>
      </w:r>
      <w:r>
        <w:rPr>
          <w:rFonts w:hint="eastAsia" w:ascii="仿宋_GB2312" w:hAnsi="Times New Roman" w:eastAsia="仿宋_GB2312" w:cs="Times New Roman"/>
          <w:sz w:val="32"/>
          <w:szCs w:val="32"/>
        </w:rPr>
        <w:t>898.5407</w:t>
      </w:r>
      <w:r>
        <w:rPr>
          <w:rFonts w:hint="eastAsia" w:ascii="仿宋_GB2312" w:hAnsi="Times New Roman" w:eastAsia="仿宋_GB2312" w:cs="Times New Roman"/>
          <w:color w:val="000000"/>
          <w:sz w:val="32"/>
          <w:szCs w:val="32"/>
        </w:rPr>
        <w:t>万元，</w:t>
      </w:r>
      <w:r>
        <w:rPr>
          <w:rFonts w:hint="eastAsia" w:ascii="仿宋_GB2312" w:hAnsi="Times New Roman" w:eastAsia="仿宋_GB2312" w:cs="Times New Roman"/>
          <w:sz w:val="32"/>
          <w:szCs w:val="32"/>
        </w:rPr>
        <w:t>较2020年增加137.9707万元，其中：基本支出减少12.5293万元，主要是人员减少所致；项目支出增加150.5万元，主要是民贸民品贷款贴息资金增加所至。</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仿宋_GB2312" w:hAnsi="Times New Roman" w:eastAsia="仿宋_GB2312" w:cs="Times New Roman"/>
          <w:sz w:val="32"/>
          <w:szCs w:val="32"/>
        </w:rPr>
        <w:t>2021年，我部门机关运行经费共计安排4万元，</w:t>
      </w:r>
      <w:r>
        <w:rPr>
          <w:rFonts w:hint="eastAsia" w:ascii="Times New Roman" w:hAnsi="Times New Roman" w:eastAsia="仿宋" w:cs="仿宋"/>
          <w:sz w:val="32"/>
          <w:szCs w:val="32"/>
        </w:rPr>
        <w:t>主要用于保证机关正常运转的办公费、邮电费、福利费、工会经费、交通费用等支出。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2021年，我部门财政拨款“三公”经费预算安排0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万元，其中：因公出国（境）费0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万元；公务用车购置及运维费0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万元（其中：公务用车购置费0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万元，公务用车运行维护费0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w:t>
      </w:r>
      <w:r>
        <w:rPr>
          <w:rFonts w:hint="eastAsia" w:ascii="Times New Roman" w:hAnsi="Times New Roman" w:eastAsia="仿宋" w:cs="Times New Roman"/>
          <w:sz w:val="32"/>
          <w:szCs w:val="32"/>
        </w:rPr>
        <w:t>与上年持平，无增减变化</w:t>
      </w:r>
      <w:r>
        <w:rPr>
          <w:rFonts w:hint="eastAsia" w:ascii="仿宋_GB2312" w:hAnsi="Times New Roman" w:eastAsia="仿宋_GB2312" w:cs="Times New Roman"/>
          <w:sz w:val="32"/>
          <w:szCs w:val="32"/>
        </w:rPr>
        <w:t>；公务接待费0</w:t>
      </w:r>
      <w:r>
        <w:rPr>
          <w:rFonts w:hint="eastAsia" w:ascii="仿宋_GB2312" w:hAnsi="Times New Roman" w:eastAsia="仿宋_GB2312" w:cs="Times New Roman"/>
          <w:sz w:val="32"/>
          <w:szCs w:val="32"/>
          <w:lang w:val="en-US" w:eastAsia="zh-CN"/>
        </w:rPr>
        <w:t>.00</w:t>
      </w:r>
      <w:r>
        <w:rPr>
          <w:rFonts w:hint="eastAsia" w:ascii="仿宋_GB2312" w:hAnsi="Times New Roman" w:eastAsia="仿宋_GB2312" w:cs="Times New Roman"/>
          <w:sz w:val="32"/>
          <w:szCs w:val="32"/>
        </w:rPr>
        <w:t>万元，较上年预算减少0.5万元，</w:t>
      </w:r>
      <w:r>
        <w:rPr>
          <w:rFonts w:hint="eastAsia" w:ascii="Times New Roman" w:hAnsi="Times New Roman" w:eastAsia="仿宋" w:cs="Times New Roman"/>
          <w:sz w:val="32"/>
          <w:szCs w:val="32"/>
        </w:rPr>
        <w:t>主要是压缩开支，厉行节约所至</w:t>
      </w:r>
      <w:r>
        <w:rPr>
          <w:rFonts w:hint="eastAsia" w:ascii="仿宋_GB2312" w:hAnsi="Times New Roman" w:eastAsia="仿宋_GB2312"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Times New Roman" w:eastAsia="仿宋_GB2312" w:cs="Times New Roman"/>
          <w:b/>
          <w:sz w:val="32"/>
          <w:szCs w:val="32"/>
        </w:rPr>
      </w:pPr>
      <w:bookmarkStart w:id="0" w:name="_Toc471398463"/>
      <w:r>
        <w:rPr>
          <w:rFonts w:hint="eastAsia" w:ascii="Times New Roman" w:hAnsi="Times New Roman" w:eastAsia="仿宋" w:cs="Times New Roman"/>
          <w:b/>
          <w:sz w:val="32"/>
          <w:szCs w:val="32"/>
          <w:lang w:eastAsia="zh-CN"/>
        </w:rPr>
        <w:t>（一）</w:t>
      </w:r>
      <w:r>
        <w:rPr>
          <w:rFonts w:hint="eastAsia" w:ascii="Times New Roman" w:hAnsi="Times New Roman" w:eastAsia="仿宋" w:cs="Times New Roman"/>
          <w:b/>
          <w:sz w:val="32"/>
          <w:szCs w:val="32"/>
        </w:rPr>
        <w:t>总体绩效目标：</w:t>
      </w:r>
      <w:r>
        <w:rPr>
          <w:rFonts w:hint="eastAsia" w:ascii="仿宋_GB2312" w:hAnsi="仿宋" w:eastAsia="仿宋_GB2312"/>
          <w:sz w:val="32"/>
        </w:rP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pPr>
      <w:r>
        <w:rPr>
          <w:rFonts w:hint="eastAsia" w:ascii="仿宋_GB2312" w:hAnsi="仿宋" w:eastAsia="仿宋_GB2312"/>
          <w:sz w:val="32"/>
        </w:rPr>
        <w:t>（一）调查研究统一战线的理论、政策和法律法规，向党委全面反映统一战线情况，提出开展统一战线工作的意见和建议，组织协调统一战线政策和法律法规的贯彻落实，检查执行情况，协调统一战线各方面的关系。</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pPr>
      <w:r>
        <w:rPr>
          <w:rFonts w:hint="eastAsia" w:ascii="仿宋_GB2312" w:hAnsi="仿宋" w:eastAsia="仿宋_GB2312"/>
          <w:sz w:val="32"/>
        </w:rP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pPr>
      <w:r>
        <w:rPr>
          <w:rFonts w:hint="eastAsia" w:ascii="仿宋_GB2312" w:hAnsi="仿宋" w:eastAsia="仿宋_GB2312"/>
          <w:sz w:val="32"/>
        </w:rPr>
        <w:t>（三）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pPr>
      <w:r>
        <w:rPr>
          <w:rFonts w:hint="eastAsia" w:ascii="仿宋_GB2312" w:hAnsi="仿宋" w:eastAsia="仿宋_GB2312"/>
          <w:color w:val="333333"/>
          <w:sz w:val="32"/>
          <w:shd w:val="clear" w:color="auto" w:fill="FFFFFF"/>
        </w:rPr>
        <w:t>（四）调查研究国内外侨情和侨务工作情况，组织开展侨务政策、理论和侨务工作重大问题的调查研究，负责向涉侨部门通报侨务工作情况，推动涉侨宣传、文化交流和华文教育工作等。</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pPr>
      <w:r>
        <w:rPr>
          <w:rFonts w:hint="eastAsia" w:ascii="仿宋_GB2312" w:hAnsi="仿宋" w:eastAsia="仿宋_GB2312"/>
          <w:sz w:val="32"/>
        </w:rPr>
        <w:t>（五）调查研究非公有制经济人士的情况，协调关系，提出政策建议，团结、服务、引导、教育非公有制经济人士，开展思想政治工作。</w:t>
      </w:r>
    </w:p>
    <w:p>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_GB2312" w:hAnsi="仿宋" w:eastAsia="仿宋_GB2312"/>
          <w:sz w:val="32"/>
        </w:rPr>
        <w:sectPr>
          <w:pgSz w:w="11907" w:h="16839"/>
          <w:pgMar w:top="1701" w:right="1417" w:bottom="1417" w:left="1417" w:header="851" w:footer="992" w:gutter="0"/>
          <w:cols w:space="0" w:num="1"/>
          <w:docGrid w:type="lines" w:linePitch="312" w:charSpace="0"/>
        </w:sectPr>
      </w:pPr>
      <w:r>
        <w:rPr>
          <w:rFonts w:hint="eastAsia" w:ascii="仿宋_GB2312" w:hAnsi="仿宋" w:eastAsia="仿宋_GB2312"/>
          <w:sz w:val="32"/>
        </w:rPr>
        <w:t>（六）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pPr>
        <w:autoSpaceDE w:val="0"/>
        <w:autoSpaceDN w:val="0"/>
        <w:adjustRightInd w:val="0"/>
        <w:jc w:val="left"/>
        <w:rPr>
          <w:rFonts w:ascii="方正小标宋_GBK" w:eastAsia="方正小标宋_GBK"/>
          <w:sz w:val="32"/>
        </w:rPr>
      </w:pPr>
      <w:r>
        <w:rPr>
          <w:rFonts w:hint="eastAsia" w:ascii="Times New Roman" w:hAnsi="Times New Roman" w:eastAsia="仿宋" w:cs="Times New Roman"/>
          <w:b/>
          <w:sz w:val="32"/>
          <w:szCs w:val="32"/>
        </w:rPr>
        <w:t>部门职责及工作活动绩效目标指标：</w:t>
      </w:r>
      <w:bookmarkEnd w:id="0"/>
      <w:bookmarkStart w:id="1" w:name="_Toc535404678"/>
    </w:p>
    <w:p>
      <w:pPr>
        <w:jc w:val="center"/>
        <w:outlineLvl w:val="0"/>
        <w:rPr>
          <w:rFonts w:ascii="方正小标宋_GBK" w:eastAsia="方正小标宋_GBK"/>
          <w:color w:val="FFFFFF"/>
          <w:sz w:val="32"/>
        </w:rPr>
      </w:pPr>
      <w:r>
        <w:rPr>
          <w:rFonts w:hint="eastAsia" w:ascii="方正小标宋_GBK" w:eastAsia="方正小标宋_GBK"/>
          <w:sz w:val="32"/>
        </w:rPr>
        <w:t>部门职责</w:t>
      </w:r>
      <w:r>
        <w:rPr>
          <w:rFonts w:ascii="方正小标宋_GBK" w:eastAsia="方正小标宋_GBK"/>
          <w:sz w:val="32"/>
        </w:rPr>
        <w:t>-</w:t>
      </w:r>
      <w:r>
        <w:rPr>
          <w:rFonts w:hint="eastAsia" w:ascii="方正小标宋_GBK" w:eastAsia="方正小标宋_GBK"/>
          <w:sz w:val="32"/>
        </w:rPr>
        <w:t>工作活动绩效目标</w:t>
      </w:r>
      <w:r>
        <w:rPr>
          <w:rStyle w:val="10"/>
          <w:rFonts w:hint="eastAsia" w:ascii="方正小标宋_GBK" w:hAnsi="Symbol" w:eastAsia="方正小标宋_GBK" w:cs="黑体"/>
          <w:color w:val="FFFFFF"/>
          <w:sz w:val="32"/>
          <w:szCs w:val="32"/>
        </w:rPr>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1、统战(民族宗教)经费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21</w:t>
            </w:r>
          </w:p>
        </w:tc>
        <w:tc>
          <w:tcPr>
            <w:tcW w:w="2976"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宋体" w:hAnsi="宋体" w:cs="宋体"/>
              </w:rPr>
              <w:t>贯彻落实中央、县、市有关统一战线的政策和法律法规，向县委、县政府全面反映统战情况，提出意见和建议，检查执行情况，协调统一战线各方面的关系。</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了解情况，掌握政策，协调关系，安排人事，增进共识，加强团结。</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2、</w:t>
            </w:r>
            <w:r>
              <w:rPr>
                <w:rFonts w:hint="eastAsia" w:ascii="宋体" w:hAnsi="宋体" w:cs="宋体"/>
                <w:b/>
              </w:rPr>
              <w:t>民贸民品贷款贴息补贴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797</w:t>
            </w:r>
          </w:p>
        </w:tc>
        <w:tc>
          <w:tcPr>
            <w:tcW w:w="2976" w:type="dxa"/>
            <w:vAlign w:val="center"/>
          </w:tcPr>
          <w:p>
            <w:pPr>
              <w:spacing w:line="300" w:lineRule="exact"/>
              <w:jc w:val="left"/>
              <w:rPr>
                <w:rFonts w:ascii="方正书宋_GBK" w:eastAsia="方正书宋_GBK"/>
              </w:rPr>
            </w:pPr>
            <w:r>
              <w:rPr>
                <w:rFonts w:hint="eastAsia" w:ascii="宋体" w:hAnsi="宋体" w:cs="宋体"/>
              </w:rPr>
              <w:t>支持民贸民品企业发展，满足少数民族群众的特殊生产生活需求。</w:t>
            </w:r>
          </w:p>
        </w:tc>
        <w:tc>
          <w:tcPr>
            <w:tcW w:w="2976" w:type="dxa"/>
            <w:vAlign w:val="center"/>
          </w:tcPr>
          <w:p>
            <w:pPr>
              <w:spacing w:line="300" w:lineRule="exact"/>
              <w:jc w:val="left"/>
              <w:rPr>
                <w:rFonts w:ascii="宋体" w:hAnsi="宋体" w:cs="宋体"/>
              </w:rPr>
            </w:pPr>
            <w:r>
              <w:rPr>
                <w:rFonts w:hint="eastAsia" w:ascii="宋体" w:hAnsi="宋体" w:cs="宋体"/>
              </w:rPr>
              <w:t>按照文件要求及时拨付到位。</w:t>
            </w:r>
          </w:p>
        </w:tc>
        <w:tc>
          <w:tcPr>
            <w:tcW w:w="1417" w:type="dxa"/>
            <w:vAlign w:val="center"/>
          </w:tcPr>
          <w:p>
            <w:pPr>
              <w:spacing w:line="300" w:lineRule="exact"/>
              <w:jc w:val="left"/>
              <w:rPr>
                <w:rFonts w:ascii="宋体" w:hAnsi="宋体" w:cs="宋体"/>
              </w:rPr>
            </w:pPr>
            <w:r>
              <w:rPr>
                <w:rFonts w:hint="eastAsia" w:ascii="宋体" w:hAnsi="宋体" w:cs="宋体"/>
              </w:rPr>
              <w:t>数量指标、质量指标、时效指标、经济效益指标、社会效益指标。</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2341" w:type="dxa"/>
            <w:vAlign w:val="center"/>
          </w:tcPr>
          <w:p>
            <w:pPr>
              <w:spacing w:line="300" w:lineRule="exact"/>
              <w:jc w:val="left"/>
              <w:rPr>
                <w:rFonts w:ascii="宋体" w:cs="宋体"/>
                <w:b/>
              </w:rPr>
            </w:pPr>
            <w:r>
              <w:rPr>
                <w:rFonts w:ascii="方正书宋_GBK" w:eastAsia="方正书宋_GBK"/>
                <w:b/>
              </w:rPr>
              <w:t>3</w:t>
            </w:r>
            <w:r>
              <w:rPr>
                <w:rFonts w:hint="eastAsia" w:ascii="宋体" w:hAnsi="宋体" w:cs="宋体"/>
                <w:b/>
              </w:rPr>
              <w:t>、归侨生活补贴</w:t>
            </w:r>
          </w:p>
        </w:tc>
        <w:tc>
          <w:tcPr>
            <w:tcW w:w="1276" w:type="dxa"/>
            <w:vAlign w:val="center"/>
          </w:tcPr>
          <w:p>
            <w:pPr>
              <w:spacing w:line="300" w:lineRule="exact"/>
              <w:jc w:val="left"/>
              <w:rPr>
                <w:rFonts w:ascii="方正书宋_GBK" w:eastAsia="方正书宋_GBK"/>
              </w:rPr>
            </w:pPr>
            <w:r>
              <w:rPr>
                <w:rFonts w:ascii="方正书宋_GBK" w:eastAsia="方正书宋_GBK"/>
              </w:rPr>
              <w:t>0.24</w:t>
            </w:r>
          </w:p>
        </w:tc>
        <w:tc>
          <w:tcPr>
            <w:tcW w:w="2976" w:type="dxa"/>
            <w:vAlign w:val="center"/>
          </w:tcPr>
          <w:p>
            <w:pPr>
              <w:spacing w:line="300" w:lineRule="exact"/>
              <w:jc w:val="left"/>
              <w:rPr>
                <w:rFonts w:ascii="方正书宋_GBK" w:eastAsia="方正书宋_GBK"/>
              </w:rPr>
            </w:pPr>
            <w:r>
              <w:rPr>
                <w:rFonts w:hint="eastAsia" w:ascii="宋体" w:hAnsi="宋体" w:cs="宋体"/>
              </w:rPr>
              <w:t>开展港澳台海外统一战线工作，会同有关部门对香港、澳门地区统一战线工作方针政策和法律法规进行调查研究，做好台胞、台属工作，负责党委交办的其他对台、侨务工作。</w:t>
            </w:r>
          </w:p>
        </w:tc>
        <w:tc>
          <w:tcPr>
            <w:tcW w:w="2976" w:type="dxa"/>
            <w:vAlign w:val="center"/>
          </w:tcPr>
          <w:p>
            <w:pPr>
              <w:spacing w:line="300" w:lineRule="exact"/>
              <w:jc w:val="left"/>
              <w:rPr>
                <w:rFonts w:ascii="方正书宋_GBK" w:eastAsia="方正书宋_GBK"/>
              </w:rPr>
            </w:pPr>
            <w:r>
              <w:rPr>
                <w:rFonts w:hint="eastAsia" w:ascii="宋体" w:hAnsi="宋体" w:cs="宋体"/>
              </w:rPr>
              <w:t>争取人心，凝聚、壮大爱国力量，为我县的对外开放和经济社会发展做贡献，为实现祖国统一大业服务</w:t>
            </w:r>
          </w:p>
        </w:tc>
        <w:tc>
          <w:tcPr>
            <w:tcW w:w="1417" w:type="dxa"/>
            <w:vAlign w:val="center"/>
          </w:tcPr>
          <w:p>
            <w:pPr>
              <w:spacing w:line="300" w:lineRule="exact"/>
              <w:jc w:val="left"/>
              <w:rPr>
                <w:rFonts w:ascii="方正书宋_GBK" w:eastAsia="方正书宋_GBK"/>
              </w:rPr>
            </w:pPr>
            <w:r>
              <w:rPr>
                <w:rFonts w:hint="eastAsia" w:ascii="宋体" w:hAnsi="宋体" w:cs="宋体"/>
              </w:rPr>
              <w:t>文化经贸等交流活动的组织安排工作完成率；发放生活补贴完成率。</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0" w:hRule="atLeast"/>
          <w:jc w:val="center"/>
        </w:trPr>
        <w:tc>
          <w:tcPr>
            <w:tcW w:w="2341" w:type="dxa"/>
            <w:vAlign w:val="center"/>
          </w:tcPr>
          <w:p>
            <w:pPr>
              <w:spacing w:line="300" w:lineRule="exact"/>
              <w:jc w:val="left"/>
              <w:rPr>
                <w:rFonts w:ascii="宋体" w:cs="宋体"/>
                <w:b/>
              </w:rPr>
            </w:pPr>
            <w:r>
              <w:rPr>
                <w:rFonts w:ascii="方正书宋_GBK" w:eastAsia="方正书宋_GBK"/>
                <w:b/>
              </w:rPr>
              <w:t>4</w:t>
            </w:r>
            <w:r>
              <w:rPr>
                <w:rFonts w:hint="eastAsia" w:ascii="宋体" w:hAnsi="宋体" w:cs="宋体"/>
                <w:b/>
              </w:rPr>
              <w:t>、工商联经费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w:t>
            </w:r>
          </w:p>
        </w:tc>
        <w:tc>
          <w:tcPr>
            <w:tcW w:w="2976" w:type="dxa"/>
            <w:vAlign w:val="center"/>
          </w:tcPr>
          <w:p>
            <w:pPr>
              <w:spacing w:line="300" w:lineRule="exact"/>
              <w:jc w:val="left"/>
              <w:rPr>
                <w:rFonts w:ascii="方正书宋_GBK" w:eastAsia="方正书宋_GBK"/>
              </w:rPr>
            </w:pPr>
            <w:r>
              <w:rPr>
                <w:rFonts w:hint="eastAsia" w:ascii="宋体" w:hAnsi="宋体" w:cs="宋体"/>
              </w:rPr>
              <w:t>调查研究非公有制经济人士的情况，协调关系，提出政策建议，团结、服务、引导、教育非公有制经济人士，开展思想政治工作。</w:t>
            </w:r>
          </w:p>
        </w:tc>
        <w:tc>
          <w:tcPr>
            <w:tcW w:w="2976" w:type="dxa"/>
            <w:vAlign w:val="center"/>
          </w:tcPr>
          <w:p>
            <w:pPr>
              <w:spacing w:line="300" w:lineRule="exact"/>
              <w:jc w:val="left"/>
              <w:rPr>
                <w:rFonts w:ascii="方正书宋_GBK" w:eastAsia="方正书宋_GBK"/>
              </w:rPr>
            </w:pPr>
            <w:r>
              <w:rPr>
                <w:rFonts w:hint="eastAsia" w:ascii="宋体" w:hAnsi="宋体" w:cs="宋体"/>
              </w:rPr>
              <w:t>促进非公有制经济健康发展和非公有制经济人士健康成长。</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培训活动次数、覆盖率</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宋体" w:hAnsi="宋体" w:cs="宋体"/>
              </w:rPr>
              <w:t>＜</w:t>
            </w:r>
            <w:r>
              <w:rPr>
                <w:rFonts w:ascii="方正书宋_GBK" w:eastAsia="方正书宋_GBK"/>
              </w:rPr>
              <w:t>80%</w:t>
            </w:r>
          </w:p>
        </w:tc>
      </w:tr>
    </w:tbl>
    <w:p>
      <w:pPr>
        <w:autoSpaceDE w:val="0"/>
        <w:autoSpaceDN w:val="0"/>
        <w:adjustRightInd w:val="0"/>
        <w:ind w:firstLine="640" w:firstLineChars="200"/>
        <w:jc w:val="left"/>
        <w:rPr>
          <w:rFonts w:ascii="黑体" w:hAnsi="黑体" w:eastAsia="黑体" w:cs="Times New Roman"/>
          <w:sz w:val="32"/>
          <w:szCs w:val="32"/>
        </w:rPr>
      </w:pPr>
      <w:bookmarkStart w:id="2" w:name="_Toc471398468"/>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202</w:t>
      </w:r>
      <w:r>
        <w:rPr>
          <w:rFonts w:hint="eastAsia" w:ascii="Times New Roman" w:hAnsi="Times New Roman" w:eastAsia="仿宋" w:cs="Times New Roman"/>
          <w:sz w:val="32"/>
          <w:szCs w:val="24"/>
        </w:rPr>
        <w:t>1年，我部门安排政府采购预算4</w:t>
      </w:r>
      <w:r>
        <w:rPr>
          <w:rFonts w:hint="eastAsia" w:ascii="Times New Roman" w:hAnsi="Times New Roman" w:eastAsia="仿宋" w:cs="Times New Roman"/>
          <w:sz w:val="32"/>
          <w:szCs w:val="24"/>
          <w:lang w:val="en-US" w:eastAsia="zh-CN"/>
        </w:rPr>
        <w:t>.00</w:t>
      </w:r>
      <w:r>
        <w:rPr>
          <w:rFonts w:hint="eastAsia" w:ascii="Times New Roman" w:hAnsi="Times New Roman" w:eastAsia="仿宋" w:cs="Times New Roman"/>
          <w:sz w:val="32"/>
          <w:szCs w:val="24"/>
        </w:rPr>
        <w:t>万元。具体内容见下表。</w:t>
      </w:r>
      <w:bookmarkEnd w:id="2"/>
    </w:p>
    <w:p>
      <w:pPr>
        <w:jc w:val="center"/>
        <w:outlineLvl w:val="0"/>
        <w:rPr>
          <w:rFonts w:ascii="方正小标宋_GBK" w:eastAsia="方正小标宋_GBK"/>
          <w:sz w:val="32"/>
        </w:rPr>
      </w:pPr>
      <w:bookmarkStart w:id="3" w:name="_Toc535404684"/>
      <w:r>
        <w:rPr>
          <w:rFonts w:hint="eastAsia" w:ascii="方正小标宋_GBK" w:eastAsia="方正小标宋_GBK"/>
          <w:sz w:val="32"/>
        </w:rPr>
        <w:t>部门政府采购预算</w:t>
      </w:r>
      <w:bookmarkEnd w:id="3"/>
    </w:p>
    <w:tbl>
      <w:tblPr>
        <w:tblStyle w:val="8"/>
        <w:tblW w:w="145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3"/>
        <w:gridCol w:w="1065"/>
        <w:gridCol w:w="941"/>
        <w:gridCol w:w="1398"/>
        <w:gridCol w:w="728"/>
        <w:gridCol w:w="728"/>
        <w:gridCol w:w="974"/>
        <w:gridCol w:w="850"/>
        <w:gridCol w:w="960"/>
        <w:gridCol w:w="1035"/>
        <w:gridCol w:w="717"/>
        <w:gridCol w:w="933"/>
        <w:gridCol w:w="933"/>
        <w:gridCol w:w="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247"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中共隆尧县委统战部</w:t>
            </w:r>
          </w:p>
        </w:tc>
        <w:tc>
          <w:tcPr>
            <w:tcW w:w="6318"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78"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39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2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72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74"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18" w:type="dxa"/>
            <w:gridSpan w:val="7"/>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13"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65"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4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39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2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2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97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85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78" w:type="dxa"/>
            <w:gridSpan w:val="5"/>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9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413"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065"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94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39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2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2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97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85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9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9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39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7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5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中共隆尧县委统战部</w:t>
            </w:r>
          </w:p>
        </w:tc>
        <w:tc>
          <w:tcPr>
            <w:tcW w:w="10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9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39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7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5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4</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8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统战（民族宗教）经费</w:t>
            </w:r>
          </w:p>
        </w:tc>
        <w:tc>
          <w:tcPr>
            <w:tcW w:w="10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9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电脑</w:t>
            </w:r>
          </w:p>
        </w:tc>
        <w:tc>
          <w:tcPr>
            <w:tcW w:w="139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A02010601</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台</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97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85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41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统战（民族宗教）经费</w:t>
            </w:r>
          </w:p>
        </w:tc>
        <w:tc>
          <w:tcPr>
            <w:tcW w:w="10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9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家具用具</w:t>
            </w:r>
          </w:p>
        </w:tc>
        <w:tc>
          <w:tcPr>
            <w:tcW w:w="139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A06</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套</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w:t>
            </w:r>
          </w:p>
        </w:tc>
        <w:tc>
          <w:tcPr>
            <w:tcW w:w="97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0.25</w:t>
            </w:r>
          </w:p>
        </w:tc>
        <w:tc>
          <w:tcPr>
            <w:tcW w:w="85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0.5</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统战（民族宗教）经费</w:t>
            </w:r>
          </w:p>
        </w:tc>
        <w:tc>
          <w:tcPr>
            <w:tcW w:w="106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p>
        </w:tc>
        <w:tc>
          <w:tcPr>
            <w:tcW w:w="9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印刷品</w:t>
            </w:r>
          </w:p>
        </w:tc>
        <w:tc>
          <w:tcPr>
            <w:tcW w:w="139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A0802</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宋体" w:cs="宋体"/>
              </w:rPr>
            </w:pPr>
            <w:r>
              <w:rPr>
                <w:rFonts w:hint="eastAsia" w:ascii="宋体" w:hAnsi="宋体" w:cs="宋体"/>
              </w:rPr>
              <w:t>册</w:t>
            </w:r>
          </w:p>
        </w:tc>
        <w:tc>
          <w:tcPr>
            <w:tcW w:w="7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2000</w:t>
            </w:r>
          </w:p>
        </w:tc>
        <w:tc>
          <w:tcPr>
            <w:tcW w:w="97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0.0015</w:t>
            </w:r>
          </w:p>
        </w:tc>
        <w:tc>
          <w:tcPr>
            <w:tcW w:w="85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p>
        </w:tc>
        <w:tc>
          <w:tcPr>
            <w:tcW w:w="9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p>
        </w:tc>
        <w:tc>
          <w:tcPr>
            <w:tcW w:w="10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p>
        </w:tc>
        <w:tc>
          <w:tcPr>
            <w:tcW w:w="7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3"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9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bl>
    <w:p>
      <w:pPr>
        <w:widowControl/>
        <w:jc w:val="left"/>
        <w:sectPr>
          <w:pgSz w:w="16839" w:h="11907" w:orient="landscape"/>
          <w:pgMar w:top="1417" w:right="1417" w:bottom="1417" w:left="1417" w:header="851" w:footer="992" w:gutter="0"/>
          <w:cols w:space="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仿宋_GB2312" w:hAnsi="Times New Roman" w:eastAsia="仿宋_GB2312" w:cs="Times New Roman"/>
          <w:color w:val="000000"/>
          <w:sz w:val="32"/>
          <w:szCs w:val="32"/>
        </w:rPr>
      </w:pPr>
      <w:r>
        <w:rPr>
          <w:rFonts w:hint="eastAsia" w:ascii="仿宋_GB2312" w:hAnsi="Times New Roman" w:eastAsia="仿宋_GB2312" w:cs="Times New Roman"/>
          <w:color w:val="000000"/>
          <w:sz w:val="32"/>
          <w:szCs w:val="32"/>
        </w:rPr>
        <w:t>中共隆尧县委统战部2020年末固定资产金额为6.7万元（详见下表），本年度拟购置固定资产总额为4</w:t>
      </w:r>
      <w:r>
        <w:rPr>
          <w:rFonts w:hint="eastAsia" w:ascii="仿宋_GB2312" w:hAnsi="Times New Roman" w:eastAsia="仿宋_GB2312" w:cs="Times New Roman"/>
          <w:color w:val="000000"/>
          <w:sz w:val="32"/>
          <w:szCs w:val="32"/>
          <w:lang w:val="en-US" w:eastAsia="zh-CN"/>
        </w:rPr>
        <w:t>.00</w:t>
      </w:r>
      <w:r>
        <w:rPr>
          <w:rFonts w:hint="eastAsia" w:ascii="仿宋_GB2312" w:hAnsi="Times New Roman" w:eastAsia="仿宋_GB2312" w:cs="Times New Roman"/>
          <w:color w:val="000000"/>
          <w:sz w:val="32"/>
          <w:szCs w:val="32"/>
        </w:rPr>
        <w:t>万元，主要为计算机、打印机、办公家具等，已列入政府采购预算表，详见政府采购预算表。</w:t>
      </w:r>
    </w:p>
    <w:tbl>
      <w:tblPr>
        <w:tblStyle w:val="8"/>
        <w:tblW w:w="8849" w:type="dxa"/>
        <w:tblInd w:w="93" w:type="dxa"/>
        <w:tblLayout w:type="fixed"/>
        <w:tblCellMar>
          <w:top w:w="0" w:type="dxa"/>
          <w:left w:w="108" w:type="dxa"/>
          <w:bottom w:w="0" w:type="dxa"/>
          <w:right w:w="108" w:type="dxa"/>
        </w:tblCellMar>
      </w:tblPr>
      <w:tblGrid>
        <w:gridCol w:w="3402"/>
        <w:gridCol w:w="2207"/>
        <w:gridCol w:w="3240"/>
      </w:tblGrid>
      <w:tr>
        <w:tblPrEx>
          <w:tblCellMar>
            <w:top w:w="0" w:type="dxa"/>
            <w:left w:w="108" w:type="dxa"/>
            <w:bottom w:w="0" w:type="dxa"/>
            <w:right w:w="108" w:type="dxa"/>
          </w:tblCellMar>
        </w:tblPrEx>
        <w:trPr>
          <w:trHeight w:val="705" w:hRule="atLeast"/>
        </w:trPr>
        <w:tc>
          <w:tcPr>
            <w:tcW w:w="8849"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河北县县直部门固定资产占用情况表</w:t>
            </w:r>
          </w:p>
        </w:tc>
      </w:tr>
      <w:tr>
        <w:tblPrEx>
          <w:tblCellMar>
            <w:top w:w="0" w:type="dxa"/>
            <w:left w:w="108" w:type="dxa"/>
            <w:bottom w:w="0" w:type="dxa"/>
            <w:right w:w="108" w:type="dxa"/>
          </w:tblCellMar>
        </w:tblPrEx>
        <w:trPr>
          <w:trHeight w:val="510" w:hRule="atLeast"/>
        </w:trPr>
        <w:tc>
          <w:tcPr>
            <w:tcW w:w="560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编制部门：县委统战部</w:t>
            </w:r>
          </w:p>
        </w:tc>
        <w:tc>
          <w:tcPr>
            <w:tcW w:w="324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截止时间：2020年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340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2207"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3240"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kern w:val="0"/>
                <w:sz w:val="22"/>
              </w:rPr>
            </w:pPr>
            <w:r>
              <w:rPr>
                <w:rFonts w:hint="eastAsia" w:ascii="Times New Roman" w:hAnsi="Times New Roman" w:eastAsia="仿宋" w:cs="Times New Roman"/>
                <w:color w:val="000000"/>
                <w:kern w:val="0"/>
                <w:sz w:val="22"/>
              </w:rPr>
              <w:t>6.7</w:t>
            </w: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6.7</w:t>
            </w:r>
          </w:p>
        </w:tc>
      </w:tr>
      <w:tr>
        <w:tblPrEx>
          <w:tblCellMar>
            <w:top w:w="0" w:type="dxa"/>
            <w:left w:w="108" w:type="dxa"/>
            <w:bottom w:w="0" w:type="dxa"/>
            <w:right w:w="108" w:type="dxa"/>
          </w:tblCellMar>
        </w:tblPrEx>
        <w:trPr>
          <w:trHeight w:val="645" w:hRule="atLeast"/>
        </w:trPr>
        <w:tc>
          <w:tcPr>
            <w:tcW w:w="340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220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4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1、一般公共预算拨款收入：指县级财政当年拨付的资金。</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2、事业收入：指事业单位开展专业业务活动及辅助活动所取得的收入。</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3、其他收入：指除“一般公共预算拨款收入”、“事业收入”等以外的收入。主要是按规定动用的租房收入、存款利息收入等。</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4、基本支出：指为保障机构正常运转、完成日常工作任务而发生的人员支出和公用支出。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5、项目支出：指在基本支出之外为完成特定行政任务和事业发展目标所发生的支出。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6、上缴上级支出：指下级单位上缴上级的支出。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9、上年结转：指以前年度尚未完成、结转到本年仍按原规定用途继续使用的资金。</w:t>
      </w:r>
    </w:p>
    <w:p>
      <w:pPr>
        <w:ind w:firstLine="640" w:firstLineChars="200"/>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我部门无其他需要说明的事项。</w:t>
      </w:r>
    </w:p>
    <w:sectPr>
      <w:pgSz w:w="11906" w:h="16838"/>
      <w:pgMar w:top="1440" w:right="1417" w:bottom="1440" w:left="1417" w:header="851" w:footer="992" w:gutter="0"/>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仿宋"/>
    <w:panose1 w:val="00000000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书宋_GBK">
    <w:altName w:val="仿宋"/>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9"/>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djMTQ2ZTlhMjBjYzg4ODc2YzFjYzNjNTZiYjkwMDEifQ=="/>
  </w:docVars>
  <w:rsids>
    <w:rsidRoot w:val="00C67CC4"/>
    <w:rsid w:val="0000235E"/>
    <w:rsid w:val="000A2C43"/>
    <w:rsid w:val="00107486"/>
    <w:rsid w:val="001215C5"/>
    <w:rsid w:val="00140393"/>
    <w:rsid w:val="00142B55"/>
    <w:rsid w:val="00150A79"/>
    <w:rsid w:val="001C48E4"/>
    <w:rsid w:val="00247AFA"/>
    <w:rsid w:val="002544D8"/>
    <w:rsid w:val="002B24EC"/>
    <w:rsid w:val="002C2582"/>
    <w:rsid w:val="00324894"/>
    <w:rsid w:val="003445CB"/>
    <w:rsid w:val="003521FF"/>
    <w:rsid w:val="0039599D"/>
    <w:rsid w:val="003A3974"/>
    <w:rsid w:val="003C0EE4"/>
    <w:rsid w:val="003E6FCD"/>
    <w:rsid w:val="003E7B92"/>
    <w:rsid w:val="003F3856"/>
    <w:rsid w:val="003F4292"/>
    <w:rsid w:val="004346C1"/>
    <w:rsid w:val="00443DF7"/>
    <w:rsid w:val="00445833"/>
    <w:rsid w:val="00455043"/>
    <w:rsid w:val="00457F8E"/>
    <w:rsid w:val="0046545D"/>
    <w:rsid w:val="0047004E"/>
    <w:rsid w:val="004706CE"/>
    <w:rsid w:val="00470B3A"/>
    <w:rsid w:val="004766F2"/>
    <w:rsid w:val="00476B31"/>
    <w:rsid w:val="004A63D4"/>
    <w:rsid w:val="004B7C86"/>
    <w:rsid w:val="004D1A58"/>
    <w:rsid w:val="00500708"/>
    <w:rsid w:val="00507D89"/>
    <w:rsid w:val="00520F6D"/>
    <w:rsid w:val="00591711"/>
    <w:rsid w:val="005E55FC"/>
    <w:rsid w:val="005E75E9"/>
    <w:rsid w:val="005F6E88"/>
    <w:rsid w:val="006076C7"/>
    <w:rsid w:val="00626607"/>
    <w:rsid w:val="00627EBB"/>
    <w:rsid w:val="00634379"/>
    <w:rsid w:val="006A5F6D"/>
    <w:rsid w:val="006A604C"/>
    <w:rsid w:val="006B3852"/>
    <w:rsid w:val="006C0EC0"/>
    <w:rsid w:val="006C2ED8"/>
    <w:rsid w:val="006D357E"/>
    <w:rsid w:val="006E2633"/>
    <w:rsid w:val="006F594D"/>
    <w:rsid w:val="0073347D"/>
    <w:rsid w:val="00743238"/>
    <w:rsid w:val="00744D11"/>
    <w:rsid w:val="00756B84"/>
    <w:rsid w:val="00783857"/>
    <w:rsid w:val="007941F0"/>
    <w:rsid w:val="007C5C62"/>
    <w:rsid w:val="007E66E3"/>
    <w:rsid w:val="00803183"/>
    <w:rsid w:val="008321A8"/>
    <w:rsid w:val="008519AE"/>
    <w:rsid w:val="008650C5"/>
    <w:rsid w:val="00866967"/>
    <w:rsid w:val="0087709D"/>
    <w:rsid w:val="00897A2F"/>
    <w:rsid w:val="008C34D3"/>
    <w:rsid w:val="008F60D3"/>
    <w:rsid w:val="009144E9"/>
    <w:rsid w:val="00947829"/>
    <w:rsid w:val="009561F5"/>
    <w:rsid w:val="00970677"/>
    <w:rsid w:val="0097158A"/>
    <w:rsid w:val="00993412"/>
    <w:rsid w:val="009B0475"/>
    <w:rsid w:val="009B3890"/>
    <w:rsid w:val="009C12EB"/>
    <w:rsid w:val="009C78BB"/>
    <w:rsid w:val="009D2EC4"/>
    <w:rsid w:val="009E4CA9"/>
    <w:rsid w:val="009F4DB9"/>
    <w:rsid w:val="00A129BD"/>
    <w:rsid w:val="00A322BC"/>
    <w:rsid w:val="00A42FA0"/>
    <w:rsid w:val="00A5050A"/>
    <w:rsid w:val="00A608C8"/>
    <w:rsid w:val="00AC5B09"/>
    <w:rsid w:val="00AD776C"/>
    <w:rsid w:val="00AE42F7"/>
    <w:rsid w:val="00B03901"/>
    <w:rsid w:val="00B248CB"/>
    <w:rsid w:val="00B26D2B"/>
    <w:rsid w:val="00BA7E1B"/>
    <w:rsid w:val="00BB2DD6"/>
    <w:rsid w:val="00BB637A"/>
    <w:rsid w:val="00BC4C2B"/>
    <w:rsid w:val="00C25A3D"/>
    <w:rsid w:val="00C25B3F"/>
    <w:rsid w:val="00C40AA4"/>
    <w:rsid w:val="00C6084C"/>
    <w:rsid w:val="00C658B3"/>
    <w:rsid w:val="00C67CC4"/>
    <w:rsid w:val="00C76BFD"/>
    <w:rsid w:val="00CC1561"/>
    <w:rsid w:val="00CF5E6F"/>
    <w:rsid w:val="00D14D61"/>
    <w:rsid w:val="00D313D1"/>
    <w:rsid w:val="00D62B9A"/>
    <w:rsid w:val="00DC3045"/>
    <w:rsid w:val="00DC333A"/>
    <w:rsid w:val="00DE4F2A"/>
    <w:rsid w:val="00E31C15"/>
    <w:rsid w:val="00E35B82"/>
    <w:rsid w:val="00E421C6"/>
    <w:rsid w:val="00E4438B"/>
    <w:rsid w:val="00E464CE"/>
    <w:rsid w:val="00E55AFB"/>
    <w:rsid w:val="00E566BB"/>
    <w:rsid w:val="00E57191"/>
    <w:rsid w:val="00E64EEC"/>
    <w:rsid w:val="00EB261A"/>
    <w:rsid w:val="00EC3709"/>
    <w:rsid w:val="00ED3497"/>
    <w:rsid w:val="00EE4DA9"/>
    <w:rsid w:val="00F1586A"/>
    <w:rsid w:val="00F17F39"/>
    <w:rsid w:val="00F21DB4"/>
    <w:rsid w:val="00F27353"/>
    <w:rsid w:val="00F50D6B"/>
    <w:rsid w:val="00F73D27"/>
    <w:rsid w:val="00F83596"/>
    <w:rsid w:val="00FB6DC6"/>
    <w:rsid w:val="02D17B65"/>
    <w:rsid w:val="1AFB7B65"/>
    <w:rsid w:val="350A622C"/>
    <w:rsid w:val="363F422F"/>
    <w:rsid w:val="41633FA2"/>
    <w:rsid w:val="530D2F06"/>
    <w:rsid w:val="66081392"/>
    <w:rsid w:val="6B4669B9"/>
    <w:rsid w:val="756D7BA2"/>
    <w:rsid w:val="762B7F6A"/>
    <w:rsid w:val="77CE5FDC"/>
    <w:rsid w:val="781A7C0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5"/>
    <w:qFormat/>
    <w:uiPriority w:val="99"/>
    <w:rPr>
      <w:rFonts w:ascii="宋体" w:hAnsi="Courier New" w:cs="Times New Roman"/>
      <w:szCs w:val="21"/>
    </w:rPr>
  </w:style>
  <w:style w:type="paragraph" w:styleId="3">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20"/>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20"/>
    </w:rPr>
  </w:style>
  <w:style w:type="paragraph" w:styleId="5">
    <w:name w:val="toc 1"/>
    <w:basedOn w:val="1"/>
    <w:next w:val="1"/>
    <w:qFormat/>
    <w:uiPriority w:val="99"/>
    <w:rPr>
      <w:rFonts w:ascii="Times New Roman" w:hAnsi="Times New Roman" w:cs="Times New Roman"/>
      <w:szCs w:val="24"/>
    </w:rPr>
  </w:style>
  <w:style w:type="paragraph" w:styleId="6">
    <w:name w:val="footnote text"/>
    <w:basedOn w:val="1"/>
    <w:link w:val="13"/>
    <w:qFormat/>
    <w:uiPriority w:val="99"/>
    <w:pPr>
      <w:snapToGrid w:val="0"/>
      <w:jc w:val="left"/>
    </w:pPr>
    <w:rPr>
      <w:rFonts w:cs="Times New Roman"/>
      <w:kern w:val="0"/>
      <w:sz w:val="18"/>
      <w:szCs w:val="18"/>
    </w:rPr>
  </w:style>
  <w:style w:type="paragraph" w:styleId="7">
    <w:name w:val="toc 2"/>
    <w:basedOn w:val="1"/>
    <w:next w:val="1"/>
    <w:qFormat/>
    <w:uiPriority w:val="99"/>
    <w:pPr>
      <w:ind w:left="420" w:leftChars="200"/>
    </w:pPr>
    <w:rPr>
      <w:rFonts w:ascii="Times New Roman" w:hAnsi="Times New Roman" w:cs="Times New Roman"/>
      <w:szCs w:val="24"/>
    </w:rPr>
  </w:style>
  <w:style w:type="character" w:styleId="10">
    <w:name w:val="footnote reference"/>
    <w:qFormat/>
    <w:uiPriority w:val="99"/>
    <w:rPr>
      <w:rFonts w:cs="Times New Roman"/>
      <w:vertAlign w:val="superscript"/>
    </w:rPr>
  </w:style>
  <w:style w:type="character" w:customStyle="1" w:styleId="11">
    <w:name w:val="页脚 Char"/>
    <w:link w:val="3"/>
    <w:semiHidden/>
    <w:qFormat/>
    <w:locked/>
    <w:uiPriority w:val="99"/>
    <w:rPr>
      <w:rFonts w:ascii="Times New Roman" w:hAnsi="Times New Roman" w:eastAsia="宋体"/>
      <w:sz w:val="18"/>
    </w:rPr>
  </w:style>
  <w:style w:type="character" w:customStyle="1" w:styleId="12">
    <w:name w:val="页眉 Char"/>
    <w:link w:val="4"/>
    <w:semiHidden/>
    <w:qFormat/>
    <w:locked/>
    <w:uiPriority w:val="99"/>
    <w:rPr>
      <w:rFonts w:ascii="Times New Roman" w:hAnsi="Times New Roman" w:eastAsia="宋体"/>
      <w:sz w:val="18"/>
    </w:rPr>
  </w:style>
  <w:style w:type="character" w:customStyle="1" w:styleId="13">
    <w:name w:val="脚注文本 Char"/>
    <w:link w:val="6"/>
    <w:semiHidden/>
    <w:qFormat/>
    <w:uiPriority w:val="99"/>
    <w:rPr>
      <w:rFonts w:ascii="Calibri" w:hAnsi="Calibri" w:cs="黑体"/>
      <w:sz w:val="18"/>
      <w:szCs w:val="18"/>
    </w:rPr>
  </w:style>
  <w:style w:type="paragraph" w:customStyle="1" w:styleId="14">
    <w:name w:val="Char"/>
    <w:basedOn w:val="1"/>
    <w:qFormat/>
    <w:uiPriority w:val="99"/>
    <w:rPr>
      <w:rFonts w:ascii="Times New Roman" w:hAnsi="Times New Roman" w:cs="Times New Roman"/>
      <w:szCs w:val="24"/>
    </w:rPr>
  </w:style>
  <w:style w:type="character" w:customStyle="1" w:styleId="15">
    <w:name w:val="纯文本 Char"/>
    <w:link w:val="2"/>
    <w:qFormat/>
    <w:locked/>
    <w:uiPriority w:val="99"/>
    <w:rPr>
      <w:rFonts w:ascii="宋体" w:hAnsi="Courier New" w:cs="Courier New"/>
      <w:kern w:val="2"/>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3617</Words>
  <Characters>3849</Characters>
  <Lines>30</Lines>
  <Paragraphs>8</Paragraphs>
  <TotalTime>21</TotalTime>
  <ScaleCrop>false</ScaleCrop>
  <LinksUpToDate>false</LinksUpToDate>
  <CharactersWithSpaces>3955</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粒粒皆辛苦</cp:lastModifiedBy>
  <cp:lastPrinted>2017-02-10T09:57:00Z</cp:lastPrinted>
  <dcterms:modified xsi:type="dcterms:W3CDTF">2022-08-31T01:48:13Z</dcterms:modified>
  <cp:revision>93</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851180A1990249EBB0087EFF9405FE28</vt:lpwstr>
  </property>
</Properties>
</file>