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cs="Times New Roman" w:asciiTheme="majorEastAsia" w:hAnsiTheme="majorEastAsia" w:eastAsiaTheme="majorEastAsia"/>
          <w:bCs/>
          <w:sz w:val="44"/>
          <w:szCs w:val="44"/>
        </w:rPr>
      </w:pPr>
      <w:r>
        <w:rPr>
          <w:rFonts w:hint="eastAsia" w:cs="Times New Roman" w:asciiTheme="majorEastAsia" w:hAnsiTheme="majorEastAsia" w:eastAsiaTheme="majorEastAsia"/>
          <w:bCs/>
          <w:sz w:val="44"/>
          <w:szCs w:val="44"/>
        </w:rPr>
        <w:t>中共隆尧县委机构编制委员会办公室</w:t>
      </w:r>
    </w:p>
    <w:p>
      <w:pPr>
        <w:adjustRightInd w:val="0"/>
        <w:snapToGrid w:val="0"/>
        <w:jc w:val="center"/>
        <w:rPr>
          <w:rFonts w:cs="Times New Roman" w:asciiTheme="majorEastAsia" w:hAnsiTheme="majorEastAsia" w:eastAsiaTheme="majorEastAsia"/>
          <w:bCs/>
          <w:sz w:val="44"/>
          <w:szCs w:val="44"/>
        </w:rPr>
      </w:pPr>
      <w:r>
        <w:rPr>
          <w:rFonts w:hint="eastAsia" w:cs="Times New Roman" w:asciiTheme="majorEastAsia" w:hAnsiTheme="majorEastAsia" w:eastAsiaTheme="majorEastAsia"/>
          <w:bCs/>
          <w:sz w:val="44"/>
          <w:szCs w:val="44"/>
        </w:rPr>
        <w:t>202</w:t>
      </w:r>
      <w:r>
        <w:rPr>
          <w:rFonts w:hint="eastAsia" w:cs="Times New Roman" w:asciiTheme="majorEastAsia" w:hAnsiTheme="majorEastAsia" w:eastAsiaTheme="majorEastAsia"/>
          <w:bCs/>
          <w:sz w:val="44"/>
          <w:szCs w:val="44"/>
          <w:lang w:val="en-US" w:eastAsia="zh-CN"/>
        </w:rPr>
        <w:t>1</w:t>
      </w:r>
      <w:r>
        <w:rPr>
          <w:rFonts w:hint="eastAsia" w:cs="Times New Roman" w:asciiTheme="majorEastAsia" w:hAnsiTheme="majorEastAsia" w:eastAsiaTheme="majorEastAsia"/>
          <w:bCs/>
          <w:sz w:val="44"/>
          <w:szCs w:val="44"/>
        </w:rPr>
        <w:t>年部门预算信息公开情况说明</w:t>
      </w:r>
    </w:p>
    <w:p>
      <w:pPr>
        <w:ind w:firstLine="640"/>
        <w:rPr>
          <w:rFonts w:cs="Times New Roman" w:asciiTheme="majorEastAsia" w:hAnsiTheme="majorEastAsia" w:eastAsiaTheme="majorEastAsia"/>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按照《预算法》、《地方预决算公开操作规程》和《河北省省级预算公开办法》规定，现将中共隆尧县委机构编制委员会办公室202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Times New Roman"/>
          <w:sz w:val="32"/>
          <w:szCs w:val="32"/>
        </w:rPr>
        <w:t>（一）贯彻落实党中央和省委、市委、县委关于行政管理体制和机构改革以及机构编制管理的政策法规，组织拟订相关政策措施并监督实施。管理和指导全县党政机关、人民团体机关以及全县事业单位的机构编制工作。</w:t>
      </w:r>
    </w:p>
    <w:p>
      <w:pPr>
        <w:ind w:firstLine="640"/>
        <w:rPr>
          <w:rFonts w:ascii="仿宋" w:hAnsi="仿宋" w:eastAsia="仿宋" w:cs="Times New Roman"/>
          <w:sz w:val="32"/>
          <w:szCs w:val="32"/>
        </w:rPr>
      </w:pPr>
      <w:r>
        <w:rPr>
          <w:rFonts w:hint="eastAsia" w:ascii="仿宋" w:hAnsi="仿宋" w:eastAsia="仿宋" w:cs="Times New Roman"/>
          <w:sz w:val="32"/>
          <w:szCs w:val="32"/>
        </w:rPr>
        <w:t>（二）组织拟订全县行政管理体制改革和县委、县政府机构改革方案并组织实施。指导、协调乡镇行政管理体制和机构改革以及机构编制管理工作；负责行政执法体制改革工作。</w:t>
      </w:r>
    </w:p>
    <w:p>
      <w:pPr>
        <w:ind w:firstLine="640"/>
        <w:rPr>
          <w:rFonts w:ascii="仿宋" w:hAnsi="仿宋" w:eastAsia="仿宋" w:cs="Times New Roman"/>
          <w:sz w:val="32"/>
          <w:szCs w:val="32"/>
        </w:rPr>
      </w:pPr>
      <w:r>
        <w:rPr>
          <w:rFonts w:hint="eastAsia" w:ascii="仿宋" w:hAnsi="仿宋" w:eastAsia="仿宋" w:cs="Times New Roman"/>
          <w:sz w:val="32"/>
          <w:szCs w:val="32"/>
        </w:rPr>
        <w:t>（三）协调县委、县政府各部门的职能配置及其调整。协调县委、县政府各部门之间以及县直部门与各乡镇之间的职责分工。</w:t>
      </w:r>
    </w:p>
    <w:p>
      <w:pPr>
        <w:ind w:firstLine="640"/>
        <w:rPr>
          <w:rFonts w:ascii="仿宋" w:hAnsi="仿宋" w:eastAsia="仿宋" w:cs="Times New Roman"/>
          <w:sz w:val="32"/>
          <w:szCs w:val="32"/>
        </w:rPr>
      </w:pPr>
      <w:r>
        <w:rPr>
          <w:rFonts w:hint="eastAsia" w:ascii="仿宋" w:hAnsi="仿宋" w:eastAsia="仿宋" w:cs="Times New Roman"/>
          <w:sz w:val="32"/>
          <w:szCs w:val="32"/>
        </w:rPr>
        <w:t>（四）审核或审批县委、县政府各部门及各部门派出机构的职能配置、机构设置、人员编制和领导职数；审核县人大、县政协、县监委和县级各民主党派、人民团体机关的职能配置、机构设置、人员编制和领导职数；审核或审批乡镇党委、政府机构设置和调整事宜。负责需要承办的上级垂直管理部门或双重管理部门(单位)机构编制有关事宜。</w:t>
      </w:r>
    </w:p>
    <w:p>
      <w:pPr>
        <w:ind w:firstLine="640"/>
        <w:rPr>
          <w:rFonts w:ascii="仿宋" w:hAnsi="仿宋" w:eastAsia="仿宋" w:cs="Times New Roman"/>
          <w:sz w:val="32"/>
          <w:szCs w:val="32"/>
        </w:rPr>
      </w:pPr>
      <w:r>
        <w:rPr>
          <w:rFonts w:hint="eastAsia" w:ascii="仿宋" w:hAnsi="仿宋" w:eastAsia="仿宋" w:cs="Times New Roman"/>
          <w:sz w:val="32"/>
          <w:szCs w:val="32"/>
        </w:rPr>
        <w:t>（五）组织拟订全县事业单位管理体制和机构改革方案。落实各类事业单位人员编制标准，组织拟订全县各类事业单位机构编制管理办法，负责推进事业单位机构编制标准体系建设；审核或审批县委、县政府直属事业单位和县直部门所属事业单位的机构编制事宜；审核、报批县委、县政府直属事业单位或直属事业机构，以及县直部门所属事业单位的机构编制事宜。指导并协调乡镇事业单位管理体制改革和机构编制管理工作。负责全县党政群机关统一社会信用代码赋码管理工作，负责全县事业单位法人登记的监督检查工作。</w:t>
      </w:r>
    </w:p>
    <w:p>
      <w:pPr>
        <w:ind w:firstLine="640"/>
        <w:rPr>
          <w:rFonts w:ascii="仿宋" w:hAnsi="仿宋" w:eastAsia="仿宋" w:cs="Times New Roman"/>
          <w:sz w:val="32"/>
          <w:szCs w:val="32"/>
        </w:rPr>
      </w:pPr>
      <w:r>
        <w:rPr>
          <w:rFonts w:hint="eastAsia" w:ascii="仿宋" w:hAnsi="仿宋" w:eastAsia="仿宋" w:cs="Times New Roman"/>
          <w:sz w:val="32"/>
          <w:szCs w:val="32"/>
        </w:rPr>
        <w:t>（六）负责全县开发区（园区）行政管理体制改革工作，组织拟订开发区（园区）机构编制管理办法并组织实施，审核开发区（园区）职能配置、机构设置、人员编制和领导职数。</w:t>
      </w:r>
    </w:p>
    <w:p>
      <w:pPr>
        <w:ind w:firstLine="640"/>
        <w:rPr>
          <w:rFonts w:ascii="仿宋" w:hAnsi="仿宋" w:eastAsia="仿宋" w:cs="Times New Roman"/>
          <w:sz w:val="32"/>
          <w:szCs w:val="32"/>
        </w:rPr>
      </w:pPr>
      <w:r>
        <w:rPr>
          <w:rFonts w:hint="eastAsia" w:ascii="仿宋" w:hAnsi="仿宋" w:eastAsia="仿宋" w:cs="Times New Roman"/>
          <w:sz w:val="32"/>
          <w:szCs w:val="32"/>
        </w:rPr>
        <w:t>（七）负责对全县机构编制的总量控制和动态管理。会同有关部门负责机构编制实名制工作；负责全县机关事业单位编制使用核准；建立健全机构编制部门与有关部门间的协调配合约束机制。</w:t>
      </w:r>
    </w:p>
    <w:p>
      <w:pPr>
        <w:ind w:firstLine="640"/>
        <w:rPr>
          <w:rFonts w:ascii="仿宋" w:hAnsi="仿宋" w:eastAsia="仿宋" w:cs="Times New Roman"/>
          <w:sz w:val="32"/>
          <w:szCs w:val="32"/>
        </w:rPr>
      </w:pPr>
      <w:r>
        <w:rPr>
          <w:rFonts w:hint="eastAsia" w:ascii="仿宋" w:hAnsi="仿宋" w:eastAsia="仿宋" w:cs="Times New Roman"/>
          <w:sz w:val="32"/>
          <w:szCs w:val="32"/>
        </w:rPr>
        <w:t>（八）负责对全县行政、事业单位管理体制和机构改革及机构编制执行情况的跟踪评估和监督检查。负责受理违反机构编制法规、纪律的检举、控告和投诉，对违反机构编制法规、纪律问题进行调查处理。</w:t>
      </w:r>
    </w:p>
    <w:p>
      <w:pPr>
        <w:ind w:firstLine="640"/>
        <w:rPr>
          <w:rFonts w:ascii="仿宋" w:hAnsi="仿宋" w:eastAsia="仿宋" w:cs="Times New Roman"/>
          <w:sz w:val="32"/>
          <w:szCs w:val="32"/>
        </w:rPr>
      </w:pPr>
      <w:r>
        <w:rPr>
          <w:rFonts w:hint="eastAsia" w:ascii="仿宋" w:hAnsi="仿宋" w:eastAsia="仿宋" w:cs="Times New Roman"/>
          <w:sz w:val="32"/>
          <w:szCs w:val="32"/>
        </w:rPr>
        <w:t>（九）负责全县机构编制电子政务和信息化工作。负责全县机构编制统计工作；负责机构编制网站的建设管理以及网络安全工作；负责全县党政群机关、事业单位和其他非营利性单位网上名称管理工作；指导全县各部门电子政务建设和信息化建设工作。</w:t>
      </w:r>
    </w:p>
    <w:p>
      <w:pPr>
        <w:ind w:firstLine="640"/>
        <w:rPr>
          <w:rFonts w:ascii="仿宋" w:hAnsi="仿宋" w:eastAsia="仿宋" w:cs="Times New Roman"/>
          <w:sz w:val="32"/>
          <w:szCs w:val="32"/>
        </w:rPr>
      </w:pPr>
      <w:r>
        <w:rPr>
          <w:rFonts w:hint="eastAsia" w:ascii="仿宋" w:hAnsi="仿宋" w:eastAsia="仿宋" w:cs="Times New Roman"/>
          <w:sz w:val="32"/>
          <w:szCs w:val="32"/>
        </w:rPr>
        <w:t>（十）组织开展行政体制改革及机构编制管理创新基础性和前瞻性研究。</w:t>
      </w:r>
    </w:p>
    <w:p>
      <w:pPr>
        <w:ind w:firstLine="640"/>
        <w:rPr>
          <w:rFonts w:ascii="仿宋" w:hAnsi="仿宋" w:eastAsia="仿宋" w:cs="Times New Roman"/>
          <w:sz w:val="32"/>
          <w:szCs w:val="32"/>
        </w:rPr>
      </w:pPr>
      <w:r>
        <w:rPr>
          <w:rFonts w:hint="eastAsia" w:ascii="仿宋" w:hAnsi="仿宋" w:eastAsia="仿宋" w:cs="Times New Roman"/>
          <w:sz w:val="32"/>
          <w:szCs w:val="32"/>
        </w:rPr>
        <w:t>（十一）完成县委和县委机构编制委员会交办的其他任务。</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cs="Times New Roman" w:asciiTheme="majorEastAsia" w:hAnsiTheme="majorEastAsia" w:eastAsiaTheme="majorEastAsia"/>
          <w:sz w:val="32"/>
          <w:szCs w:val="24"/>
        </w:rPr>
      </w:pPr>
      <w:r>
        <w:rPr>
          <w:rFonts w:cs="Times New Roman" w:asciiTheme="majorEastAsia" w:hAnsiTheme="majorEastAsia" w:eastAsiaTheme="majorEastAsia"/>
          <w:sz w:val="32"/>
          <w:szCs w:val="24"/>
        </w:rPr>
        <w:t>部门</w:t>
      </w:r>
      <w:r>
        <w:rPr>
          <w:rFonts w:hint="eastAsia" w:cs="Times New Roman" w:asciiTheme="majorEastAsia" w:hAnsiTheme="majorEastAsia" w:eastAsiaTheme="majorEastAsia"/>
          <w:sz w:val="32"/>
          <w:szCs w:val="24"/>
        </w:rPr>
        <w:t>机构设置情况</w:t>
      </w:r>
    </w:p>
    <w:tbl>
      <w:tblPr>
        <w:tblStyle w:val="9"/>
        <w:tblW w:w="9729"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中共隆尧县委机构编制委员会办公室</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110.41</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110.41</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中共隆尧县委机构编制委员会办公室</w:t>
      </w:r>
      <w:r>
        <w:rPr>
          <w:rFonts w:hint="eastAsia" w:ascii="Times New Roman" w:hAnsi="Times New Roman" w:eastAsia="仿宋" w:cs="Times New Roman"/>
          <w:sz w:val="32"/>
          <w:szCs w:val="32"/>
        </w:rPr>
        <w:t>年度部门预算中支出预算的总体情况。202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年部门支出预算为</w:t>
      </w:r>
      <w:r>
        <w:rPr>
          <w:rFonts w:hint="eastAsia" w:ascii="Times New Roman" w:hAnsi="Times New Roman" w:eastAsia="仿宋" w:cs="Times New Roman"/>
          <w:sz w:val="32"/>
          <w:szCs w:val="32"/>
          <w:lang w:val="en-US" w:eastAsia="zh-CN"/>
        </w:rPr>
        <w:t>110.41</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88.79</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77.32</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11.47</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21.62</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，主要为机构编制管理经费</w:t>
      </w:r>
      <w:r>
        <w:rPr>
          <w:rFonts w:hint="eastAsia" w:ascii="Times New Roman" w:hAnsi="Times New Roman" w:eastAsia="仿宋" w:cs="Times New Roman"/>
          <w:sz w:val="32"/>
          <w:szCs w:val="32"/>
          <w:lang w:val="en-US" w:eastAsia="zh-CN"/>
        </w:rPr>
        <w:t>15.88万元，中文域名维护费5.74万元。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hint="eastAsia" w:ascii="Times New Roman" w:hAnsi="Times New Roman" w:eastAsia="仿宋" w:cs="Times New Roman"/>
          <w:sz w:val="32"/>
          <w:szCs w:val="32"/>
          <w:lang w:eastAsia="zh-CN"/>
        </w:rPr>
      </w:pPr>
      <w:r>
        <w:rPr>
          <w:rFonts w:hint="eastAsia"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sz w:val="32"/>
          <w:szCs w:val="32"/>
          <w:lang w:val="en-US" w:eastAsia="zh-CN"/>
        </w:rPr>
        <w:t>110.41</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0.48</w:t>
      </w:r>
      <w:r>
        <w:rPr>
          <w:rFonts w:hint="eastAsia" w:ascii="Times New Roman" w:hAnsi="Times New Roman" w:eastAsia="仿宋" w:cs="Times New Roman"/>
          <w:sz w:val="32"/>
          <w:szCs w:val="32"/>
        </w:rPr>
        <w:t>万元，其中：基本支出增加</w:t>
      </w:r>
      <w:r>
        <w:rPr>
          <w:rFonts w:hint="eastAsia" w:ascii="Times New Roman" w:hAnsi="Times New Roman" w:eastAsia="仿宋" w:cs="Times New Roman"/>
          <w:sz w:val="32"/>
          <w:szCs w:val="32"/>
          <w:lang w:val="en-US" w:eastAsia="zh-CN"/>
        </w:rPr>
        <w:t>2.71</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，主要是日常公用经费增加；</w:t>
      </w:r>
      <w:r>
        <w:rPr>
          <w:rFonts w:hint="eastAsia" w:ascii="Times New Roman" w:hAnsi="Times New Roman" w:eastAsia="仿宋" w:cs="Times New Roman"/>
          <w:sz w:val="32"/>
          <w:szCs w:val="32"/>
        </w:rPr>
        <w:t>项目支出减少</w:t>
      </w:r>
      <w:r>
        <w:rPr>
          <w:rFonts w:hint="eastAsia" w:ascii="Times New Roman" w:hAnsi="Times New Roman" w:eastAsia="仿宋" w:cs="Times New Roman"/>
          <w:sz w:val="32"/>
          <w:szCs w:val="32"/>
          <w:lang w:val="en-US" w:eastAsia="zh-CN"/>
        </w:rPr>
        <w:t>2.23</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，主要是今年减少一个项目。</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11.47</w:t>
      </w:r>
      <w:r>
        <w:rPr>
          <w:rFonts w:hint="eastAsia" w:ascii="Times New Roman" w:hAnsi="Times New Roman" w:eastAsia="仿宋" w:cs="Times New Roman"/>
          <w:sz w:val="32"/>
          <w:szCs w:val="32"/>
        </w:rPr>
        <w:t>万元，主要用于保证机关正常运转的办公及印刷费、工会经费、福利费、党组织活动经费等支出。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val="en-US" w:eastAsia="zh-CN"/>
        </w:rPr>
        <w:t>部门</w:t>
      </w:r>
      <w:r>
        <w:rPr>
          <w:rFonts w:hint="eastAsia" w:ascii="Times New Roman" w:hAnsi="Times New Roman" w:eastAsia="仿宋" w:cs="Times New Roman"/>
          <w:sz w:val="32"/>
          <w:szCs w:val="32"/>
        </w:rPr>
        <w:t>财政拨款“三公”经费预算安排0.76万元，其中：因公出国（境）费0万元；公务用车购置</w:t>
      </w:r>
      <w:r>
        <w:rPr>
          <w:rFonts w:hint="eastAsia" w:ascii="Times New Roman" w:hAnsi="Times New Roman" w:eastAsia="仿宋" w:cs="Times New Roman"/>
          <w:sz w:val="32"/>
          <w:szCs w:val="32"/>
          <w:lang w:val="en-US" w:eastAsia="zh-CN"/>
        </w:rPr>
        <w:t>费</w:t>
      </w:r>
      <w:r>
        <w:rPr>
          <w:rFonts w:hint="eastAsia" w:ascii="Times New Roman" w:hAnsi="Times New Roman" w:eastAsia="仿宋" w:cs="Times New Roman"/>
          <w:sz w:val="32"/>
          <w:szCs w:val="32"/>
        </w:rPr>
        <w:t>及</w:t>
      </w:r>
      <w:r>
        <w:rPr>
          <w:rFonts w:hint="eastAsia" w:ascii="Times New Roman" w:hAnsi="Times New Roman" w:eastAsia="仿宋" w:cs="Times New Roman"/>
          <w:sz w:val="32"/>
          <w:szCs w:val="32"/>
          <w:lang w:val="en-US" w:eastAsia="zh-CN"/>
        </w:rPr>
        <w:t>公务用车</w:t>
      </w:r>
      <w:r>
        <w:rPr>
          <w:rFonts w:hint="eastAsia" w:ascii="Times New Roman" w:hAnsi="Times New Roman" w:eastAsia="仿宋" w:cs="Times New Roman"/>
          <w:sz w:val="32"/>
          <w:szCs w:val="32"/>
        </w:rPr>
        <w:t>运</w:t>
      </w:r>
      <w:r>
        <w:rPr>
          <w:rFonts w:hint="eastAsia" w:ascii="Times New Roman" w:hAnsi="Times New Roman" w:eastAsia="仿宋" w:cs="Times New Roman"/>
          <w:sz w:val="32"/>
          <w:szCs w:val="32"/>
          <w:lang w:val="en-US" w:eastAsia="zh-CN"/>
        </w:rPr>
        <w:t>行</w:t>
      </w:r>
      <w:r>
        <w:rPr>
          <w:rFonts w:hint="eastAsia" w:ascii="Times New Roman" w:hAnsi="Times New Roman" w:eastAsia="仿宋" w:cs="Times New Roman"/>
          <w:sz w:val="32"/>
          <w:szCs w:val="32"/>
        </w:rPr>
        <w:t>费0万元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其中</w:t>
      </w:r>
      <w:r>
        <w:rPr>
          <w:rFonts w:hint="eastAsia" w:ascii="Times New Roman" w:hAnsi="Times New Roman" w:eastAsia="仿宋" w:cs="Times New Roman"/>
          <w:sz w:val="32"/>
          <w:szCs w:val="32"/>
        </w:rPr>
        <w:t>公务用车购置</w:t>
      </w:r>
      <w:r>
        <w:rPr>
          <w:rFonts w:hint="eastAsia" w:ascii="Times New Roman" w:hAnsi="Times New Roman" w:eastAsia="仿宋" w:cs="Times New Roman"/>
          <w:sz w:val="32"/>
          <w:szCs w:val="32"/>
          <w:lang w:val="en-US" w:eastAsia="zh-CN"/>
        </w:rPr>
        <w:t>费</w:t>
      </w:r>
      <w:r>
        <w:rPr>
          <w:rFonts w:hint="eastAsia" w:ascii="Times New Roman" w:hAnsi="Times New Roman" w:eastAsia="仿宋" w:cs="Times New Roman"/>
          <w:sz w:val="32"/>
          <w:szCs w:val="32"/>
        </w:rPr>
        <w:t>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公务用车</w:t>
      </w:r>
      <w:r>
        <w:rPr>
          <w:rFonts w:hint="eastAsia" w:ascii="Times New Roman" w:hAnsi="Times New Roman" w:eastAsia="仿宋" w:cs="Times New Roman"/>
          <w:sz w:val="32"/>
          <w:szCs w:val="32"/>
        </w:rPr>
        <w:t>运</w:t>
      </w:r>
      <w:r>
        <w:rPr>
          <w:rFonts w:hint="eastAsia" w:ascii="Times New Roman" w:hAnsi="Times New Roman" w:eastAsia="仿宋" w:cs="Times New Roman"/>
          <w:sz w:val="32"/>
          <w:szCs w:val="32"/>
          <w:lang w:val="en-US" w:eastAsia="zh-CN"/>
        </w:rPr>
        <w:t>行</w:t>
      </w:r>
      <w:bookmarkStart w:id="8" w:name="_GoBack"/>
      <w:bookmarkEnd w:id="8"/>
      <w:r>
        <w:rPr>
          <w:rFonts w:hint="eastAsia" w:ascii="Times New Roman" w:hAnsi="Times New Roman" w:eastAsia="仿宋" w:cs="Times New Roman"/>
          <w:sz w:val="32"/>
          <w:szCs w:val="32"/>
        </w:rPr>
        <w:t>费0万元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；公务接待费0.76万元。</w:t>
      </w:r>
      <w:r>
        <w:rPr>
          <w:rFonts w:hint="eastAsia" w:ascii="Times New Roman" w:hAnsi="Times New Roman" w:eastAsia="仿宋" w:cs="Times New Roman"/>
          <w:sz w:val="32"/>
          <w:szCs w:val="32"/>
          <w:lang w:val="en-US" w:eastAsia="zh-CN"/>
        </w:rPr>
        <w:t>与2020年相比无变化。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第一部分部门整体绩效目标</w:t>
      </w:r>
    </w:p>
    <w:p>
      <w:pPr>
        <w:numPr>
          <w:ilvl w:val="0"/>
          <w:numId w:val="1"/>
        </w:num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总体绩效目标</w:t>
      </w:r>
    </w:p>
    <w:p>
      <w:pPr>
        <w:autoSpaceDE w:val="0"/>
        <w:autoSpaceDN w:val="0"/>
        <w:adjustRightInd w:val="0"/>
        <w:ind w:left="838"/>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r>
        <w:rPr>
          <w:rFonts w:hint="eastAsia" w:ascii="Times New Roman" w:hAnsi="Times New Roman" w:eastAsia="仿宋" w:cs="Times New Roman"/>
          <w:sz w:val="32"/>
          <w:szCs w:val="32"/>
        </w:rPr>
        <w:t>1、提高政治站位，增强机构编制工作的服务能力</w:t>
      </w:r>
    </w:p>
    <w:p>
      <w:pPr>
        <w:autoSpaceDE w:val="0"/>
        <w:autoSpaceDN w:val="0"/>
        <w:adjustRightInd w:val="0"/>
        <w:ind w:left="838"/>
        <w:jc w:val="left"/>
        <w:rPr>
          <w:rFonts w:ascii="Times New Roman" w:hAnsi="Times New Roman" w:eastAsia="方正仿宋_GBK" w:cs="Times New Roman"/>
          <w:b/>
          <w:sz w:val="32"/>
          <w:szCs w:val="32"/>
        </w:rPr>
      </w:pPr>
      <w:r>
        <w:rPr>
          <w:rFonts w:hint="eastAsia" w:ascii="Times New Roman" w:hAnsi="Times New Roman" w:eastAsia="仿宋" w:cs="Times New Roman"/>
          <w:sz w:val="32"/>
          <w:szCs w:val="32"/>
        </w:rPr>
        <w:t>2、坚持原则，高标准完成党政机构改革各项任务</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3、稳妥有序，统筹推进重点领域体制改革</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4、主动作为，进一步加强和规范人员管理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5、狠抓落实，强化机构编制日常管理</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1、</w:t>
      </w:r>
      <w:r>
        <w:rPr>
          <w:rFonts w:hint="eastAsia" w:ascii="Times New Roman" w:hAnsi="Times New Roman" w:eastAsia="仿宋" w:cs="Times New Roman"/>
          <w:sz w:val="32"/>
          <w:szCs w:val="32"/>
          <w:lang w:eastAsia="zh-CN"/>
        </w:rPr>
        <w:t>继续推进事业单位改革</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hint="eastAsia" w:ascii="Times New Roman" w:hAnsi="Times New Roman" w:eastAsia="仿宋" w:cs="Times New Roman"/>
          <w:sz w:val="32"/>
          <w:szCs w:val="32"/>
          <w:lang w:eastAsia="zh-CN"/>
        </w:rPr>
        <w:t>继续</w:t>
      </w:r>
      <w:r>
        <w:rPr>
          <w:rFonts w:hint="eastAsia" w:ascii="Times New Roman" w:hAnsi="Times New Roman" w:eastAsia="仿宋" w:cs="Times New Roman"/>
          <w:sz w:val="32"/>
          <w:szCs w:val="32"/>
        </w:rPr>
        <w:t>推进综合执法改革</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3、</w:t>
      </w:r>
      <w:r>
        <w:rPr>
          <w:rFonts w:hint="eastAsia" w:ascii="Times New Roman" w:hAnsi="Times New Roman" w:eastAsia="仿宋" w:cs="Times New Roman"/>
          <w:sz w:val="32"/>
          <w:szCs w:val="32"/>
          <w:lang w:eastAsia="zh-CN"/>
        </w:rPr>
        <w:t>完成政府部门权责清单编制工作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、进一步加强和规范人员管理</w:t>
      </w:r>
    </w:p>
    <w:p>
      <w:pPr>
        <w:autoSpaceDE w:val="0"/>
        <w:autoSpaceDN w:val="0"/>
        <w:adjustRightInd w:val="0"/>
        <w:ind w:left="198"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5、强化机构编制日常工作</w:t>
      </w:r>
    </w:p>
    <w:p>
      <w:pPr>
        <w:autoSpaceDE w:val="0"/>
        <w:autoSpaceDN w:val="0"/>
        <w:adjustRightInd w:val="0"/>
        <w:ind w:firstLine="800" w:firstLineChars="25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立足县域实际，深入调查研究。深入单位调查，收集个部门对机构编制管理的意见建议，深入重点领域部门实地座谈，对各单位的机构、职能、编制和实有人员状况进行详细摸底，准确掌握各单位的基本情况及存在的问题。</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2、强化机构评估，优化机构设置。围绕县域机构设置进行跟踪评估，及时完善机构配备，建立完善、科学规范的党政机构职能体系。</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3、规范流程机制，强化督查落实。强化业务指导，对照机构改革方案几新的“三定”规定，明确依托实名制体系办理出入编手续工作流程、操作规范，进一步提升实名制管理规范化、科学化水平。</w:t>
      </w: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第二部分预算项目绩效目标</w:t>
      </w:r>
    </w:p>
    <w:p>
      <w:pPr>
        <w:ind w:firstLine="560" w:firstLine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rPr>
        <w:t>1、</w:t>
      </w:r>
      <w:r>
        <w:rPr>
          <w:rFonts w:hint="eastAsia" w:ascii="方正仿宋_GBK" w:hAnsi="方正仿宋_GBK" w:eastAsia="方正仿宋_GBK" w:cs="方正仿宋_GBK"/>
          <w:b/>
          <w:sz w:val="28"/>
          <w:lang w:eastAsia="zh-CN"/>
        </w:rPr>
        <w:t>机构编制管理</w:t>
      </w:r>
      <w:r>
        <w:rPr>
          <w:rFonts w:hint="eastAsia" w:ascii="方正仿宋_GBK" w:hAnsi="方正仿宋_GBK" w:eastAsia="方正仿宋_GBK" w:cs="方正仿宋_GBK"/>
          <w:b/>
          <w:sz w:val="28"/>
        </w:rPr>
        <w:t>经费绩效目标表</w:t>
      </w:r>
      <w:bookmarkStart w:id="4" w:name="_Toc26779"/>
    </w:p>
    <w:p>
      <w:pPr>
        <w:ind w:firstLine="420" w:firstLineChars="200"/>
        <w:jc w:val="left"/>
        <w:outlineLvl w:val="1"/>
        <w:rPr>
          <w:rFonts w:hint="eastAsia"/>
        </w:rPr>
      </w:pPr>
    </w:p>
    <w:p>
      <w:pPr>
        <w:spacing w:line="300" w:lineRule="exact"/>
        <w:jc w:val="left"/>
        <w:rPr>
          <w:rFonts w:hint="eastAsia"/>
        </w:rPr>
      </w:pPr>
      <w:r>
        <w:rPr>
          <w:rFonts w:hint="eastAsia" w:ascii="方正书宋_GBK" w:hAnsi="方正书宋_GBK" w:eastAsia="方正书宋_GBK" w:cs="方正书宋_GBK"/>
          <w:b w:val="0"/>
          <w:bCs/>
        </w:rPr>
        <w:t>22500</w:t>
      </w:r>
      <w:r>
        <w:rPr>
          <w:rFonts w:hint="eastAsia" w:ascii="方正书宋_GBK" w:hAnsi="方正书宋_GBK" w:eastAsia="方正书宋_GBK" w:cs="方正书宋_GBK"/>
          <w:b w:val="0"/>
          <w:bCs/>
          <w:lang w:val="en-US" w:eastAsia="zh-CN"/>
        </w:rPr>
        <w:t>1</w:t>
      </w:r>
      <w:r>
        <w:rPr>
          <w:rFonts w:hint="eastAsia" w:ascii="方正书宋_GBK" w:hAnsi="方正书宋_GBK" w:eastAsia="方正书宋_GBK" w:cs="方正书宋_GBK"/>
          <w:b w:val="0"/>
          <w:bCs/>
        </w:rPr>
        <w:t>中共隆尧县委机构编制委员会办公室</w:t>
      </w:r>
      <w:r>
        <w:rPr>
          <w:rFonts w:hint="eastAsia" w:ascii="方正书宋_GBK" w:hAnsi="方正书宋_GBK" w:eastAsia="方正书宋_GBK" w:cs="方正书宋_GBK"/>
          <w:b w:val="0"/>
          <w:bCs/>
          <w:lang w:eastAsia="zh-CN"/>
        </w:rPr>
        <w:t>本级</w:t>
      </w:r>
    </w:p>
    <w:tbl>
      <w:tblPr>
        <w:tblStyle w:val="9"/>
        <w:tblW w:w="932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
      <w:tblGrid>
        <w:gridCol w:w="545"/>
        <w:gridCol w:w="967"/>
        <w:gridCol w:w="1068"/>
        <w:gridCol w:w="2115"/>
        <w:gridCol w:w="802"/>
        <w:gridCol w:w="534"/>
        <w:gridCol w:w="1245"/>
        <w:gridCol w:w="999"/>
        <w:gridCol w:w="104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1512" w:type="dxa"/>
            <w:gridSpan w:val="2"/>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项目编码</w:t>
            </w:r>
          </w:p>
        </w:tc>
        <w:tc>
          <w:tcPr>
            <w:tcW w:w="3183" w:type="dxa"/>
            <w:gridSpan w:val="2"/>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225-0501-JXN-2GBN</w:t>
            </w:r>
          </w:p>
        </w:tc>
        <w:tc>
          <w:tcPr>
            <w:tcW w:w="802"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项目名称</w:t>
            </w:r>
          </w:p>
        </w:tc>
        <w:tc>
          <w:tcPr>
            <w:tcW w:w="3825" w:type="dxa"/>
            <w:gridSpan w:val="4"/>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机构编制管理经费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1512" w:type="dxa"/>
            <w:gridSpan w:val="2"/>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主管部门及代码</w:t>
            </w:r>
          </w:p>
        </w:tc>
        <w:tc>
          <w:tcPr>
            <w:tcW w:w="3183" w:type="dxa"/>
            <w:gridSpan w:val="2"/>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【225】中共隆尧县委机构编制委员会</w:t>
            </w:r>
          </w:p>
        </w:tc>
        <w:tc>
          <w:tcPr>
            <w:tcW w:w="802"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实施单位</w:t>
            </w:r>
          </w:p>
        </w:tc>
        <w:tc>
          <w:tcPr>
            <w:tcW w:w="3825" w:type="dxa"/>
            <w:gridSpan w:val="4"/>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【225001】中共隆尧县委机构编制委员会办公室本级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00" w:hRule="atLeast"/>
        </w:trPr>
        <w:tc>
          <w:tcPr>
            <w:tcW w:w="4695" w:type="dxa"/>
            <w:gridSpan w:val="4"/>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4627" w:type="dxa"/>
            <w:gridSpan w:val="5"/>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vMerge w:val="restart"/>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8777" w:type="dxa"/>
            <w:gridSpan w:val="8"/>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中长期目标（2021年-9998年）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vMerge w:val="continue"/>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67"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810" w:type="dxa"/>
            <w:gridSpan w:val="7"/>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审核管理全县各类人员编制总额，开展机构编制实名制管理和编制使用核准。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vMerge w:val="continue"/>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67"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810" w:type="dxa"/>
            <w:gridSpan w:val="7"/>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对机构编制执行情况跟踪评估和监督检查。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vMerge w:val="restart"/>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967" w:type="dxa"/>
            <w:vMerge w:val="restart"/>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068" w:type="dxa"/>
            <w:vMerge w:val="restart"/>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115" w:type="dxa"/>
            <w:vMerge w:val="restart"/>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指标说明</w:t>
            </w:r>
          </w:p>
        </w:tc>
        <w:tc>
          <w:tcPr>
            <w:tcW w:w="2581" w:type="dxa"/>
            <w:gridSpan w:val="3"/>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999" w:type="dxa"/>
            <w:vMerge w:val="restart"/>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c>
          <w:tcPr>
            <w:tcW w:w="1047" w:type="dxa"/>
            <w:vMerge w:val="restart"/>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vMerge w:val="continue"/>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67" w:type="dxa"/>
            <w:vMerge w:val="continue"/>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1068" w:type="dxa"/>
            <w:vMerge w:val="continue"/>
            <w:shd w:val="clear" w:color="auto" w:fill="auto"/>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2115" w:type="dxa"/>
            <w:vMerge w:val="continue"/>
            <w:shd w:val="clear" w:color="auto" w:fill="auto"/>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802" w:type="dxa"/>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34" w:type="dxa"/>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245" w:type="dxa"/>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999" w:type="dxa"/>
            <w:vMerge w:val="continue"/>
            <w:shd w:val="clear" w:color="auto" w:fill="auto"/>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1047" w:type="dxa"/>
            <w:vMerge w:val="continue"/>
            <w:shd w:val="clear" w:color="auto" w:fill="auto"/>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00" w:hRule="atLeast"/>
        </w:trPr>
        <w:tc>
          <w:tcPr>
            <w:tcW w:w="545" w:type="dxa"/>
            <w:vMerge w:val="restart"/>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967"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068"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覆盖率</w:t>
            </w:r>
          </w:p>
        </w:tc>
        <w:tc>
          <w:tcPr>
            <w:tcW w:w="211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审批目标，实名制</w:t>
            </w:r>
          </w:p>
        </w:tc>
        <w:tc>
          <w:tcPr>
            <w:tcW w:w="802"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34" w:type="dxa"/>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4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999"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047"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vMerge w:val="continue"/>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67"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068"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其他各项综合实务工作完成率</w:t>
            </w:r>
          </w:p>
        </w:tc>
        <w:tc>
          <w:tcPr>
            <w:tcW w:w="211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其他各项综合实务工作完成率</w:t>
            </w:r>
          </w:p>
        </w:tc>
        <w:tc>
          <w:tcPr>
            <w:tcW w:w="802"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34" w:type="dxa"/>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18"/>
                <w:szCs w:val="18"/>
                <w:u w:val="none"/>
              </w:rPr>
            </w:pPr>
          </w:p>
        </w:tc>
        <w:tc>
          <w:tcPr>
            <w:tcW w:w="124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较好</w:t>
            </w:r>
          </w:p>
        </w:tc>
        <w:tc>
          <w:tcPr>
            <w:tcW w:w="999"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047"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545" w:type="dxa"/>
            <w:vMerge w:val="continue"/>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67"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068"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经费开支</w:t>
            </w:r>
          </w:p>
        </w:tc>
        <w:tc>
          <w:tcPr>
            <w:tcW w:w="211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经费开支</w:t>
            </w:r>
          </w:p>
        </w:tc>
        <w:tc>
          <w:tcPr>
            <w:tcW w:w="802"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34" w:type="dxa"/>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18"/>
                <w:szCs w:val="18"/>
                <w:u w:val="none"/>
              </w:rPr>
            </w:pPr>
          </w:p>
        </w:tc>
        <w:tc>
          <w:tcPr>
            <w:tcW w:w="124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较好</w:t>
            </w:r>
          </w:p>
        </w:tc>
        <w:tc>
          <w:tcPr>
            <w:tcW w:w="999"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047"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vMerge w:val="continue"/>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67"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068"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工作任务完成及时率</w:t>
            </w:r>
          </w:p>
        </w:tc>
        <w:tc>
          <w:tcPr>
            <w:tcW w:w="211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工作任务完成及时率</w:t>
            </w:r>
          </w:p>
        </w:tc>
        <w:tc>
          <w:tcPr>
            <w:tcW w:w="802"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34" w:type="dxa"/>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18"/>
                <w:szCs w:val="18"/>
                <w:u w:val="none"/>
              </w:rPr>
            </w:pPr>
          </w:p>
        </w:tc>
        <w:tc>
          <w:tcPr>
            <w:tcW w:w="124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较好</w:t>
            </w:r>
          </w:p>
        </w:tc>
        <w:tc>
          <w:tcPr>
            <w:tcW w:w="999"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047"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效益指标</w:t>
            </w:r>
          </w:p>
        </w:tc>
        <w:tc>
          <w:tcPr>
            <w:tcW w:w="967"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068"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参与政府决策活动次数</w:t>
            </w:r>
          </w:p>
        </w:tc>
        <w:tc>
          <w:tcPr>
            <w:tcW w:w="211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参与决策咨询活动次数</w:t>
            </w:r>
          </w:p>
        </w:tc>
        <w:tc>
          <w:tcPr>
            <w:tcW w:w="802"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34" w:type="dxa"/>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4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999"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047"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45" w:type="dxa"/>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967" w:type="dxa"/>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068"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211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审批目标完成情况、实名制推行情况</w:t>
            </w:r>
          </w:p>
        </w:tc>
        <w:tc>
          <w:tcPr>
            <w:tcW w:w="802" w:type="dxa"/>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34" w:type="dxa"/>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45"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999"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047"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bl>
    <w:p>
      <w:pPr>
        <w:ind w:firstLine="420" w:firstLineChars="200"/>
        <w:jc w:val="left"/>
        <w:outlineLvl w:val="1"/>
        <w:rPr>
          <w:rFonts w:hint="eastAsia"/>
        </w:rPr>
      </w:pPr>
    </w:p>
    <w:p>
      <w:pPr>
        <w:ind w:firstLine="420" w:firstLineChars="200"/>
        <w:jc w:val="left"/>
        <w:outlineLvl w:val="1"/>
        <w:rPr>
          <w:rFonts w:hint="eastAsia"/>
        </w:rPr>
      </w:pPr>
    </w:p>
    <w:p>
      <w:pPr>
        <w:ind w:firstLine="420" w:firstLineChars="200"/>
        <w:jc w:val="left"/>
        <w:outlineLvl w:val="1"/>
        <w:rPr>
          <w:rFonts w:hint="eastAsia"/>
        </w:rPr>
      </w:pPr>
    </w:p>
    <w:p>
      <w:pPr>
        <w:ind w:firstLine="420" w:firstLineChars="200"/>
        <w:jc w:val="left"/>
        <w:outlineLvl w:val="1"/>
        <w:rPr>
          <w:rFonts w:hint="eastAsia"/>
        </w:rPr>
      </w:pPr>
    </w:p>
    <w:p>
      <w:pPr>
        <w:ind w:firstLine="420" w:firstLineChars="200"/>
        <w:jc w:val="left"/>
        <w:outlineLvl w:val="1"/>
        <w:rPr>
          <w:rFonts w:hint="eastAsia"/>
        </w:rPr>
      </w:pPr>
    </w:p>
    <w:p>
      <w:pPr>
        <w:ind w:firstLine="420" w:firstLineChars="200"/>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1、电子政务内网专项经费绩效目标表 \f C \l 1 </w:instrText>
      </w:r>
      <w:r>
        <w:rPr>
          <w:rFonts w:hint="eastAsia" w:ascii="方正仿宋_GBK" w:hAnsi="方正仿宋_GBK" w:eastAsia="方正仿宋_GBK" w:cs="方正仿宋_GBK"/>
          <w:b/>
          <w:sz w:val="28"/>
        </w:rPr>
        <w:fldChar w:fldCharType="end"/>
      </w:r>
      <w:bookmarkEnd w:id="4"/>
    </w:p>
    <w:p>
      <w:pPr>
        <w:spacing w:line="14" w:lineRule="exact"/>
        <w:ind w:firstLine="420" w:firstLineChars="200"/>
        <w:jc w:val="center"/>
        <w:rPr>
          <w:rFonts w:ascii="Times New Roman" w:hAnsi="宋体" w:cs="宋体"/>
          <w:b w:val="0"/>
          <w:bCs/>
        </w:rPr>
      </w:pPr>
      <w:r>
        <w:rPr>
          <w:rFonts w:hint="eastAsia" w:ascii="方正书宋_GBK" w:hAnsi="方正书宋_GBK" w:eastAsia="方正书宋_GBK" w:cs="方正书宋_GBK"/>
          <w:b w:val="0"/>
          <w:bCs/>
        </w:rPr>
        <w:t xml:space="preserve"> </w:t>
      </w:r>
    </w:p>
    <w:p>
      <w:pPr>
        <w:ind w:firstLine="560" w:firstLineChars="200"/>
        <w:jc w:val="left"/>
        <w:outlineLvl w:val="1"/>
        <w:rPr>
          <w:rFonts w:ascii="方正仿宋_GBK" w:hAnsi="方正仿宋_GBK" w:eastAsia="方正仿宋_GBK" w:cs="方正仿宋_GBK"/>
          <w:b w:val="0"/>
          <w:bCs/>
          <w:sz w:val="28"/>
        </w:rPr>
      </w:pPr>
    </w:p>
    <w:p>
      <w:pPr>
        <w:numPr>
          <w:ilvl w:val="0"/>
          <w:numId w:val="0"/>
        </w:numPr>
        <w:jc w:val="left"/>
        <w:outlineLvl w:val="1"/>
        <w:rPr>
          <w:rFonts w:hint="eastAsia" w:ascii="方正仿宋_GBK" w:hAnsi="方正仿宋_GBK" w:eastAsia="方正仿宋_GBK" w:cs="方正仿宋_GBK"/>
          <w:b w:val="0"/>
          <w:bCs/>
          <w:sz w:val="28"/>
        </w:rPr>
      </w:pPr>
    </w:p>
    <w:p>
      <w:pPr>
        <w:numPr>
          <w:ilvl w:val="0"/>
          <w:numId w:val="2"/>
        </w:numPr>
        <w:ind w:firstLine="560" w:firstLineChars="200"/>
        <w:jc w:val="left"/>
        <w:outlineLvl w:val="1"/>
        <w:rPr>
          <w:rFonts w:hint="eastAsia" w:ascii="方正仿宋_GBK" w:hAnsi="方正仿宋_GBK" w:eastAsia="方正仿宋_GBK" w:cs="方正仿宋_GBK"/>
          <w:b w:val="0"/>
          <w:bCs/>
          <w:sz w:val="28"/>
        </w:rPr>
      </w:pPr>
      <w:r>
        <w:rPr>
          <w:rFonts w:hint="eastAsia" w:ascii="方正仿宋_GBK" w:hAnsi="方正仿宋_GBK" w:eastAsia="方正仿宋_GBK" w:cs="方正仿宋_GBK"/>
          <w:b w:val="0"/>
          <w:bCs/>
          <w:sz w:val="28"/>
        </w:rPr>
        <w:t>中文域名</w:t>
      </w:r>
      <w:r>
        <w:rPr>
          <w:rFonts w:hint="eastAsia" w:ascii="方正仿宋_GBK" w:hAnsi="方正仿宋_GBK" w:eastAsia="方正仿宋_GBK" w:cs="方正仿宋_GBK"/>
          <w:b w:val="0"/>
          <w:bCs/>
          <w:sz w:val="28"/>
          <w:lang w:eastAsia="zh-CN"/>
        </w:rPr>
        <w:t>维护</w:t>
      </w:r>
      <w:r>
        <w:rPr>
          <w:rFonts w:hint="eastAsia" w:ascii="方正仿宋_GBK" w:hAnsi="方正仿宋_GBK" w:eastAsia="方正仿宋_GBK" w:cs="方正仿宋_GBK"/>
          <w:b w:val="0"/>
          <w:bCs/>
          <w:sz w:val="28"/>
        </w:rPr>
        <w:t>费绩效目标表</w:t>
      </w:r>
      <w:bookmarkStart w:id="5" w:name="_Toc31136"/>
    </w:p>
    <w:p>
      <w:pPr>
        <w:spacing w:line="300" w:lineRule="exact"/>
        <w:jc w:val="left"/>
        <w:rPr>
          <w:rFonts w:hint="eastAsia" w:ascii="方正仿宋_GBK" w:hAnsi="方正仿宋_GBK" w:eastAsia="方正书宋_GBK" w:cs="方正仿宋_GBK"/>
          <w:b w:val="0"/>
          <w:bCs/>
          <w:sz w:val="28"/>
          <w:lang w:eastAsia="zh-CN"/>
        </w:rPr>
      </w:pPr>
      <w:r>
        <w:rPr>
          <w:rFonts w:hint="eastAsia" w:ascii="方正书宋_GBK" w:hAnsi="方正书宋_GBK" w:eastAsia="方正书宋_GBK" w:cs="方正书宋_GBK"/>
          <w:b w:val="0"/>
          <w:bCs/>
        </w:rPr>
        <w:t>22500</w:t>
      </w:r>
      <w:r>
        <w:rPr>
          <w:rFonts w:hint="eastAsia" w:ascii="方正书宋_GBK" w:hAnsi="方正书宋_GBK" w:eastAsia="方正书宋_GBK" w:cs="方正书宋_GBK"/>
          <w:b w:val="0"/>
          <w:bCs/>
          <w:lang w:val="en-US" w:eastAsia="zh-CN"/>
        </w:rPr>
        <w:t>1</w:t>
      </w:r>
      <w:r>
        <w:rPr>
          <w:rFonts w:hint="eastAsia" w:ascii="方正书宋_GBK" w:hAnsi="方正书宋_GBK" w:eastAsia="方正书宋_GBK" w:cs="方正书宋_GBK"/>
          <w:b w:val="0"/>
          <w:bCs/>
        </w:rPr>
        <w:t>中共隆尧县委机构编制委员会办公室</w:t>
      </w:r>
      <w:r>
        <w:rPr>
          <w:rFonts w:hint="eastAsia" w:ascii="方正书宋_GBK" w:hAnsi="方正书宋_GBK" w:eastAsia="方正书宋_GBK" w:cs="方正书宋_GBK"/>
          <w:b w:val="0"/>
          <w:bCs/>
          <w:lang w:eastAsia="zh-CN"/>
        </w:rPr>
        <w:t>本级</w:t>
      </w:r>
    </w:p>
    <w:tbl>
      <w:tblPr>
        <w:tblStyle w:val="9"/>
        <w:tblW w:w="932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
      <w:tblGrid>
        <w:gridCol w:w="510"/>
        <w:gridCol w:w="904"/>
        <w:gridCol w:w="1054"/>
        <w:gridCol w:w="2090"/>
        <w:gridCol w:w="791"/>
        <w:gridCol w:w="527"/>
        <w:gridCol w:w="1231"/>
        <w:gridCol w:w="1053"/>
        <w:gridCol w:w="116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1414" w:type="dxa"/>
            <w:gridSpan w:val="2"/>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项目编码</w:t>
            </w:r>
          </w:p>
        </w:tc>
        <w:tc>
          <w:tcPr>
            <w:tcW w:w="3144" w:type="dxa"/>
            <w:gridSpan w:val="2"/>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225-0502-JXN-N4PB</w:t>
            </w:r>
          </w:p>
        </w:tc>
        <w:tc>
          <w:tcPr>
            <w:tcW w:w="791" w:type="dxa"/>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项目名称</w:t>
            </w:r>
          </w:p>
        </w:tc>
        <w:tc>
          <w:tcPr>
            <w:tcW w:w="3973" w:type="dxa"/>
            <w:gridSpan w:val="4"/>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中文域名维护费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1414" w:type="dxa"/>
            <w:gridSpan w:val="2"/>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主管部门及代码</w:t>
            </w:r>
          </w:p>
        </w:tc>
        <w:tc>
          <w:tcPr>
            <w:tcW w:w="3144" w:type="dxa"/>
            <w:gridSpan w:val="2"/>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【225】中共隆尧县委机构编制委员会</w:t>
            </w:r>
          </w:p>
        </w:tc>
        <w:tc>
          <w:tcPr>
            <w:tcW w:w="791"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 xml:space="preserve"> 实施单位</w:t>
            </w:r>
          </w:p>
        </w:tc>
        <w:tc>
          <w:tcPr>
            <w:tcW w:w="3973" w:type="dxa"/>
            <w:gridSpan w:val="4"/>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【225001】中共隆尧县委机构编制委员会办公室本级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00" w:hRule="atLeast"/>
        </w:trPr>
        <w:tc>
          <w:tcPr>
            <w:tcW w:w="4558" w:type="dxa"/>
            <w:gridSpan w:val="4"/>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4764" w:type="dxa"/>
            <w:gridSpan w:val="5"/>
            <w:tcBorders>
              <w:tl2br w:val="nil"/>
              <w:tr2bl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10" w:type="dxa"/>
            <w:vMerge w:val="restart"/>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8812" w:type="dxa"/>
            <w:gridSpan w:val="8"/>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中长期目标（2021年-9998年）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10" w:type="dxa"/>
            <w:vMerge w:val="continue"/>
            <w:tcBorders>
              <w:tl2br w:val="nil"/>
              <w:tr2bl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04"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908" w:type="dxa"/>
            <w:gridSpan w:val="7"/>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完成年度全县中文域名续费工作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510" w:type="dxa"/>
            <w:vMerge w:val="continue"/>
            <w:tcBorders>
              <w:tl2br w:val="nil"/>
              <w:tr2bl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04"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908" w:type="dxa"/>
            <w:gridSpan w:val="7"/>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实现中文域名全覆盖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10" w:type="dxa"/>
            <w:vMerge w:val="restart"/>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904" w:type="dxa"/>
            <w:vMerge w:val="restart"/>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054" w:type="dxa"/>
            <w:vMerge w:val="restart"/>
            <w:tcBorders>
              <w:tl2br w:val="nil"/>
              <w:tr2bl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090" w:type="dxa"/>
            <w:vMerge w:val="restart"/>
            <w:tcBorders>
              <w:tl2br w:val="nil"/>
              <w:tr2bl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指标说明</w:t>
            </w:r>
          </w:p>
        </w:tc>
        <w:tc>
          <w:tcPr>
            <w:tcW w:w="2549" w:type="dxa"/>
            <w:gridSpan w:val="3"/>
            <w:tcBorders>
              <w:tl2br w:val="nil"/>
              <w:tr2bl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053" w:type="dxa"/>
            <w:vMerge w:val="restart"/>
            <w:tcBorders>
              <w:tl2br w:val="nil"/>
              <w:tr2bl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c>
          <w:tcPr>
            <w:tcW w:w="1162" w:type="dxa"/>
            <w:vMerge w:val="restart"/>
            <w:tcBorders>
              <w:tl2br w:val="nil"/>
              <w:tr2bl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510" w:type="dxa"/>
            <w:vMerge w:val="continue"/>
            <w:tcBorders>
              <w:tl2br w:val="nil"/>
              <w:tr2bl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04" w:type="dxa"/>
            <w:vMerge w:val="continue"/>
            <w:tcBorders>
              <w:tl2br w:val="nil"/>
              <w:tr2bl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1054" w:type="dxa"/>
            <w:vMerge w:val="continue"/>
            <w:tcBorders>
              <w:tl2br w:val="nil"/>
              <w:tr2bl w:val="nil"/>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2090" w:type="dxa"/>
            <w:vMerge w:val="continue"/>
            <w:tcBorders>
              <w:tl2br w:val="nil"/>
              <w:tr2bl w:val="nil"/>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791"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27"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231"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053" w:type="dxa"/>
            <w:vMerge w:val="continue"/>
            <w:tcBorders>
              <w:tl2br w:val="nil"/>
              <w:tr2bl w:val="nil"/>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1162" w:type="dxa"/>
            <w:vMerge w:val="continue"/>
            <w:tcBorders>
              <w:tl2br w:val="nil"/>
              <w:tr2bl w:val="nil"/>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75" w:hRule="atLeast"/>
        </w:trPr>
        <w:tc>
          <w:tcPr>
            <w:tcW w:w="510" w:type="dxa"/>
            <w:vMerge w:val="restart"/>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904"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054"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中文域名注册覆盖率</w:t>
            </w:r>
          </w:p>
        </w:tc>
        <w:tc>
          <w:tcPr>
            <w:tcW w:w="2090"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县级中文域名注册量占全县机构</w:t>
            </w:r>
          </w:p>
        </w:tc>
        <w:tc>
          <w:tcPr>
            <w:tcW w:w="791"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27"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31" w:type="dxa"/>
            <w:tcBorders>
              <w:tl2br w:val="nil"/>
              <w:tr2bl w:val="nil"/>
            </w:tcBorders>
            <w:shd w:val="clear" w:color="auto" w:fill="auto"/>
            <w:tcMar>
              <w:top w:w="12" w:type="dxa"/>
              <w:left w:w="12" w:type="dxa"/>
              <w:right w:w="12" w:type="dxa"/>
            </w:tcMar>
            <w:vAlign w:val="center"/>
          </w:tcPr>
          <w:p>
            <w:pPr>
              <w:rPr>
                <w:rFonts w:hint="eastAsia" w:ascii="宋体" w:hAnsi="宋体" w:eastAsia="宋体" w:cs="宋体"/>
                <w:i w:val="0"/>
                <w:color w:val="000000"/>
                <w:sz w:val="18"/>
                <w:szCs w:val="18"/>
                <w:u w:val="none"/>
              </w:rPr>
            </w:pPr>
          </w:p>
        </w:tc>
        <w:tc>
          <w:tcPr>
            <w:tcW w:w="1053"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162"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10" w:type="dxa"/>
            <w:vMerge w:val="continue"/>
            <w:tcBorders>
              <w:tl2br w:val="nil"/>
              <w:tr2bl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04"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054"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中文域名及时续费率</w:t>
            </w:r>
          </w:p>
        </w:tc>
        <w:tc>
          <w:tcPr>
            <w:tcW w:w="2090"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及时续费率占总机构数的比例</w:t>
            </w:r>
          </w:p>
        </w:tc>
        <w:tc>
          <w:tcPr>
            <w:tcW w:w="791"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27"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1231" w:type="dxa"/>
            <w:tcBorders>
              <w:tl2br w:val="nil"/>
              <w:tr2bl w:val="nil"/>
            </w:tcBorders>
            <w:shd w:val="clear" w:color="auto" w:fill="auto"/>
            <w:tcMar>
              <w:top w:w="12" w:type="dxa"/>
              <w:left w:w="12" w:type="dxa"/>
              <w:right w:w="12" w:type="dxa"/>
            </w:tcMar>
            <w:vAlign w:val="center"/>
          </w:tcPr>
          <w:p>
            <w:pPr>
              <w:jc w:val="left"/>
              <w:rPr>
                <w:rFonts w:hint="eastAsia" w:ascii="宋体" w:hAnsi="宋体" w:eastAsia="宋体" w:cs="宋体"/>
                <w:i w:val="0"/>
                <w:color w:val="000000"/>
                <w:sz w:val="18"/>
                <w:szCs w:val="18"/>
                <w:u w:val="none"/>
              </w:rPr>
            </w:pPr>
          </w:p>
        </w:tc>
        <w:tc>
          <w:tcPr>
            <w:tcW w:w="1053"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162"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510" w:type="dxa"/>
            <w:vMerge w:val="continue"/>
            <w:tcBorders>
              <w:tl2br w:val="nil"/>
              <w:tr2bl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04"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054"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财政投入</w:t>
            </w:r>
          </w:p>
        </w:tc>
        <w:tc>
          <w:tcPr>
            <w:tcW w:w="2090"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财政投入</w:t>
            </w:r>
          </w:p>
        </w:tc>
        <w:tc>
          <w:tcPr>
            <w:tcW w:w="791"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27" w:type="dxa"/>
            <w:tcBorders>
              <w:tl2br w:val="nil"/>
              <w:tr2bl w:val="nil"/>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18"/>
                <w:szCs w:val="18"/>
                <w:u w:val="none"/>
              </w:rPr>
            </w:pPr>
          </w:p>
        </w:tc>
        <w:tc>
          <w:tcPr>
            <w:tcW w:w="1231"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较好</w:t>
            </w:r>
          </w:p>
        </w:tc>
        <w:tc>
          <w:tcPr>
            <w:tcW w:w="1053"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162"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10" w:type="dxa"/>
            <w:vMerge w:val="continue"/>
            <w:tcBorders>
              <w:tl2br w:val="nil"/>
              <w:tr2bl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18"/>
                <w:szCs w:val="18"/>
                <w:u w:val="none"/>
              </w:rPr>
            </w:pPr>
          </w:p>
        </w:tc>
        <w:tc>
          <w:tcPr>
            <w:tcW w:w="904"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054"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是否放置统一的网站标识</w:t>
            </w:r>
          </w:p>
        </w:tc>
        <w:tc>
          <w:tcPr>
            <w:tcW w:w="2090"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方便公众辨别网站真假</w:t>
            </w:r>
          </w:p>
        </w:tc>
        <w:tc>
          <w:tcPr>
            <w:tcW w:w="791"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27" w:type="dxa"/>
            <w:tcBorders>
              <w:tl2br w:val="nil"/>
              <w:tr2bl w:val="nil"/>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18"/>
                <w:szCs w:val="18"/>
                <w:u w:val="none"/>
              </w:rPr>
            </w:pPr>
          </w:p>
        </w:tc>
        <w:tc>
          <w:tcPr>
            <w:tcW w:w="1231"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较好</w:t>
            </w:r>
          </w:p>
        </w:tc>
        <w:tc>
          <w:tcPr>
            <w:tcW w:w="1053"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162"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0" w:type="dxa"/>
            <w:bottom w:w="0" w:type="dxa"/>
            <w:right w:w="0" w:type="dxa"/>
          </w:tblCellMar>
        </w:tblPrEx>
        <w:trPr>
          <w:trHeight w:val="375" w:hRule="atLeast"/>
        </w:trPr>
        <w:tc>
          <w:tcPr>
            <w:tcW w:w="510"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效益指标</w:t>
            </w:r>
          </w:p>
        </w:tc>
        <w:tc>
          <w:tcPr>
            <w:tcW w:w="904"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054"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规范网站域名和网站名称</w:t>
            </w:r>
          </w:p>
        </w:tc>
        <w:tc>
          <w:tcPr>
            <w:tcW w:w="2090"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保障公众对网站的知情权、参与权和监督权</w:t>
            </w:r>
          </w:p>
        </w:tc>
        <w:tc>
          <w:tcPr>
            <w:tcW w:w="791"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27" w:type="dxa"/>
            <w:tcBorders>
              <w:tl2br w:val="nil"/>
              <w:tr2bl w:val="nil"/>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18"/>
                <w:szCs w:val="18"/>
                <w:u w:val="none"/>
              </w:rPr>
            </w:pPr>
          </w:p>
        </w:tc>
        <w:tc>
          <w:tcPr>
            <w:tcW w:w="1231"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较好</w:t>
            </w:r>
          </w:p>
        </w:tc>
        <w:tc>
          <w:tcPr>
            <w:tcW w:w="1053"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162"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510"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904"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054"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2090"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w:t>
            </w:r>
          </w:p>
        </w:tc>
        <w:tc>
          <w:tcPr>
            <w:tcW w:w="791" w:type="dxa"/>
            <w:tcBorders>
              <w:tl2br w:val="nil"/>
              <w:tr2bl w:val="nil"/>
            </w:tcBorders>
            <w:shd w:val="clear" w:color="auto" w:fill="auto"/>
            <w:noWrap/>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27" w:type="dxa"/>
            <w:tcBorders>
              <w:tl2br w:val="nil"/>
              <w:tr2bl w:val="nil"/>
            </w:tcBorders>
            <w:shd w:val="clear" w:color="auto" w:fill="auto"/>
            <w:noWrap/>
            <w:tcMar>
              <w:top w:w="12" w:type="dxa"/>
              <w:left w:w="12" w:type="dxa"/>
              <w:right w:w="12" w:type="dxa"/>
            </w:tcMar>
            <w:vAlign w:val="center"/>
          </w:tcPr>
          <w:p>
            <w:pPr>
              <w:jc w:val="right"/>
              <w:rPr>
                <w:rFonts w:hint="eastAsia" w:ascii="宋体" w:hAnsi="宋体" w:eastAsia="宋体" w:cs="宋体"/>
                <w:i w:val="0"/>
                <w:color w:val="000000"/>
                <w:sz w:val="18"/>
                <w:szCs w:val="18"/>
                <w:u w:val="none"/>
              </w:rPr>
            </w:pPr>
          </w:p>
        </w:tc>
        <w:tc>
          <w:tcPr>
            <w:tcW w:w="1231"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较好</w:t>
            </w:r>
          </w:p>
        </w:tc>
        <w:tc>
          <w:tcPr>
            <w:tcW w:w="1053"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c>
          <w:tcPr>
            <w:tcW w:w="1162" w:type="dxa"/>
            <w:tcBorders>
              <w:tl2br w:val="nil"/>
              <w:tr2bl w:val="nil"/>
            </w:tcBorders>
            <w:shd w:val="clear" w:color="auto" w:fill="auto"/>
            <w:tcMar>
              <w:top w:w="12" w:type="dxa"/>
              <w:left w:w="12" w:type="dxa"/>
              <w:right w:w="12"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bl>
    <w:p>
      <w:pPr>
        <w:numPr>
          <w:ilvl w:val="0"/>
          <w:numId w:val="0"/>
        </w:numPr>
        <w:jc w:val="left"/>
        <w:outlineLvl w:val="1"/>
        <w:rPr>
          <w:rFonts w:ascii="Times New Roman" w:hAnsi="宋体" w:cs="宋体"/>
          <w:b w:val="0"/>
          <w:bCs/>
          <w:sz w:val="28"/>
        </w:rPr>
      </w:pPr>
      <w:r>
        <w:rPr>
          <w:rFonts w:hint="eastAsia"/>
          <w:b w:val="0"/>
          <w:bCs/>
        </w:rPr>
        <w:fldChar w:fldCharType="begin"/>
      </w:r>
      <w:r>
        <w:rPr>
          <w:rFonts w:hint="eastAsia" w:ascii="方正仿宋_GBK" w:hAnsi="方正仿宋_GBK" w:eastAsia="方正仿宋_GBK" w:cs="方正仿宋_GBK"/>
          <w:b w:val="0"/>
          <w:bCs/>
          <w:sz w:val="28"/>
        </w:rPr>
        <w:instrText xml:space="preserve"> TC 2、机构编制管理经费（中文域名注册费）绩效目标表 \f C \l 1 </w:instrText>
      </w:r>
      <w:r>
        <w:rPr>
          <w:rFonts w:hint="eastAsia" w:ascii="方正仿宋_GBK" w:hAnsi="方正仿宋_GBK" w:eastAsia="方正仿宋_GBK" w:cs="方正仿宋_GBK"/>
          <w:b w:val="0"/>
          <w:bCs/>
          <w:sz w:val="28"/>
        </w:rPr>
        <w:fldChar w:fldCharType="end"/>
      </w:r>
      <w:bookmarkEnd w:id="5"/>
    </w:p>
    <w:p>
      <w:pPr>
        <w:spacing w:line="14" w:lineRule="exact"/>
        <w:ind w:firstLine="420" w:firstLineChars="200"/>
        <w:jc w:val="center"/>
        <w:rPr>
          <w:rFonts w:ascii="Times New Roman" w:hAnsi="宋体" w:cs="宋体"/>
          <w:b w:val="0"/>
          <w:bCs/>
        </w:rPr>
      </w:pPr>
      <w:r>
        <w:rPr>
          <w:rFonts w:hint="eastAsia" w:ascii="方正书宋_GBK" w:hAnsi="方正书宋_GBK" w:eastAsia="方正书宋_GBK" w:cs="方正书宋_GBK"/>
          <w:b w:val="0"/>
          <w:bCs/>
        </w:rPr>
        <w:t xml:space="preserve"> </w:t>
      </w:r>
    </w:p>
    <w:p>
      <w:pPr>
        <w:spacing w:line="300" w:lineRule="exact"/>
        <w:jc w:val="left"/>
        <w:rPr>
          <w:rFonts w:ascii="方正书宋_GBK" w:hAnsi="方正书宋_GBK" w:eastAsia="方正书宋_GBK" w:cs="方正书宋_GBK"/>
          <w:b w:val="0"/>
          <w:bCs/>
        </w:rPr>
        <w:sectPr>
          <w:headerReference r:id="rId3" w:type="default"/>
          <w:footerReference r:id="rId4" w:type="default"/>
          <w:pgSz w:w="11906" w:h="16838"/>
          <w:pgMar w:top="1984" w:right="1304" w:bottom="1134" w:left="1304" w:header="851" w:footer="992" w:gutter="0"/>
          <w:pgBorders>
            <w:top w:val="none" w:sz="0" w:space="0"/>
            <w:left w:val="none" w:sz="0" w:space="0"/>
            <w:bottom w:val="none" w:sz="0" w:space="0"/>
            <w:right w:val="none" w:sz="0" w:space="0"/>
          </w:pgBorders>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6"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w:t>
      </w:r>
      <w:r>
        <w:rPr>
          <w:rFonts w:hint="eastAsia" w:ascii="Times New Roman" w:hAnsi="Times New Roman" w:eastAsia="仿宋" w:cs="Times New Roman"/>
          <w:sz w:val="32"/>
          <w:szCs w:val="24"/>
          <w:lang w:val="en-US" w:eastAsia="zh-CN"/>
        </w:rPr>
        <w:t>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1.52</w:t>
      </w:r>
      <w:r>
        <w:rPr>
          <w:rFonts w:ascii="Times New Roman" w:hAnsi="Times New Roman" w:eastAsia="仿宋" w:cs="Times New Roman"/>
          <w:sz w:val="32"/>
          <w:szCs w:val="24"/>
        </w:rPr>
        <w:t>万元。具体内容见下表。</w:t>
      </w:r>
      <w:bookmarkEnd w:id="6"/>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hint="eastAsia" w:ascii="方正小标宋_GBK" w:eastAsia="方正小标宋_GBK"/>
          <w:sz w:val="32"/>
        </w:rPr>
        <w:instrText xml:space="preserve">TC </w:instrText>
      </w:r>
      <w:bookmarkStart w:id="7" w:name="_Toc28848395"/>
      <w:r>
        <w:rPr>
          <w:rFonts w:hint="eastAsia" w:ascii="方正小标宋_GBK" w:eastAsia="方正小标宋_GBK"/>
          <w:sz w:val="32"/>
        </w:rPr>
        <w:instrText xml:space="preserve">部门政府采购预算</w:instrText>
      </w:r>
      <w:bookmarkEnd w:id="7"/>
      <w:r>
        <w:rPr>
          <w:rFonts w:hint="eastAsia" w:ascii="方正小标宋_GBK" w:eastAsia="方正小标宋_GBK"/>
          <w:sz w:val="32"/>
        </w:rPr>
        <w:instrText xml:space="preserve"> \f A \l 1</w:instrText>
      </w:r>
      <w:r>
        <w:rPr>
          <w:rFonts w:ascii="方正小标宋_GBK" w:eastAsia="方正小标宋_GBK"/>
          <w:sz w:val="32"/>
        </w:rPr>
        <w:fldChar w:fldCharType="end"/>
      </w:r>
    </w:p>
    <w:tbl>
      <w:tblPr>
        <w:tblStyle w:val="9"/>
        <w:tblW w:w="1562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71"/>
        <w:gridCol w:w="1104"/>
        <w:gridCol w:w="1644"/>
        <w:gridCol w:w="1608"/>
        <w:gridCol w:w="598"/>
        <w:gridCol w:w="709"/>
        <w:gridCol w:w="925"/>
        <w:gridCol w:w="1201"/>
        <w:gridCol w:w="1134"/>
        <w:gridCol w:w="851"/>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559"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225中共隆尧县委机构编制委员会办公室</w:t>
            </w:r>
          </w:p>
        </w:tc>
        <w:tc>
          <w:tcPr>
            <w:tcW w:w="6063"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val="en-US"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4075"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644"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608"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598"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25"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063"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971"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0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644" w:type="dxa"/>
            <w:vMerge w:val="continue"/>
            <w:vAlign w:val="center"/>
          </w:tcPr>
          <w:p>
            <w:pPr>
              <w:spacing w:line="300" w:lineRule="exact"/>
              <w:jc w:val="left"/>
              <w:outlineLvl w:val="0"/>
              <w:rPr>
                <w:rFonts w:ascii="Times New Roman" w:eastAsia="方正仿宋_GBK"/>
                <w:sz w:val="28"/>
              </w:rPr>
            </w:pPr>
          </w:p>
        </w:tc>
        <w:tc>
          <w:tcPr>
            <w:tcW w:w="1608" w:type="dxa"/>
            <w:vMerge w:val="continue"/>
            <w:vAlign w:val="center"/>
          </w:tcPr>
          <w:p>
            <w:pPr>
              <w:spacing w:line="300" w:lineRule="exact"/>
              <w:jc w:val="left"/>
              <w:outlineLvl w:val="0"/>
              <w:rPr>
                <w:rFonts w:ascii="Times New Roman" w:eastAsia="方正仿宋_GBK"/>
                <w:sz w:val="28"/>
              </w:rPr>
            </w:pPr>
          </w:p>
        </w:tc>
        <w:tc>
          <w:tcPr>
            <w:tcW w:w="598"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925" w:type="dxa"/>
            <w:vMerge w:val="continue"/>
            <w:vAlign w:val="center"/>
          </w:tcPr>
          <w:p>
            <w:pPr>
              <w:spacing w:line="300" w:lineRule="exact"/>
              <w:jc w:val="left"/>
              <w:outlineLvl w:val="0"/>
              <w:rPr>
                <w:rFonts w:ascii="Times New Roman" w:eastAsia="方正仿宋_GBK"/>
                <w:sz w:val="28"/>
              </w:rPr>
            </w:pPr>
          </w:p>
        </w:tc>
        <w:tc>
          <w:tcPr>
            <w:tcW w:w="120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851"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971"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04" w:type="dxa"/>
            <w:vAlign w:val="center"/>
          </w:tcPr>
          <w:p>
            <w:pPr>
              <w:spacing w:line="300" w:lineRule="exact"/>
              <w:jc w:val="right"/>
              <w:rPr>
                <w:rFonts w:hint="default" w:ascii="方正书宋_GBK" w:eastAsia="方正书宋_GBK"/>
                <w:b/>
                <w:lang w:val="en-US" w:eastAsia="zh-CN"/>
              </w:rPr>
            </w:pPr>
          </w:p>
        </w:tc>
        <w:tc>
          <w:tcPr>
            <w:tcW w:w="1644" w:type="dxa"/>
            <w:vAlign w:val="center"/>
          </w:tcPr>
          <w:p>
            <w:pPr>
              <w:spacing w:line="300" w:lineRule="exact"/>
              <w:jc w:val="left"/>
              <w:rPr>
                <w:rFonts w:ascii="方正书宋_GBK" w:eastAsia="方正书宋_GBK"/>
                <w:b/>
              </w:rPr>
            </w:pPr>
          </w:p>
        </w:tc>
        <w:tc>
          <w:tcPr>
            <w:tcW w:w="1608" w:type="dxa"/>
            <w:vAlign w:val="center"/>
          </w:tcPr>
          <w:p>
            <w:pPr>
              <w:spacing w:line="300" w:lineRule="exact"/>
              <w:jc w:val="left"/>
              <w:rPr>
                <w:rFonts w:ascii="方正书宋_GBK" w:eastAsia="方正书宋_GBK"/>
                <w:b/>
              </w:rPr>
            </w:pPr>
          </w:p>
        </w:tc>
        <w:tc>
          <w:tcPr>
            <w:tcW w:w="598" w:type="dxa"/>
            <w:vAlign w:val="center"/>
          </w:tcPr>
          <w:p>
            <w:pPr>
              <w:spacing w:line="300" w:lineRule="exact"/>
              <w:jc w:val="left"/>
              <w:rPr>
                <w:rFonts w:ascii="方正书宋_GBK" w:eastAsia="方正书宋_GBK"/>
                <w:b/>
              </w:rPr>
            </w:pPr>
          </w:p>
        </w:tc>
        <w:tc>
          <w:tcPr>
            <w:tcW w:w="709" w:type="dxa"/>
            <w:vAlign w:val="center"/>
          </w:tcPr>
          <w:p>
            <w:pPr>
              <w:spacing w:line="300" w:lineRule="exact"/>
              <w:jc w:val="right"/>
              <w:rPr>
                <w:rFonts w:ascii="方正书宋_GBK" w:eastAsia="方正书宋_GBK"/>
                <w:b/>
              </w:rPr>
            </w:pPr>
          </w:p>
        </w:tc>
        <w:tc>
          <w:tcPr>
            <w:tcW w:w="925" w:type="dxa"/>
            <w:vAlign w:val="center"/>
          </w:tcPr>
          <w:p>
            <w:pPr>
              <w:spacing w:line="300" w:lineRule="exact"/>
              <w:jc w:val="right"/>
              <w:rPr>
                <w:rFonts w:ascii="方正书宋_GBK" w:eastAsia="方正书宋_GBK"/>
                <w:b/>
              </w:rPr>
            </w:pPr>
          </w:p>
        </w:tc>
        <w:tc>
          <w:tcPr>
            <w:tcW w:w="1201" w:type="dxa"/>
            <w:vAlign w:val="center"/>
          </w:tcPr>
          <w:p>
            <w:pPr>
              <w:adjustRightInd w:val="0"/>
              <w:snapToGrid w:val="0"/>
              <w:ind w:right="105"/>
              <w:jc w:val="center"/>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1.52</w:t>
            </w:r>
          </w:p>
        </w:tc>
        <w:tc>
          <w:tcPr>
            <w:tcW w:w="1134" w:type="dxa"/>
            <w:vAlign w:val="center"/>
          </w:tcPr>
          <w:p>
            <w:pPr>
              <w:adjustRightInd w:val="0"/>
              <w:snapToGrid w:val="0"/>
              <w:ind w:right="105"/>
              <w:jc w:val="center"/>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1.52</w:t>
            </w:r>
          </w:p>
        </w:tc>
        <w:tc>
          <w:tcPr>
            <w:tcW w:w="851"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971" w:type="dxa"/>
            <w:vAlign w:val="center"/>
          </w:tcPr>
          <w:p>
            <w:pPr>
              <w:spacing w:line="300" w:lineRule="exact"/>
              <w:jc w:val="center"/>
              <w:rPr>
                <w:rFonts w:ascii="方正书宋_GBK" w:eastAsia="方正书宋_GBK"/>
                <w:b/>
              </w:rPr>
            </w:pPr>
            <w:r>
              <w:rPr>
                <w:rFonts w:hint="eastAsia" w:ascii="方正书宋_GBK" w:eastAsia="方正书宋_GBK"/>
                <w:b/>
              </w:rPr>
              <w:t>中共隆尧县委机构编制委员会办公室小计</w:t>
            </w:r>
          </w:p>
        </w:tc>
        <w:tc>
          <w:tcPr>
            <w:tcW w:w="1104" w:type="dxa"/>
            <w:vAlign w:val="center"/>
          </w:tcPr>
          <w:p>
            <w:pPr>
              <w:spacing w:line="300" w:lineRule="exact"/>
              <w:jc w:val="right"/>
              <w:rPr>
                <w:rFonts w:ascii="方正书宋_GBK" w:eastAsia="方正书宋_GBK"/>
                <w:b/>
              </w:rPr>
            </w:pPr>
          </w:p>
        </w:tc>
        <w:tc>
          <w:tcPr>
            <w:tcW w:w="1644" w:type="dxa"/>
            <w:vAlign w:val="center"/>
          </w:tcPr>
          <w:p>
            <w:pPr>
              <w:spacing w:line="300" w:lineRule="exact"/>
              <w:jc w:val="left"/>
              <w:rPr>
                <w:rFonts w:ascii="方正书宋_GBK" w:eastAsia="方正书宋_GBK"/>
                <w:b/>
              </w:rPr>
            </w:pPr>
          </w:p>
        </w:tc>
        <w:tc>
          <w:tcPr>
            <w:tcW w:w="1608" w:type="dxa"/>
            <w:vAlign w:val="center"/>
          </w:tcPr>
          <w:p>
            <w:pPr>
              <w:spacing w:line="300" w:lineRule="exact"/>
              <w:jc w:val="left"/>
              <w:rPr>
                <w:rFonts w:ascii="方正书宋_GBK" w:eastAsia="方正书宋_GBK"/>
                <w:b/>
              </w:rPr>
            </w:pPr>
          </w:p>
        </w:tc>
        <w:tc>
          <w:tcPr>
            <w:tcW w:w="598" w:type="dxa"/>
            <w:vAlign w:val="center"/>
          </w:tcPr>
          <w:p>
            <w:pPr>
              <w:spacing w:line="300" w:lineRule="exact"/>
              <w:jc w:val="left"/>
              <w:rPr>
                <w:rFonts w:ascii="方正书宋_GBK" w:eastAsia="方正书宋_GBK"/>
                <w:b/>
              </w:rPr>
            </w:pPr>
          </w:p>
        </w:tc>
        <w:tc>
          <w:tcPr>
            <w:tcW w:w="709" w:type="dxa"/>
            <w:vAlign w:val="center"/>
          </w:tcPr>
          <w:p>
            <w:pPr>
              <w:spacing w:line="300" w:lineRule="exact"/>
              <w:jc w:val="right"/>
              <w:rPr>
                <w:rFonts w:ascii="方正书宋_GBK" w:eastAsia="方正书宋_GBK"/>
                <w:b/>
              </w:rPr>
            </w:pPr>
          </w:p>
        </w:tc>
        <w:tc>
          <w:tcPr>
            <w:tcW w:w="925" w:type="dxa"/>
            <w:vAlign w:val="center"/>
          </w:tcPr>
          <w:p>
            <w:pPr>
              <w:spacing w:line="300" w:lineRule="exact"/>
              <w:jc w:val="right"/>
              <w:rPr>
                <w:rFonts w:ascii="方正书宋_GBK" w:eastAsia="方正书宋_GBK"/>
                <w:b/>
              </w:rPr>
            </w:pPr>
          </w:p>
        </w:tc>
        <w:tc>
          <w:tcPr>
            <w:tcW w:w="1201" w:type="dxa"/>
            <w:vAlign w:val="center"/>
          </w:tcPr>
          <w:p>
            <w:pPr>
              <w:jc w:val="center"/>
              <w:rPr>
                <w:rFonts w:hint="default" w:eastAsia="宋体"/>
                <w:lang w:val="en-US" w:eastAsia="zh-CN"/>
              </w:rPr>
            </w:pPr>
            <w:r>
              <w:rPr>
                <w:rFonts w:hint="eastAsia" w:ascii="方正书宋_GBK" w:eastAsia="方正书宋_GBK"/>
                <w:b/>
                <w:bCs/>
                <w:color w:val="000000"/>
                <w:szCs w:val="21"/>
                <w:lang w:val="en-US" w:eastAsia="zh-CN"/>
              </w:rPr>
              <w:t>1.52</w:t>
            </w:r>
          </w:p>
        </w:tc>
        <w:tc>
          <w:tcPr>
            <w:tcW w:w="1134" w:type="dxa"/>
            <w:vAlign w:val="center"/>
          </w:tcPr>
          <w:p>
            <w:pPr>
              <w:jc w:val="center"/>
              <w:rPr>
                <w:rFonts w:hint="default" w:eastAsia="宋体"/>
                <w:lang w:val="en-US" w:eastAsia="zh-CN"/>
              </w:rPr>
            </w:pPr>
            <w:r>
              <w:rPr>
                <w:rFonts w:hint="eastAsia" w:ascii="方正书宋_GBK" w:eastAsia="方正书宋_GBK"/>
                <w:b/>
                <w:bCs/>
                <w:color w:val="000000"/>
                <w:szCs w:val="21"/>
                <w:lang w:val="en-US" w:eastAsia="zh-CN"/>
              </w:rPr>
              <w:t>1.52</w:t>
            </w:r>
          </w:p>
        </w:tc>
        <w:tc>
          <w:tcPr>
            <w:tcW w:w="851"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489" w:hRule="atLeast"/>
          <w:jc w:val="center"/>
        </w:trPr>
        <w:tc>
          <w:tcPr>
            <w:tcW w:w="2971" w:type="dxa"/>
          </w:tcPr>
          <w:p>
            <w:pPr>
              <w:rPr>
                <w:rFonts w:hint="eastAsia" w:eastAsia="宋体"/>
                <w:lang w:eastAsia="zh-CN"/>
              </w:rPr>
            </w:pPr>
            <w:r>
              <w:rPr>
                <w:rFonts w:hint="eastAsia"/>
              </w:rPr>
              <w:t>机构编制管理经</w:t>
            </w:r>
            <w:r>
              <w:rPr>
                <w:rFonts w:hint="eastAsia"/>
                <w:lang w:eastAsia="zh-CN"/>
              </w:rPr>
              <w:t>费</w:t>
            </w:r>
          </w:p>
        </w:tc>
        <w:tc>
          <w:tcPr>
            <w:tcW w:w="1104"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0.91</w:t>
            </w:r>
          </w:p>
        </w:tc>
        <w:tc>
          <w:tcPr>
            <w:tcW w:w="1644" w:type="dxa"/>
          </w:tcPr>
          <w:p>
            <w:pPr>
              <w:rPr>
                <w:rFonts w:hint="eastAsia" w:eastAsia="宋体"/>
                <w:lang w:eastAsia="zh-CN"/>
              </w:rPr>
            </w:pPr>
            <w:r>
              <w:rPr>
                <w:rFonts w:hint="eastAsia" w:ascii="方正书宋_GBK" w:eastAsia="方正书宋_GBK"/>
                <w:lang w:eastAsia="zh-CN"/>
              </w:rPr>
              <w:t>多功能一体机</w:t>
            </w:r>
          </w:p>
        </w:tc>
        <w:tc>
          <w:tcPr>
            <w:tcW w:w="1608" w:type="dxa"/>
          </w:tcPr>
          <w:p>
            <w:pPr>
              <w:rPr>
                <w:rFonts w:hint="default" w:eastAsia="方正书宋_GBK"/>
                <w:lang w:val="en-US" w:eastAsia="zh-CN"/>
              </w:rPr>
            </w:pPr>
            <w:r>
              <w:rPr>
                <w:rFonts w:hint="eastAsia" w:ascii="方正书宋_GBK" w:eastAsia="方正书宋_GBK"/>
              </w:rPr>
              <w:t>A</w:t>
            </w:r>
            <w:r>
              <w:rPr>
                <w:rFonts w:hint="eastAsia" w:ascii="方正书宋_GBK" w:eastAsia="方正书宋_GBK"/>
                <w:lang w:val="en-US" w:eastAsia="zh-CN"/>
              </w:rPr>
              <w:t>020204</w:t>
            </w:r>
          </w:p>
        </w:tc>
        <w:tc>
          <w:tcPr>
            <w:tcW w:w="598" w:type="dxa"/>
            <w:vAlign w:val="center"/>
          </w:tcPr>
          <w:p>
            <w:pPr>
              <w:spacing w:line="300" w:lineRule="exact"/>
              <w:jc w:val="left"/>
              <w:rPr>
                <w:rFonts w:ascii="方正书宋_GBK" w:eastAsia="方正书宋_GBK"/>
              </w:rPr>
            </w:pPr>
            <w:r>
              <w:rPr>
                <w:rFonts w:hint="eastAsia" w:ascii="方正书宋_GBK" w:eastAsia="方正书宋_GBK"/>
              </w:rPr>
              <w:t>台</w:t>
            </w:r>
          </w:p>
        </w:tc>
        <w:tc>
          <w:tcPr>
            <w:tcW w:w="709" w:type="dxa"/>
            <w:vAlign w:val="center"/>
          </w:tcPr>
          <w:p>
            <w:pPr>
              <w:spacing w:line="300" w:lineRule="exact"/>
              <w:jc w:val="right"/>
              <w:rPr>
                <w:rFonts w:ascii="方正书宋_GBK" w:eastAsia="方正书宋_GBK"/>
              </w:rPr>
            </w:pPr>
            <w:r>
              <w:rPr>
                <w:rFonts w:ascii="方正书宋_GBK" w:eastAsia="方正书宋_GBK"/>
              </w:rPr>
              <w:t>1</w:t>
            </w:r>
          </w:p>
        </w:tc>
        <w:tc>
          <w:tcPr>
            <w:tcW w:w="925" w:type="dxa"/>
            <w:vAlign w:val="center"/>
          </w:tcPr>
          <w:p>
            <w:pPr>
              <w:jc w:val="center"/>
              <w:rPr>
                <w:rFonts w:hint="default" w:eastAsia="宋体"/>
                <w:lang w:val="en-US" w:eastAsia="zh-CN"/>
              </w:rPr>
            </w:pPr>
            <w:r>
              <w:rPr>
                <w:rFonts w:hint="eastAsia" w:ascii="方正书宋_GBK" w:eastAsia="方正书宋_GBK"/>
                <w:lang w:val="en-US" w:eastAsia="zh-CN"/>
              </w:rPr>
              <w:t>0.91</w:t>
            </w:r>
          </w:p>
        </w:tc>
        <w:tc>
          <w:tcPr>
            <w:tcW w:w="1201" w:type="dxa"/>
            <w:vAlign w:val="center"/>
          </w:tcPr>
          <w:p>
            <w:pPr>
              <w:jc w:val="center"/>
              <w:rPr>
                <w:rFonts w:hint="default" w:eastAsia="宋体"/>
                <w:lang w:val="en-US" w:eastAsia="zh-CN"/>
              </w:rPr>
            </w:pPr>
            <w:r>
              <w:rPr>
                <w:rFonts w:hint="eastAsia" w:ascii="方正书宋_GBK" w:eastAsia="方正书宋_GBK"/>
                <w:lang w:val="en-US" w:eastAsia="zh-CN"/>
              </w:rPr>
              <w:t>0.91</w:t>
            </w:r>
          </w:p>
        </w:tc>
        <w:tc>
          <w:tcPr>
            <w:tcW w:w="1134" w:type="dxa"/>
            <w:vAlign w:val="center"/>
          </w:tcPr>
          <w:p>
            <w:pPr>
              <w:jc w:val="center"/>
              <w:rPr>
                <w:rFonts w:hint="default" w:eastAsia="宋体"/>
                <w:lang w:val="en-US" w:eastAsia="zh-CN"/>
              </w:rPr>
            </w:pPr>
            <w:r>
              <w:rPr>
                <w:rFonts w:hint="eastAsia" w:ascii="方正书宋_GBK" w:eastAsia="方正书宋_GBK"/>
                <w:lang w:val="en-US" w:eastAsia="zh-CN"/>
              </w:rPr>
              <w:t>0.91</w:t>
            </w:r>
          </w:p>
        </w:tc>
        <w:tc>
          <w:tcPr>
            <w:tcW w:w="851"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971" w:type="dxa"/>
          </w:tcPr>
          <w:p>
            <w:r>
              <w:rPr>
                <w:rFonts w:hint="eastAsia"/>
              </w:rPr>
              <w:t>机构编制管理经费</w:t>
            </w:r>
          </w:p>
        </w:tc>
        <w:tc>
          <w:tcPr>
            <w:tcW w:w="1104"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0.30</w:t>
            </w:r>
          </w:p>
        </w:tc>
        <w:tc>
          <w:tcPr>
            <w:tcW w:w="1644" w:type="dxa"/>
          </w:tcPr>
          <w:p>
            <w:pPr>
              <w:rPr>
                <w:rFonts w:hint="eastAsia" w:eastAsia="宋体"/>
                <w:lang w:eastAsia="zh-CN"/>
              </w:rPr>
            </w:pPr>
            <w:r>
              <w:rPr>
                <w:rFonts w:hint="eastAsia" w:ascii="方正书宋_GBK" w:eastAsia="方正书宋_GBK"/>
                <w:lang w:eastAsia="zh-CN"/>
              </w:rPr>
              <w:t>空调机</w:t>
            </w:r>
          </w:p>
        </w:tc>
        <w:tc>
          <w:tcPr>
            <w:tcW w:w="1608" w:type="dxa"/>
          </w:tcPr>
          <w:p>
            <w:pPr>
              <w:rPr>
                <w:rFonts w:hint="default" w:eastAsia="方正书宋_GBK"/>
                <w:lang w:val="en-US" w:eastAsia="zh-CN"/>
              </w:rPr>
            </w:pPr>
            <w:r>
              <w:rPr>
                <w:rFonts w:hint="eastAsia" w:ascii="方正书宋_GBK" w:eastAsia="方正书宋_GBK"/>
              </w:rPr>
              <w:t>A</w:t>
            </w:r>
            <w:r>
              <w:rPr>
                <w:rFonts w:hint="eastAsia" w:ascii="方正书宋_GBK" w:eastAsia="方正书宋_GBK"/>
                <w:lang w:val="en-US" w:eastAsia="zh-CN"/>
              </w:rPr>
              <w:t>0206180203</w:t>
            </w:r>
          </w:p>
        </w:tc>
        <w:tc>
          <w:tcPr>
            <w:tcW w:w="598"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台</w:t>
            </w:r>
          </w:p>
        </w:tc>
        <w:tc>
          <w:tcPr>
            <w:tcW w:w="709" w:type="dxa"/>
            <w:vAlign w:val="center"/>
          </w:tcPr>
          <w:p>
            <w:pPr>
              <w:spacing w:line="300" w:lineRule="exact"/>
              <w:jc w:val="right"/>
              <w:rPr>
                <w:rFonts w:ascii="方正书宋_GBK" w:eastAsia="方正书宋_GBK"/>
              </w:rPr>
            </w:pPr>
            <w:r>
              <w:rPr>
                <w:rFonts w:ascii="方正书宋_GBK" w:eastAsia="方正书宋_GBK"/>
              </w:rPr>
              <w:t>1</w:t>
            </w:r>
          </w:p>
        </w:tc>
        <w:tc>
          <w:tcPr>
            <w:tcW w:w="925" w:type="dxa"/>
            <w:vAlign w:val="center"/>
          </w:tcPr>
          <w:p>
            <w:pPr>
              <w:jc w:val="center"/>
              <w:rPr>
                <w:rFonts w:hint="default" w:eastAsia="宋体"/>
                <w:lang w:val="en-US" w:eastAsia="zh-CN"/>
              </w:rPr>
            </w:pPr>
            <w:r>
              <w:rPr>
                <w:rFonts w:hint="eastAsia" w:ascii="方正书宋_GBK" w:eastAsia="方正书宋_GBK"/>
                <w:lang w:val="en-US" w:eastAsia="zh-CN"/>
              </w:rPr>
              <w:t>0.30</w:t>
            </w:r>
          </w:p>
        </w:tc>
        <w:tc>
          <w:tcPr>
            <w:tcW w:w="1201" w:type="dxa"/>
            <w:vAlign w:val="center"/>
          </w:tcPr>
          <w:p>
            <w:pPr>
              <w:jc w:val="center"/>
              <w:rPr>
                <w:rFonts w:hint="default" w:eastAsia="宋体"/>
                <w:lang w:val="en-US" w:eastAsia="zh-CN"/>
              </w:rPr>
            </w:pPr>
            <w:r>
              <w:rPr>
                <w:rFonts w:hint="eastAsia" w:ascii="方正书宋_GBK" w:eastAsia="方正书宋_GBK"/>
                <w:lang w:val="en-US" w:eastAsia="zh-CN"/>
              </w:rPr>
              <w:t>0.30</w:t>
            </w:r>
          </w:p>
        </w:tc>
        <w:tc>
          <w:tcPr>
            <w:tcW w:w="1134" w:type="dxa"/>
            <w:vAlign w:val="center"/>
          </w:tcPr>
          <w:p>
            <w:pPr>
              <w:jc w:val="center"/>
              <w:rPr>
                <w:rFonts w:hint="default" w:eastAsia="宋体"/>
                <w:lang w:val="en-US" w:eastAsia="zh-CN"/>
              </w:rPr>
            </w:pPr>
            <w:r>
              <w:rPr>
                <w:rFonts w:hint="eastAsia" w:ascii="方正书宋_GBK" w:eastAsia="方正书宋_GBK"/>
                <w:lang w:val="en-US" w:eastAsia="zh-CN"/>
              </w:rPr>
              <w:t>0.30</w:t>
            </w:r>
          </w:p>
        </w:tc>
        <w:tc>
          <w:tcPr>
            <w:tcW w:w="851"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971" w:type="dxa"/>
          </w:tcPr>
          <w:p>
            <w:r>
              <w:rPr>
                <w:rFonts w:hint="eastAsia"/>
              </w:rPr>
              <w:t>机构编制管理经费</w:t>
            </w:r>
          </w:p>
        </w:tc>
        <w:tc>
          <w:tcPr>
            <w:tcW w:w="1104" w:type="dxa"/>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0.31</w:t>
            </w:r>
          </w:p>
        </w:tc>
        <w:tc>
          <w:tcPr>
            <w:tcW w:w="1644" w:type="dxa"/>
          </w:tcPr>
          <w:p>
            <w:pPr>
              <w:rPr>
                <w:rFonts w:hint="eastAsia" w:eastAsia="宋体"/>
                <w:lang w:eastAsia="zh-CN"/>
              </w:rPr>
            </w:pPr>
            <w:r>
              <w:rPr>
                <w:rFonts w:hint="eastAsia" w:ascii="方正书宋_GBK" w:eastAsia="方正书宋_GBK"/>
                <w:lang w:eastAsia="zh-CN"/>
              </w:rPr>
              <w:t>其他台、桌类</w:t>
            </w:r>
          </w:p>
        </w:tc>
        <w:tc>
          <w:tcPr>
            <w:tcW w:w="1608" w:type="dxa"/>
          </w:tcPr>
          <w:p>
            <w:pPr>
              <w:rPr>
                <w:rFonts w:hint="default" w:eastAsia="方正书宋_GBK"/>
                <w:lang w:val="en-US" w:eastAsia="zh-CN"/>
              </w:rPr>
            </w:pPr>
            <w:r>
              <w:rPr>
                <w:rFonts w:hint="eastAsia" w:ascii="方正书宋_GBK" w:eastAsia="方正书宋_GBK"/>
              </w:rPr>
              <w:t>A</w:t>
            </w:r>
            <w:r>
              <w:rPr>
                <w:rFonts w:hint="eastAsia" w:ascii="方正书宋_GBK" w:eastAsia="方正书宋_GBK"/>
                <w:lang w:val="en-US" w:eastAsia="zh-CN"/>
              </w:rPr>
              <w:t>060299</w:t>
            </w:r>
          </w:p>
        </w:tc>
        <w:tc>
          <w:tcPr>
            <w:tcW w:w="598"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张</w:t>
            </w:r>
          </w:p>
        </w:tc>
        <w:tc>
          <w:tcPr>
            <w:tcW w:w="709" w:type="dxa"/>
            <w:vAlign w:val="center"/>
          </w:tcPr>
          <w:p>
            <w:pPr>
              <w:spacing w:line="300" w:lineRule="exact"/>
              <w:jc w:val="right"/>
              <w:rPr>
                <w:rFonts w:hint="eastAsia" w:ascii="方正书宋_GBK" w:eastAsia="方正书宋_GBK"/>
                <w:lang w:eastAsia="zh-CN"/>
              </w:rPr>
            </w:pPr>
            <w:r>
              <w:rPr>
                <w:rFonts w:hint="eastAsia" w:ascii="方正书宋_GBK" w:eastAsia="方正书宋_GBK"/>
                <w:lang w:val="en-US" w:eastAsia="zh-CN"/>
              </w:rPr>
              <w:t>2</w:t>
            </w:r>
          </w:p>
        </w:tc>
        <w:tc>
          <w:tcPr>
            <w:tcW w:w="925"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0.155</w:t>
            </w:r>
          </w:p>
        </w:tc>
        <w:tc>
          <w:tcPr>
            <w:tcW w:w="1201"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0.31</w:t>
            </w:r>
          </w:p>
        </w:tc>
        <w:tc>
          <w:tcPr>
            <w:tcW w:w="1134"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0.31</w:t>
            </w:r>
          </w:p>
        </w:tc>
        <w:tc>
          <w:tcPr>
            <w:tcW w:w="851"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spacing w:line="300" w:lineRule="exact"/>
        <w:jc w:val="left"/>
        <w:outlineLvl w:val="0"/>
        <w:sectPr>
          <w:footerReference r:id="rId5" w:type="default"/>
          <w:pgSz w:w="16839" w:h="11907" w:orient="landscape"/>
          <w:pgMar w:top="1361" w:right="1020" w:bottom="1361" w:left="1020" w:header="851" w:footer="992" w:gutter="0"/>
          <w:pgBorders>
            <w:top w:val="none" w:sz="0" w:space="0"/>
            <w:left w:val="none" w:sz="0" w:space="0"/>
            <w:bottom w:val="none" w:sz="0" w:space="0"/>
            <w:right w:val="none" w:sz="0" w:space="0"/>
          </w:pgBorders>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我部门</w:t>
      </w:r>
      <w:r>
        <w:rPr>
          <w:rFonts w:hint="eastAsia" w:ascii="Times New Roman" w:hAnsi="Times New Roman" w:eastAsia="仿宋" w:cs="Times New Roman"/>
          <w:color w:val="000000"/>
          <w:sz w:val="32"/>
          <w:szCs w:val="32"/>
          <w:lang w:val="en-US" w:eastAsia="zh-CN"/>
        </w:rPr>
        <w:t>2020</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19.28</w:t>
      </w:r>
      <w:r>
        <w:rPr>
          <w:rFonts w:ascii="Times New Roman" w:hAnsi="Times New Roman" w:eastAsia="仿宋" w:cs="Times New Roman"/>
          <w:color w:val="000000"/>
          <w:sz w:val="32"/>
          <w:szCs w:val="32"/>
        </w:rPr>
        <w:t>万元（详见下表），</w:t>
      </w:r>
      <w:r>
        <w:rPr>
          <w:rFonts w:hint="eastAsia" w:ascii="Times New Roman" w:hAnsi="Times New Roman" w:eastAsia="仿宋" w:cs="仿宋"/>
          <w:color w:val="000000"/>
          <w:sz w:val="32"/>
          <w:szCs w:val="32"/>
        </w:rPr>
        <w:t>本年度拟购置固定资产总额为</w:t>
      </w:r>
      <w:r>
        <w:rPr>
          <w:rFonts w:hint="eastAsia" w:ascii="Times New Roman" w:hAnsi="Times New Roman" w:eastAsia="仿宋" w:cs="Times New Roman"/>
          <w:color w:val="000000"/>
          <w:sz w:val="32"/>
          <w:szCs w:val="32"/>
          <w:lang w:val="en-US" w:eastAsia="zh-CN"/>
        </w:rPr>
        <w:t>1.52</w:t>
      </w:r>
      <w:r>
        <w:rPr>
          <w:rFonts w:hint="eastAsia" w:ascii="Times New Roman" w:hAnsi="Times New Roman" w:eastAsia="仿宋" w:cs="仿宋"/>
          <w:color w:val="000000"/>
          <w:sz w:val="32"/>
          <w:szCs w:val="32"/>
        </w:rPr>
        <w:t>万元，</w:t>
      </w:r>
      <w:r>
        <w:rPr>
          <w:rFonts w:ascii="Times New Roman" w:hAnsi="Times New Roman" w:eastAsia="仿宋" w:cs="Times New Roman"/>
          <w:color w:val="000000"/>
          <w:sz w:val="32"/>
          <w:szCs w:val="32"/>
        </w:rPr>
        <w:t>主要为计算机、打印机、</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9"/>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lang w:eastAsia="zh-CN"/>
              </w:rPr>
              <w:t>中共隆尧县委编办</w:t>
            </w:r>
            <w:r>
              <w:rPr>
                <w:rFonts w:hint="eastAsia" w:ascii="宋体" w:hAnsi="宋体" w:cs="宋体"/>
                <w:b/>
                <w:bCs/>
                <w:kern w:val="0"/>
                <w:sz w:val="32"/>
                <w:szCs w:val="32"/>
              </w:rPr>
              <w:t>部门固定资产占用情况表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中共隆尧县委机构编制委员会办公室</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19.28</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19.28</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6838" w:h="11906" w:orient="landscape"/>
      <w:pgMar w:top="1800" w:right="1440" w:bottom="1800" w:left="1440"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小标宋_GBK">
    <w:altName w:val="Arial Unicode MS"/>
    <w:panose1 w:val="03000509000000000000"/>
    <w:charset w:val="86"/>
    <w:family w:val="script"/>
    <w:pitch w:val="default"/>
    <w:sig w:usb0="00000000" w:usb1="00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8</w:t>
    </w:r>
    <w:r>
      <w:fldChar w:fldCharType="end"/>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F0E05"/>
    <w:multiLevelType w:val="multilevel"/>
    <w:tmpl w:val="017F0E05"/>
    <w:lvl w:ilvl="0" w:tentative="0">
      <w:start w:val="1"/>
      <w:numFmt w:val="japaneseCounting"/>
      <w:lvlText w:val="（%1）"/>
      <w:lvlJc w:val="left"/>
      <w:pPr>
        <w:ind w:left="1918" w:hanging="1080"/>
      </w:pPr>
      <w:rPr>
        <w:rFonts w:hint="default"/>
      </w:rPr>
    </w:lvl>
    <w:lvl w:ilvl="1" w:tentative="0">
      <w:start w:val="1"/>
      <w:numFmt w:val="lowerLetter"/>
      <w:lvlText w:val="%2)"/>
      <w:lvlJc w:val="left"/>
      <w:pPr>
        <w:ind w:left="1678" w:hanging="420"/>
      </w:pPr>
    </w:lvl>
    <w:lvl w:ilvl="2" w:tentative="0">
      <w:start w:val="1"/>
      <w:numFmt w:val="lowerRoman"/>
      <w:lvlText w:val="%3."/>
      <w:lvlJc w:val="right"/>
      <w:pPr>
        <w:ind w:left="2098" w:hanging="420"/>
      </w:pPr>
    </w:lvl>
    <w:lvl w:ilvl="3" w:tentative="0">
      <w:start w:val="1"/>
      <w:numFmt w:val="decimal"/>
      <w:lvlText w:val="%4."/>
      <w:lvlJc w:val="left"/>
      <w:pPr>
        <w:ind w:left="2518" w:hanging="420"/>
      </w:pPr>
    </w:lvl>
    <w:lvl w:ilvl="4" w:tentative="0">
      <w:start w:val="1"/>
      <w:numFmt w:val="lowerLetter"/>
      <w:lvlText w:val="%5)"/>
      <w:lvlJc w:val="left"/>
      <w:pPr>
        <w:ind w:left="2938" w:hanging="420"/>
      </w:pPr>
    </w:lvl>
    <w:lvl w:ilvl="5" w:tentative="0">
      <w:start w:val="1"/>
      <w:numFmt w:val="lowerRoman"/>
      <w:lvlText w:val="%6."/>
      <w:lvlJc w:val="right"/>
      <w:pPr>
        <w:ind w:left="3358" w:hanging="420"/>
      </w:pPr>
    </w:lvl>
    <w:lvl w:ilvl="6" w:tentative="0">
      <w:start w:val="1"/>
      <w:numFmt w:val="decimal"/>
      <w:lvlText w:val="%7."/>
      <w:lvlJc w:val="left"/>
      <w:pPr>
        <w:ind w:left="3778" w:hanging="420"/>
      </w:pPr>
    </w:lvl>
    <w:lvl w:ilvl="7" w:tentative="0">
      <w:start w:val="1"/>
      <w:numFmt w:val="lowerLetter"/>
      <w:lvlText w:val="%8)"/>
      <w:lvlJc w:val="left"/>
      <w:pPr>
        <w:ind w:left="4198" w:hanging="420"/>
      </w:pPr>
    </w:lvl>
    <w:lvl w:ilvl="8" w:tentative="0">
      <w:start w:val="1"/>
      <w:numFmt w:val="lowerRoman"/>
      <w:lvlText w:val="%9."/>
      <w:lvlJc w:val="right"/>
      <w:pPr>
        <w:ind w:left="4618" w:hanging="420"/>
      </w:pPr>
    </w:lvl>
  </w:abstractNum>
  <w:abstractNum w:abstractNumId="1">
    <w:nsid w:val="04168F36"/>
    <w:multiLevelType w:val="singleLevel"/>
    <w:tmpl w:val="04168F36"/>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EE71BA"/>
    <w:rsid w:val="00040118"/>
    <w:rsid w:val="0009090D"/>
    <w:rsid w:val="000C7140"/>
    <w:rsid w:val="000E4964"/>
    <w:rsid w:val="001D0870"/>
    <w:rsid w:val="002E04AD"/>
    <w:rsid w:val="00323B29"/>
    <w:rsid w:val="0039059E"/>
    <w:rsid w:val="003B12DE"/>
    <w:rsid w:val="00450A98"/>
    <w:rsid w:val="0054033E"/>
    <w:rsid w:val="005A5DF4"/>
    <w:rsid w:val="0060089D"/>
    <w:rsid w:val="006F7F12"/>
    <w:rsid w:val="00756804"/>
    <w:rsid w:val="007F0341"/>
    <w:rsid w:val="008622A0"/>
    <w:rsid w:val="008B2056"/>
    <w:rsid w:val="008F51B3"/>
    <w:rsid w:val="0093180B"/>
    <w:rsid w:val="009A521C"/>
    <w:rsid w:val="00AC3700"/>
    <w:rsid w:val="00C40D81"/>
    <w:rsid w:val="00CF78C3"/>
    <w:rsid w:val="00D34113"/>
    <w:rsid w:val="00D607DA"/>
    <w:rsid w:val="00D63220"/>
    <w:rsid w:val="00DC6EE5"/>
    <w:rsid w:val="00DC7E7F"/>
    <w:rsid w:val="00E24759"/>
    <w:rsid w:val="00E9580E"/>
    <w:rsid w:val="00EE71BA"/>
    <w:rsid w:val="00F867E4"/>
    <w:rsid w:val="03583CCC"/>
    <w:rsid w:val="076A428F"/>
    <w:rsid w:val="0DD925B0"/>
    <w:rsid w:val="10732226"/>
    <w:rsid w:val="1106302D"/>
    <w:rsid w:val="115073D3"/>
    <w:rsid w:val="16EC40F5"/>
    <w:rsid w:val="1A8551B0"/>
    <w:rsid w:val="221154A3"/>
    <w:rsid w:val="2318600C"/>
    <w:rsid w:val="24481190"/>
    <w:rsid w:val="26392F5E"/>
    <w:rsid w:val="26BD0AC8"/>
    <w:rsid w:val="28C522E7"/>
    <w:rsid w:val="291411F0"/>
    <w:rsid w:val="2B6F51CE"/>
    <w:rsid w:val="34640E21"/>
    <w:rsid w:val="36E63498"/>
    <w:rsid w:val="38C05FF7"/>
    <w:rsid w:val="3DFB027D"/>
    <w:rsid w:val="40AC345E"/>
    <w:rsid w:val="456272C4"/>
    <w:rsid w:val="4952264F"/>
    <w:rsid w:val="4A7A0181"/>
    <w:rsid w:val="4A950388"/>
    <w:rsid w:val="4BB82E28"/>
    <w:rsid w:val="4C2C0C0C"/>
    <w:rsid w:val="4C787FD5"/>
    <w:rsid w:val="585A4F32"/>
    <w:rsid w:val="5B2A26D8"/>
    <w:rsid w:val="60416A06"/>
    <w:rsid w:val="607B5427"/>
    <w:rsid w:val="60C56417"/>
    <w:rsid w:val="61D821EF"/>
    <w:rsid w:val="65187CDE"/>
    <w:rsid w:val="666A292C"/>
    <w:rsid w:val="72F67F77"/>
    <w:rsid w:val="771245F0"/>
    <w:rsid w:val="7B444DEA"/>
    <w:rsid w:val="7C636F32"/>
    <w:rsid w:val="7CBF3D58"/>
    <w:rsid w:val="7D3C0B77"/>
    <w:rsid w:val="7D6816C4"/>
    <w:rsid w:val="7D7605BE"/>
    <w:rsid w:val="7E7635F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8">
    <w:name w:val="footnote reference"/>
    <w:qFormat/>
    <w:uiPriority w:val="0"/>
    <w:rPr>
      <w:vertAlign w:val="superscript"/>
    </w:rPr>
  </w:style>
  <w:style w:type="table" w:styleId="10">
    <w:name w:val="Table Grid"/>
    <w:basedOn w:val="9"/>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 w:type="paragraph" w:customStyle="1" w:styleId="15">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theme/theme1.xml" Type="http://schemas.openxmlformats.org/officeDocument/2006/relationships/theme"/><Relationship Id="rId7" Target="../customXml/item1.xml" Type="http://schemas.openxmlformats.org/officeDocument/2006/relationships/customXml"/><Relationship Id="rId8" Target="numbering.xml" Type="http://schemas.openxmlformats.org/officeDocument/2006/relationships/numbering"/><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11</Pages>
  <Words>768</Words>
  <Characters>4378</Characters>
  <Lines>36</Lines>
  <Paragraphs>10</Paragraphs>
  <TotalTime>6</TotalTime>
  <ScaleCrop>false</ScaleCrop>
  <LinksUpToDate>false</LinksUpToDate>
  <CharactersWithSpaces>5136</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2017-01-23T17:29:00Z</dcterms:created>
  <dc:creator>guest</dc:creator>
  <cp:lastModifiedBy>lenovo</cp:lastModifiedBy>
  <cp:lastPrinted>2020-01-10T15:53:00Z</cp:lastPrinted>
  <dcterms:modified xsi:type="dcterms:W3CDTF">2022-09-01T10:45:38Z</dcterms:modified>
  <cp:revision>19</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