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隆尧县东方食品城项目建设服务中心</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val="en-US" w:eastAsia="zh-CN"/>
        </w:rPr>
        <w:t>2021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隆尧县东方食品城项目建设服务中心</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隆尧县东方食品城项目建设服务中心主要职责：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1、根据县国民经济和社会发展规划，责任编制辖区内经济、社会发展战略和中长期规划，并组织实施。</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2、负责编制食品城总体规划，并依法进行</w:t>
      </w:r>
      <w:r>
        <w:rPr>
          <w:rFonts w:hint="eastAsia" w:ascii="Times New Roman" w:hAnsi="Times New Roman" w:eastAsia="仿宋" w:cs="Times New Roman"/>
          <w:sz w:val="32"/>
          <w:szCs w:val="32"/>
          <w:lang w:val="en-US" w:eastAsia="zh-CN"/>
        </w:rPr>
        <w:t>辖区</w:t>
      </w:r>
      <w:r>
        <w:rPr>
          <w:rFonts w:hint="eastAsia" w:ascii="Times New Roman" w:hAnsi="Times New Roman" w:eastAsia="仿宋" w:cs="Times New Roman"/>
          <w:sz w:val="32"/>
          <w:szCs w:val="32"/>
        </w:rPr>
        <w:t>内土地规划、开发和土地利用管理工作。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3、依据国家法律和有关规定，制定，辖区相关配套管理办法。</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4、按照国家产业政策，负责辖区内投资项目前期谋划，做好项目立项备案和申报工作。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5、负责辖区内基础设施和公用事业的规划建设和日常管理工作。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6、负责指导辖区内入驻企业的生产和经营管理，指导企业产品结构调整、环境保护和安全生产工作。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7、为入驻辖区内企业提供政策、技术咨询和信息服务，指导企业开展经济技术合作和招商引资工作。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8、负责辖区内企业的统计工作，并按规定统一辖区内企业规费征收工作。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9、承办县委、县政府交办的其他事项。</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autoSpaceDE w:val="0"/>
        <w:autoSpaceDN w:val="0"/>
        <w:adjustRightInd w:val="0"/>
        <w:ind w:firstLine="960" w:firstLineChars="300"/>
        <w:jc w:val="left"/>
        <w:rPr>
          <w:rFonts w:hint="eastAsia" w:ascii="Times New Roman" w:hAnsi="Times New Roman" w:eastAsia="方正小标宋_GBK" w:cs="Times New Roman"/>
          <w:sz w:val="32"/>
          <w:szCs w:val="24"/>
          <w:lang w:val="en-US" w:eastAsia="zh-CN"/>
        </w:rPr>
      </w:pPr>
      <w:r>
        <w:rPr>
          <w:rFonts w:hint="eastAsia" w:ascii="仿宋_GB2312" w:hAnsi="仿宋_GB2312" w:eastAsia="仿宋_GB2312"/>
          <w:kern w:val="0"/>
          <w:sz w:val="32"/>
          <w:szCs w:val="32"/>
          <w:lang w:eastAsia="zh-CN"/>
        </w:rPr>
        <w:t>隆尧县</w:t>
      </w:r>
      <w:r>
        <w:rPr>
          <w:rFonts w:hint="eastAsia" w:ascii="仿宋_GB2312" w:hAnsi="仿宋_GB2312" w:eastAsia="仿宋_GB2312"/>
          <w:kern w:val="0"/>
          <w:sz w:val="32"/>
          <w:szCs w:val="32"/>
        </w:rPr>
        <w:t>东方食品城项目建设服务中心部门机构设置情况：</w:t>
      </w:r>
      <w:r>
        <w:rPr>
          <w:rFonts w:hint="eastAsia" w:ascii="Times New Roman" w:hAnsi="Times New Roman" w:eastAsia="方正小标宋_GBK" w:cs="Times New Roman"/>
          <w:sz w:val="32"/>
          <w:szCs w:val="24"/>
          <w:lang w:val="en-US" w:eastAsia="zh-CN"/>
        </w:rPr>
        <w:t xml:space="preserve">                                    </w:t>
      </w:r>
    </w:p>
    <w:tbl>
      <w:tblPr>
        <w:tblStyle w:val="7"/>
        <w:tblW w:w="970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75"/>
        <w:gridCol w:w="1351"/>
        <w:gridCol w:w="1560"/>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4875"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单位名称</w:t>
            </w:r>
          </w:p>
        </w:tc>
        <w:tc>
          <w:tcPr>
            <w:tcW w:w="1351"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单位性质</w:t>
            </w:r>
          </w:p>
        </w:tc>
        <w:tc>
          <w:tcPr>
            <w:tcW w:w="156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单位规格</w:t>
            </w:r>
          </w:p>
        </w:tc>
        <w:tc>
          <w:tcPr>
            <w:tcW w:w="192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875"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隆尧县东方食品城项目建设服务中心</w:t>
            </w:r>
          </w:p>
        </w:tc>
        <w:tc>
          <w:tcPr>
            <w:tcW w:w="1351"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事业</w:t>
            </w:r>
          </w:p>
        </w:tc>
        <w:tc>
          <w:tcPr>
            <w:tcW w:w="156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正科级</w:t>
            </w:r>
          </w:p>
        </w:tc>
        <w:tc>
          <w:tcPr>
            <w:tcW w:w="192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val="en-US"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lang w:eastAsia="zh-CN"/>
        </w:rPr>
        <w:t>隆尧县东方食品城项目建设服务中心</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sz w:val="32"/>
          <w:szCs w:val="32"/>
        </w:rPr>
        <w:t>元，其中：一般公共预算收入</w:t>
      </w:r>
      <w:r>
        <w:rPr>
          <w:rFonts w:hint="eastAsia" w:ascii="Times New Roman" w:hAnsi="Times New Roman" w:eastAsia="仿宋" w:cs="Times New Roman"/>
          <w:sz w:val="32"/>
          <w:szCs w:val="32"/>
          <w:lang w:val="en-US" w:eastAsia="zh-CN"/>
        </w:rPr>
        <w:t>5009218</w:t>
      </w:r>
      <w:r>
        <w:rPr>
          <w:rFonts w:hint="eastAsia" w:ascii="Times New Roman" w:hAnsi="Times New Roman" w:eastAsia="仿宋" w:cs="Times New Roman"/>
          <w:sz w:val="32"/>
          <w:szCs w:val="32"/>
        </w:rPr>
        <w:t>元，基金预算收入</w:t>
      </w:r>
      <w:r>
        <w:rPr>
          <w:rFonts w:hint="eastAsia" w:ascii="Times New Roman" w:hAnsi="Times New Roman" w:eastAsia="仿宋" w:cs="Times New Roman"/>
          <w:sz w:val="32"/>
          <w:szCs w:val="32"/>
          <w:lang w:val="en-US" w:eastAsia="zh-CN"/>
        </w:rPr>
        <w:t>15381628</w:t>
      </w:r>
      <w:r>
        <w:rPr>
          <w:rFonts w:hint="eastAsia" w:ascii="Times New Roman" w:hAnsi="Times New Roman" w:eastAsia="仿宋" w:cs="Times New Roman"/>
          <w:sz w:val="32"/>
          <w:szCs w:val="32"/>
        </w:rPr>
        <w:t>元，财政专户核拨收入0元，其他来源收入0元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上年结转2340000元。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隆尧县东方食品城项目建设服务中心</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957768</w:t>
      </w:r>
      <w:r>
        <w:rPr>
          <w:rFonts w:hint="eastAsia" w:ascii="Times New Roman" w:hAnsi="Times New Roman" w:eastAsia="仿宋" w:cs="Times New Roman"/>
          <w:sz w:val="32"/>
          <w:szCs w:val="32"/>
        </w:rPr>
        <w:t>元，包括人员经费</w:t>
      </w:r>
      <w:r>
        <w:rPr>
          <w:rFonts w:hint="eastAsia" w:ascii="Times New Roman" w:hAnsi="Times New Roman" w:eastAsia="仿宋" w:cs="Times New Roman"/>
          <w:sz w:val="32"/>
          <w:szCs w:val="32"/>
          <w:lang w:val="en-US" w:eastAsia="zh-CN"/>
        </w:rPr>
        <w:t>839368</w:t>
      </w:r>
      <w:r>
        <w:rPr>
          <w:rFonts w:hint="eastAsia" w:ascii="Times New Roman" w:hAnsi="Times New Roman" w:eastAsia="仿宋" w:cs="Times New Roman"/>
          <w:sz w:val="32"/>
          <w:szCs w:val="32"/>
        </w:rPr>
        <w:t>元和日常公用经费</w:t>
      </w:r>
      <w:r>
        <w:rPr>
          <w:rFonts w:hint="eastAsia" w:ascii="Times New Roman" w:hAnsi="Times New Roman" w:eastAsia="仿宋" w:cs="Times New Roman"/>
          <w:sz w:val="32"/>
          <w:szCs w:val="32"/>
          <w:lang w:val="en-US" w:eastAsia="zh-CN"/>
        </w:rPr>
        <w:t>118400</w:t>
      </w:r>
      <w:r>
        <w:rPr>
          <w:rFonts w:hint="eastAsia" w:ascii="Times New Roman" w:hAnsi="Times New Roman" w:eastAsia="仿宋" w:cs="Times New Roman"/>
          <w:sz w:val="32"/>
          <w:szCs w:val="32"/>
        </w:rPr>
        <w:t>元；项目支出</w:t>
      </w:r>
      <w:r>
        <w:rPr>
          <w:rFonts w:hint="eastAsia" w:ascii="Times New Roman" w:hAnsi="Times New Roman" w:eastAsia="仿宋" w:cs="Times New Roman"/>
          <w:sz w:val="32"/>
          <w:szCs w:val="32"/>
          <w:lang w:val="en-US" w:eastAsia="zh-CN"/>
        </w:rPr>
        <w:t>21773078</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val="en-US" w:eastAsia="zh-CN"/>
        </w:rPr>
        <w:t>一般公共服务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800000</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val="en-US" w:eastAsia="zh-CN"/>
        </w:rPr>
        <w:t>，节能环保支出996000元，城乡社区支出19977078元</w:t>
      </w:r>
      <w:r>
        <w:rPr>
          <w:rFonts w:hint="eastAsia" w:ascii="Times New Roman" w:hAnsi="Times New Roman" w:eastAsia="仿宋" w:cs="Times New Roman"/>
          <w:sz w:val="32"/>
          <w:szCs w:val="32"/>
        </w:rPr>
        <w:t>；其他支出0元。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val="en-US" w:eastAsia="zh-CN"/>
        </w:rPr>
        <w:t>2020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预算</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5596391.7</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14115</w:t>
      </w:r>
      <w:r>
        <w:rPr>
          <w:rFonts w:hint="eastAsia" w:ascii="Times New Roman" w:hAnsi="Times New Roman" w:eastAsia="仿宋" w:cs="Times New Roman"/>
          <w:sz w:val="32"/>
          <w:szCs w:val="32"/>
        </w:rPr>
        <w:t>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5610506.7</w:t>
      </w:r>
      <w:r>
        <w:rPr>
          <w:rFonts w:hint="eastAsia" w:ascii="Times New Roman" w:hAnsi="Times New Roman" w:eastAsia="仿宋" w:cs="Times New Roman"/>
          <w:sz w:val="32"/>
          <w:szCs w:val="32"/>
        </w:rPr>
        <w:t>元，主要是</w:t>
      </w:r>
      <w:r>
        <w:rPr>
          <w:rFonts w:hint="eastAsia" w:ascii="Times New Roman" w:hAnsi="Times New Roman" w:eastAsia="仿宋" w:cs="Times New Roman"/>
          <w:sz w:val="32"/>
          <w:szCs w:val="32"/>
          <w:lang w:eastAsia="zh-CN"/>
        </w:rPr>
        <w:t>污水处理厂运营费和城市环境卫生方面支出</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highlight w:val="none"/>
        </w:rPr>
        <w:t>202</w:t>
      </w:r>
      <w:r>
        <w:rPr>
          <w:rFonts w:hint="eastAsia" w:ascii="Times New Roman" w:hAnsi="Times New Roman" w:eastAsia="仿宋" w:cs="Times New Roman"/>
          <w:sz w:val="32"/>
          <w:szCs w:val="32"/>
          <w:highlight w:val="none"/>
          <w:lang w:val="en-US" w:eastAsia="zh-CN"/>
        </w:rPr>
        <w:t>1</w:t>
      </w:r>
      <w:r>
        <w:rPr>
          <w:rFonts w:hint="eastAsia" w:ascii="Times New Roman" w:hAnsi="Times New Roman" w:eastAsia="仿宋" w:cs="Times New Roman"/>
          <w:sz w:val="32"/>
          <w:szCs w:val="32"/>
          <w:highlight w:val="none"/>
        </w:rPr>
        <w:t>年，我部门机关运行经费共计安排</w:t>
      </w:r>
      <w:r>
        <w:rPr>
          <w:rFonts w:hint="eastAsia" w:ascii="Times New Roman" w:hAnsi="Times New Roman" w:eastAsia="仿宋" w:cs="Times New Roman"/>
          <w:sz w:val="32"/>
          <w:szCs w:val="32"/>
          <w:highlight w:val="none"/>
          <w:lang w:val="en-US" w:eastAsia="zh-CN"/>
        </w:rPr>
        <w:t>118400</w:t>
      </w:r>
      <w:r>
        <w:rPr>
          <w:rFonts w:hint="eastAsia" w:ascii="Times New Roman" w:hAnsi="Times New Roman" w:eastAsia="仿宋" w:cs="Times New Roman"/>
          <w:sz w:val="32"/>
          <w:szCs w:val="32"/>
          <w:highlight w:val="none"/>
        </w:rPr>
        <w:t>元，</w:t>
      </w:r>
      <w:r>
        <w:rPr>
          <w:rFonts w:hint="eastAsia" w:ascii="Times New Roman" w:hAnsi="Times New Roman" w:eastAsia="仿宋" w:cs="Times New Roman"/>
          <w:sz w:val="32"/>
          <w:szCs w:val="32"/>
        </w:rPr>
        <w:t>主要用于保证机关正常运转的办公及印刷费、邮电费、差旅费、会议费、福利费、专用材料及一般设备购置费、办公用房水电费、办公用房取暖费、日常维修费、办公楼物业管理费等支出。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20000</w:t>
      </w:r>
      <w:r>
        <w:rPr>
          <w:rFonts w:hint="eastAsia" w:ascii="Times New Roman" w:hAnsi="Times New Roman" w:eastAsia="仿宋" w:cs="Times New Roman"/>
          <w:sz w:val="32"/>
          <w:szCs w:val="32"/>
        </w:rPr>
        <w:t>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元（其中：公务用车购置费0元，公务用车运行维护费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元)；公务接待费</w:t>
      </w:r>
      <w:r>
        <w:rPr>
          <w:rFonts w:hint="eastAsia" w:ascii="Times New Roman" w:hAnsi="Times New Roman" w:eastAsia="仿宋" w:cs="Times New Roman"/>
          <w:sz w:val="32"/>
          <w:szCs w:val="32"/>
          <w:lang w:val="en-US" w:eastAsia="zh-CN"/>
        </w:rPr>
        <w:t>20000</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eastAsia="zh-CN"/>
        </w:rPr>
        <w:t>，较</w:t>
      </w:r>
      <w:r>
        <w:rPr>
          <w:rFonts w:hint="eastAsia" w:ascii="Times New Roman" w:hAnsi="Times New Roman" w:eastAsia="仿宋" w:cs="Times New Roman"/>
          <w:sz w:val="32"/>
          <w:szCs w:val="32"/>
        </w:rPr>
        <w:t>上年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52000元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主要是因为减少公务接待费支出</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目标规划</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1.招商引资：狠抓招商工作不放松，借助各级食品协会、各地商会等平台，通过全员招商、驻点招商、登门招商、小组团招商、亲情招商、领导带队招商、展会招商等多种方式为园区招引项目。</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2.项目建设：一是前期项目强帮办；二是在建项目促进度；三是投产项目搞服务。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3.安全生产：一是层层签订安全生产责任书；二是加强对重点领域企业的监管；三是加强检查执法力度；四是认真开展重要时期及各类专项政治活动和打击违法活动。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 园区建设：本着规划急需、量力而行、完善功能、提升形象的原则，从实际需要出发，全力推进东方食品城园区的基础设施规划建设和城市管理工作。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隆尧县东方食品城项目建设服务中心、党务工作委员会主要职责是贯彻执行党的路线、方针、政策、加强对辖区内各项工作的领导，加强辖区内基层党组织建设，深化改革，全面发展区域经济，加强精神文明建设，推动社会进步，实现共同富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（一）</w:t>
      </w:r>
      <w:r>
        <w:rPr>
          <w:rFonts w:hint="eastAsia" w:ascii="Times New Roman" w:hAnsi="Times New Roman" w:eastAsia="仿宋" w:cs="Times New Roman"/>
          <w:sz w:val="32"/>
          <w:szCs w:val="32"/>
        </w:rPr>
        <w:t>隆尧县东方食品城项目建设服务中心主要职责</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1、根据县国民经济和社会发展规划，责任编制辖区内经济、社会发展战略和中长期规划，并组织实施。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2、负责编制食品城总体规划，并依法进行</w:t>
      </w:r>
      <w:r>
        <w:rPr>
          <w:rFonts w:hint="eastAsia" w:ascii="Times New Roman" w:hAnsi="Times New Roman" w:eastAsia="仿宋" w:cs="Times New Roman"/>
          <w:sz w:val="32"/>
          <w:szCs w:val="32"/>
          <w:lang w:val="en-US" w:eastAsia="zh-CN"/>
        </w:rPr>
        <w:t>辖区</w:t>
      </w:r>
      <w:r>
        <w:rPr>
          <w:rFonts w:hint="eastAsia" w:ascii="Times New Roman" w:hAnsi="Times New Roman" w:eastAsia="仿宋" w:cs="Times New Roman"/>
          <w:sz w:val="32"/>
          <w:szCs w:val="32"/>
        </w:rPr>
        <w:t>内土地规划、开发和土地利用管理工作。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3、依据国家法律和有关规定，制定，辖区相关配套管理办法。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4、按照国家产业政策，负责辖区内投资项目前期谋划，做好项目立项备案和申报工作。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5、负责辖区内基础设施和公用事业的规划建设和日常管理工作。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6、负责指导辖区内入驻企业的生产和经营管理，指导企业产品结构调整、环境保护和安全生产工作。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7、为入驻辖区内企业提供政策、技术咨询和信息服务，指导企业开展经济技术合作和招商引资工作。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8、负责辖区内企业的统计工作，并按规定统一辖区内企业规费征收工作。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bookmarkStart w:id="32" w:name="_GoBack"/>
      <w:bookmarkEnd w:id="32"/>
      <w:r>
        <w:rPr>
          <w:rFonts w:hint="eastAsia" w:ascii="Times New Roman" w:hAnsi="Times New Roman" w:eastAsia="仿宋" w:cs="Times New Roman"/>
          <w:sz w:val="32"/>
          <w:szCs w:val="32"/>
        </w:rPr>
        <w:t>9、承办县委、县政府交办的其他事项。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（二）东方食品城党务工作委员会主要职责：</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1、贯彻党的路线、方针、政策和上级党组织的指示、决定，讨论东方食品城委员会重大问题。</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2、抓好自身和所属党组织思想和作风建设。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3、领导辖区内经济建设，制定本辖区内经济和社会发展规划组织实施。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4、领导辖区内社会主义精神文明和民主法制建设，加强辖区内社会治安综合治理。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5、领导辖区内青年、妇女等工作。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6、领导有关部门派驻辖区内单位的党建工作。7、完成上级党组织交办的其他任务。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三</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实现年度发展规划目标的保障措施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在县委县政府的正确领导下，隆尧县东方食品城项目建设服务中心始终围绕县“11446”发展战略和“135”发展布局，突出五大发展理念，矢志不渝坚持发展食品及食品配套产业的方向不动摇，联动一产、三产，坚持以产兴城、产城融合，努力把东方食品城打造成适合中国人口味的食品研发基地、中国人喜爱的食品生产基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突出抓手、用好平台，起航招商引资新征程</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一是用好“李氏”这张名片；二是打好“食品城”这张招牌；三是抓好发展机遇。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强化举措、集中力量，打好项目建设攻坚战</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一是前期项目强帮办；二是在建项目促进度；三是投产项目搞服务。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完善功能、注重品位，力促城市建设上台阶</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紧紧抓住“三镇融合”、全国特色小镇有利契机，积极对接省、市政府各部门，争取一切可以争取的基建资金和支持用于建设医院、学校等公共服务设施。创新建设方式，尝试引入第三方投资的基础设施项目，缓解资金短缺的现状。一是加快路网建设，拉大园区框架。二是推进环形水系，营造宜居环境。三是抓好绿化亮化，建设景观廊道。四是建立健全机制，提升管理水平。</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bookmarkEnd w:id="0"/>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center"/>
      </w:pPr>
    </w:p>
    <w:p>
      <w:pPr>
        <w:ind w:firstLine="560" w:firstLineChars="200"/>
        <w:jc w:val="left"/>
        <w:outlineLvl w:val="3"/>
        <w:rPr>
          <w:rFonts w:ascii="Times New Roman" w:hAnsi="宋体"/>
          <w:b/>
          <w:sz w:val="28"/>
        </w:rPr>
      </w:pPr>
      <w:bookmarkStart w:id="4" w:name="_Toc66063503"/>
      <w:r>
        <w:rPr>
          <w:rFonts w:hint="eastAsia" w:ascii="方正仿宋_GBK" w:eastAsia="方正仿宋_GBK"/>
          <w:b/>
          <w:sz w:val="28"/>
        </w:rPr>
        <w:t>1.污水处理费/污水处理厂运营费绩效目标表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1、污水处理费/污水处理厂运营费绩效目标表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130525211N1BUUYO9DBXT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拨付污水处理厂运营费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米</w:t>
            </w:r>
            <w:r>
              <w:rPr>
                <w:rFonts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2340000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5" w:name="_Toc66063504"/>
      <w:r>
        <w:rPr>
          <w:rFonts w:hint="eastAsia" w:ascii="方正仿宋_GBK" w:eastAsia="方正仿宋_GBK"/>
          <w:b/>
          <w:sz w:val="28"/>
        </w:rPr>
        <w:t>2.三干渠污水治理费用绩效目标表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2、三干渠污水治理费用绩效目标表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130525211XLPLMGRX2AQP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三干渠污水治理费用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治理三干渠污水、平整三干渠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治理三干渠污水、平整三干渠</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抽排污水比例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抽排污水比占三干渠总污水比例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320000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6" w:name="_Toc66063505"/>
      <w:r>
        <w:rPr>
          <w:rFonts w:hint="eastAsia" w:ascii="方正仿宋_GBK" w:eastAsia="方正仿宋_GBK"/>
          <w:b/>
          <w:sz w:val="28"/>
        </w:rPr>
        <w:t>3.安全生产评价报告编制费绩效目标表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3、安全生产评价报告编制费绩效目标表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130525211Z25AGGMVOA3A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编制安全生产评价报告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编制安全生产评价报告</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7" w:name="_Toc66063506"/>
      <w:r>
        <w:rPr>
          <w:rFonts w:hint="eastAsia" w:ascii="方正仿宋_GBK" w:eastAsia="方正仿宋_GBK"/>
          <w:b/>
          <w:sz w:val="28"/>
        </w:rPr>
        <w:t>4.土地出让金/经六路亮化工程绩效目标表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4、土地出让金/经六路亮化工程绩效目标表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130525212CCTXFZKEISN8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经六路亮化工程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77710.00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77710.00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拨付经六路亮化工程工程款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拨付经六路亮化工程工程款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安装路灯基座数量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安装路灯基座数量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米座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77710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8" w:name="_Toc66063507"/>
      <w:r>
        <w:rPr>
          <w:rFonts w:hint="eastAsia" w:ascii="方正仿宋_GBK" w:eastAsia="方正仿宋_GBK"/>
          <w:b/>
          <w:sz w:val="28"/>
        </w:rPr>
        <w:t>5.招商引资专项经费绩效目标表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5、招商引资专项经费绩效目标表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130525214AN9ZTNW54G23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开展对外招商引资活动，组织实施投资贸易浅谈会等。</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外出招商次数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外出招商次数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9" w:name="_Toc66063508"/>
      <w:r>
        <w:rPr>
          <w:rFonts w:hint="eastAsia" w:ascii="方正仿宋_GBK" w:eastAsia="方正仿宋_GBK"/>
          <w:b/>
          <w:sz w:val="28"/>
        </w:rPr>
        <w:t>6.土地出让金/步行街道路翻修工程绩效目标表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6、土地出让金/步行街道路翻修工程绩效目标表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13052521AT9NL9VWXTTRF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步行街道路翻修工程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157340.00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157340.00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拨付步行街道路翻修工程工程款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拨付步行街道路翻修工程工程款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318</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157340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0" w:name="_Toc66063509"/>
      <w:r>
        <w:rPr>
          <w:rFonts w:hint="eastAsia" w:ascii="方正仿宋_GBK" w:eastAsia="方正仿宋_GBK"/>
          <w:b/>
          <w:sz w:val="28"/>
        </w:rPr>
        <w:t>7.土地出让金/友谊路翻修改造工程绩效目标表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7、土地出让金/友谊路翻修改造工程绩效目标表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13052521BQ3BXO2FG0GEL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友谊路翻修改造工程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437785.00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437785.00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拨付友谊路翻修改造工程工程款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拨付友谊路翻修改造工程工程款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1002</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437785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6063510"/>
      <w:r>
        <w:rPr>
          <w:rFonts w:hint="eastAsia" w:ascii="方正仿宋_GBK" w:eastAsia="方正仿宋_GBK"/>
          <w:b/>
          <w:sz w:val="28"/>
        </w:rPr>
        <w:t>8.土地出让金/东方食品城经六路中段非机动车道及坑塘护坡修复工程绩效目标表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8、土地出让金/东方食品城经六路中段非机动车道及坑塘护坡修复工程绩效目标表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13052521BW0294HCD8PWW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东方食品城经六路中段非机动车道及坑塘护坡修复工程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287000.00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287000.00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拨付经六路中段非机动车道及坑塘护坡修复工程工程款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拨付经六路中段非机动车道及坑塘护坡修复工程工程款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287000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6063511"/>
      <w:r>
        <w:rPr>
          <w:rFonts w:hint="eastAsia" w:ascii="方正仿宋_GBK" w:eastAsia="方正仿宋_GBK"/>
          <w:b/>
          <w:sz w:val="28"/>
        </w:rPr>
        <w:t>9.出水提升泵站电费绩效目标表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9、出水提升泵站电费绩效目标表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13052521FC1GL591LFZRY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出水提升泵站电费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拨付出水提升泵站电费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拨付出水提升泵站电费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化学需氧量消减量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化学需氧量消减量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6063512"/>
      <w:r>
        <w:rPr>
          <w:rFonts w:hint="eastAsia" w:ascii="方正仿宋_GBK" w:eastAsia="方正仿宋_GBK"/>
          <w:b/>
          <w:sz w:val="28"/>
        </w:rPr>
        <w:t>10.土地出让金/电厂东路及兴龙路东段维修翻新工程绩效目标表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10、土地出让金/电厂东路及兴龙路东段维修翻新工程绩效目标表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13052521FOXLLI0NWTB2K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电厂东路及兴龙路东段维修翻新工程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214135.00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214135.00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拨付电厂东路及兴龙路东段维修翻修工程工程款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拨付电厂东路及兴龙路东段维修翻修工程工程款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214135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6063513"/>
      <w:r>
        <w:rPr>
          <w:rFonts w:hint="eastAsia" w:ascii="方正仿宋_GBK" w:eastAsia="方正仿宋_GBK"/>
          <w:b/>
          <w:sz w:val="28"/>
        </w:rPr>
        <w:t>11.中小企业园日常运营费绩效目标表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11、中小企业园日常运营费绩效目标表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13052521FUAG863AGY6F0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中小企业园日常运营费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维持中小企业园日常运营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维持中小企业园日常运营</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6063514"/>
      <w:r>
        <w:rPr>
          <w:rFonts w:hint="eastAsia" w:ascii="方正仿宋_GBK" w:eastAsia="方正仿宋_GBK"/>
          <w:b/>
          <w:sz w:val="28"/>
        </w:rPr>
        <w:t>12.区域节能报告编制费绩效目标表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12、区域节能报告编制费绩效目标表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13052521GDARCYDSTSVAY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区域节能报告编制费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实施区域能评编制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实施区域能评编制</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区域能评报告区域占比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区域能评报告区域占比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6" w:name="_Toc66063515"/>
      <w:r>
        <w:rPr>
          <w:rFonts w:hint="eastAsia" w:ascii="方正仿宋_GBK" w:eastAsia="方正仿宋_GBK"/>
          <w:b/>
          <w:sz w:val="28"/>
        </w:rPr>
        <w:t>13.土地出让金/经三路道路排水工程绩效目标表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13、土地出让金/经三路道路排水工程绩效目标表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13052521GPVGBCLFONTSI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经三路道路排水工程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541291.00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541291.00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拨付经三路道路排水工程工程款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拨付经三路道路排水工程工程款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新修建道路长度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新修建道路长度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1218</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541291</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7" w:name="_Toc66063516"/>
      <w:r>
        <w:rPr>
          <w:rFonts w:hint="eastAsia" w:ascii="方正仿宋_GBK" w:eastAsia="方正仿宋_GBK"/>
          <w:b/>
          <w:sz w:val="28"/>
        </w:rPr>
        <w:t>14.5项水污染防治工程费用绩效目标表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14、5项水污染防治工程费用绩效目标表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13052521GQDSXVEPVS1FG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项水污染防治工程费用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项水污染治理工程费用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5</w:t>
            </w:r>
            <w:r>
              <w:rPr>
                <w:rFonts w:hint="eastAsia" w:ascii="方正书宋_GBK" w:eastAsia="方正书宋_GBK"/>
              </w:rPr>
              <w:t>项水污染治理工程</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修复污水井个数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修复污水井个数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320000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8" w:name="_Toc66063517"/>
      <w:r>
        <w:rPr>
          <w:rFonts w:hint="eastAsia" w:ascii="方正仿宋_GBK" w:eastAsia="方正仿宋_GBK"/>
          <w:b/>
          <w:sz w:val="28"/>
        </w:rPr>
        <w:t>15.土地出让金/纬二路、经六路社保费及风险基金绩效目标表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15、土地出让金/纬二路、经六路社保费及风险基金绩效目标表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13052521GYYBHTC61LOIT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纬二路、经六路社保费及风险基金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1653333.00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1653333.00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拨付纬二路、经六路社保费及风险基金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拨付纬二路、经六路社保费及风险基金</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新建道路里程数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新建道路里程数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1653333</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9" w:name="_Toc66063518"/>
      <w:r>
        <w:rPr>
          <w:rFonts w:hint="eastAsia" w:ascii="方正仿宋_GBK" w:eastAsia="方正仿宋_GBK"/>
          <w:b/>
          <w:sz w:val="28"/>
        </w:rPr>
        <w:t>16.信息中心运营费绩效目标表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16、信息中心运营费绩效目标表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13052521I1NQG817F5G1W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信息中心运营费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维持信息中心日常运营</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维持信息中心日常运营</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达标排放污水企业占比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达标排放污水企业占比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0" w:name="_Toc66063519"/>
      <w:r>
        <w:rPr>
          <w:rFonts w:hint="eastAsia" w:ascii="方正仿宋_GBK" w:eastAsia="方正仿宋_GBK"/>
          <w:b/>
          <w:sz w:val="28"/>
        </w:rPr>
        <w:t>17.凤韩门口蒸汽管道入地工程绩效目标表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17、凤韩门口蒸汽管道入地工程绩效目标表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13052521I5C2BOQGN9LN2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凤韩门口蒸汽管道入地工程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184000.00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184000.00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完成凤韩门口蒸汽管道入地项目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完成凤韩门口蒸汽管道入地项目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加快凤韩泡菜项目建设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扫除项目建设障碍</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蒸汽管道入地长度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蒸汽管道入地长度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184000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加快凤韩泡菜项目建设进度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受益企业员工满意度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受益企业员工满意度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1" w:name="_Toc66063520"/>
      <w:r>
        <w:rPr>
          <w:rFonts w:hint="eastAsia" w:ascii="方正仿宋_GBK" w:eastAsia="方正仿宋_GBK"/>
          <w:b/>
          <w:sz w:val="28"/>
        </w:rPr>
        <w:t>18.东方食品城园区VOSs苏马罐检测费绩效目标表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18、东方食品城园区VOSs苏马罐检测费绩效目标表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13052521L765IYWRDE2V2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东方食品城园区</w:t>
            </w:r>
            <w:r>
              <w:rPr>
                <w:rFonts w:ascii="方正书宋_GBK" w:eastAsia="方正书宋_GBK"/>
              </w:rPr>
              <w:t>VOSs</w:t>
            </w:r>
            <w:r>
              <w:rPr>
                <w:rFonts w:hint="eastAsia" w:ascii="方正书宋_GBK" w:eastAsia="方正书宋_GBK"/>
              </w:rPr>
              <w:t>苏马罐检测费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完成东方食品城园区</w:t>
            </w:r>
            <w:r>
              <w:rPr>
                <w:rFonts w:ascii="方正书宋_GBK" w:eastAsia="方正书宋_GBK"/>
              </w:rPr>
              <w:t>VOCs</w:t>
            </w:r>
            <w:r>
              <w:rPr>
                <w:rFonts w:hint="eastAsia" w:ascii="方正书宋_GBK" w:eastAsia="方正书宋_GBK"/>
              </w:rPr>
              <w:t>苏马罐检测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完成东方食品城园区</w:t>
            </w:r>
            <w:r>
              <w:rPr>
                <w:rFonts w:ascii="方正书宋_GBK" w:eastAsia="方正书宋_GBK"/>
              </w:rPr>
              <w:t>VOCs</w:t>
            </w:r>
            <w:r>
              <w:rPr>
                <w:rFonts w:hint="eastAsia" w:ascii="方正书宋_GBK" w:eastAsia="方正书宋_GBK"/>
              </w:rPr>
              <w:t>苏马罐检测</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2" w:name="_Toc66063521"/>
      <w:r>
        <w:rPr>
          <w:rFonts w:hint="eastAsia" w:ascii="方正仿宋_GBK" w:eastAsia="方正仿宋_GBK"/>
          <w:b/>
          <w:sz w:val="28"/>
        </w:rPr>
        <w:t>19.绿化养护费绩效目标表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19、绿化养护费绩效目标表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13052521L8ZGILMPPZ007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保证园区日常绿化养护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保证园区日常绿化养护</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3" w:name="_Toc66063522"/>
      <w:r>
        <w:rPr>
          <w:rFonts w:hint="eastAsia" w:ascii="方正仿宋_GBK" w:eastAsia="方正仿宋_GBK"/>
          <w:b/>
          <w:sz w:val="28"/>
        </w:rPr>
        <w:t>20.土地出让金/兴龙路和商贸路雨污分流改造工程绩效目标表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20、土地出让金/兴龙路和商贸路雨污分流改造工程绩效目标表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13052521NVS5PA90PGKUC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兴龙路和商贸路雨污分流改造工程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13313.00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13313.00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拨付兴龙路和商贸路雨污分流改造工程工程款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拨付兴龙路和商贸路雨污分流改造工程工程款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铺设雨水管道长度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铺设雨水管道长度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13313</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4" w:name="_Toc66063523"/>
      <w:r>
        <w:rPr>
          <w:rFonts w:hint="eastAsia" w:ascii="方正仿宋_GBK" w:eastAsia="方正仿宋_GBK"/>
          <w:b/>
          <w:sz w:val="28"/>
        </w:rPr>
        <w:t>21.土地出让金/项目申报及工程前期费用（隆尧县食品特色小镇基础设施建设工程、隆尧县东方食品城服务功能配套项目等）绩效目标表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21、土地出让金/项目申报及工程前期费用（隆尧县食品特色小镇基础设施建设工程、隆尧县东方食品城服务功能配套项目等）绩效目标表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13052521OOHUQLZ9WZPZF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项目申报及工程前期费用（隆尧县食品特色小镇基础设施建设工程、隆尧县东方食品城服务功能配套项目等）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拨付项目申报及工程前期费用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拨付项目申报及工程前期费用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拨付工程前期费用数量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拨付工程前期费用数量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5" w:name="_Toc66063524"/>
      <w:r>
        <w:rPr>
          <w:rFonts w:hint="eastAsia" w:ascii="方正仿宋_GBK" w:eastAsia="方正仿宋_GBK"/>
          <w:b/>
          <w:sz w:val="28"/>
        </w:rPr>
        <w:t>22.路灯电费绩效目标表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22、路灯电费绩效目标表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13052521PE5HZ3PHX5MXQ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路灯电费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421450.00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421450.00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保证园区路灯正常照明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保证园区路灯正常照明</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园区亮化面积占比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园区亮化面积占比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6" w:name="_Toc66063525"/>
      <w:r>
        <w:rPr>
          <w:rFonts w:hint="eastAsia" w:ascii="方正仿宋_GBK" w:eastAsia="方正仿宋_GBK"/>
          <w:b/>
          <w:sz w:val="28"/>
        </w:rPr>
        <w:t>23.土地出让金/纬三、纬四路道路、排水工程利息款绩效目标表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23、土地出让金/纬三、纬四路道路、排水工程利息款绩效目标表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13052521QGA7IZV51IG8A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纬三、纬四路道路、排水工程利息款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拨付纬三、纬四路道路、排水工程利息款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拨付纬三、纬四路道路、排水工程利息款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2454</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7" w:name="_Toc66063526"/>
      <w:r>
        <w:rPr>
          <w:rFonts w:hint="eastAsia" w:ascii="方正仿宋_GBK" w:eastAsia="方正仿宋_GBK"/>
          <w:b/>
          <w:sz w:val="28"/>
        </w:rPr>
        <w:t>24.土地出让金/东方食品城水体治理工程绩效目标表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24、土地出让金/东方食品城水体治理工程绩效目标表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13052521RC5DLFUB87IK7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东方食品城水体治理工程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拨付东方食品城水体治理工程工程款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拨付东方食品城水体治理工程工程款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治理污水方数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治理污水方数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8" w:name="_Toc66063527"/>
      <w:r>
        <w:rPr>
          <w:rFonts w:hint="eastAsia" w:ascii="方正仿宋_GBK" w:eastAsia="方正仿宋_GBK"/>
          <w:b/>
          <w:sz w:val="28"/>
        </w:rPr>
        <w:t>25.土地出让金/华龙大街北延道路排水工程绩效目标表</w:t>
      </w:r>
      <w:bookmarkEnd w:id="2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25、土地出让金/华龙大街北延道路排水工程绩效目标表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13052521S6XMQ9HAB26LN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华龙大街北延道路排水工程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439721.00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439721.00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拨付华龙大街北延道路排水工程工程款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拨付华龙大街北延道路排水工程工程款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817</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439721</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9" w:name="_Toc66063528"/>
      <w:r>
        <w:rPr>
          <w:rFonts w:hint="eastAsia" w:ascii="方正仿宋_GBK" w:eastAsia="方正仿宋_GBK"/>
          <w:b/>
          <w:sz w:val="28"/>
        </w:rPr>
        <w:t>26.东方食品城环境污染应急预案编制费绩效目标表</w:t>
      </w:r>
      <w:bookmarkEnd w:id="2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26、东方食品城环境污染应急预案编制费绩效目标表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13052521UW9K66X6163LK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东方食品城环境污染应急预案编制费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编制东方食品城环境污染应急预案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编制东方食品城环境污染应急预案</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环境污染应急预案报告区域占比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环境污染应急预案报告区域占比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30" w:name="_Toc66063529"/>
      <w:r>
        <w:rPr>
          <w:rFonts w:hint="eastAsia" w:ascii="方正仿宋_GBK" w:eastAsia="方正仿宋_GBK"/>
          <w:b/>
          <w:sz w:val="28"/>
        </w:rPr>
        <w:t>27.上年结转/污水处理费/污水处理厂运营费绩效目标表</w:t>
      </w:r>
      <w:bookmarkEnd w:id="3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27、上年结转/污水处理费/污水处理厂运营费绩效目标表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13052521ZPGM97EWBB174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污水处理费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拨付污水处理厂运营费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米</w:t>
            </w:r>
            <w:r>
              <w:rPr>
                <w:rFonts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2340000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3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元。</w:t>
      </w:r>
      <w:bookmarkEnd w:id="31"/>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highlight w:val="none"/>
        </w:rPr>
      </w:pPr>
      <w:r>
        <w:rPr>
          <w:rFonts w:hint="eastAsia" w:ascii="Times New Roman" w:hAnsi="Times New Roman" w:eastAsia="仿宋" w:cs="Times New Roman"/>
          <w:color w:val="000000"/>
          <w:sz w:val="32"/>
          <w:szCs w:val="32"/>
          <w:highlight w:val="none"/>
          <w:lang w:eastAsia="zh-CN"/>
        </w:rPr>
        <w:t>我单位</w:t>
      </w:r>
      <w:r>
        <w:rPr>
          <w:rFonts w:hint="eastAsia" w:ascii="Times New Roman" w:hAnsi="Times New Roman" w:eastAsia="仿宋" w:cs="Times New Roman"/>
          <w:color w:val="000000"/>
          <w:sz w:val="32"/>
          <w:szCs w:val="32"/>
          <w:highlight w:val="none"/>
          <w:lang w:val="en-US" w:eastAsia="zh-CN"/>
        </w:rPr>
        <w:t>2020</w:t>
      </w:r>
      <w:r>
        <w:rPr>
          <w:rFonts w:ascii="Times New Roman" w:hAnsi="Times New Roman" w:eastAsia="仿宋" w:cs="Times New Roman"/>
          <w:color w:val="000000"/>
          <w:sz w:val="32"/>
          <w:szCs w:val="32"/>
          <w:highlight w:val="none"/>
        </w:rPr>
        <w:t>年末固定资产金额为564991.86元（详见下表），本年度拟购置固定资产</w:t>
      </w:r>
      <w:r>
        <w:rPr>
          <w:rFonts w:hint="eastAsia" w:ascii="Times New Roman" w:hAnsi="Times New Roman" w:eastAsia="仿宋" w:cs="Times New Roman"/>
          <w:color w:val="000000"/>
          <w:sz w:val="32"/>
          <w:szCs w:val="32"/>
          <w:highlight w:val="none"/>
        </w:rPr>
        <w:t>总额为</w:t>
      </w:r>
      <w:r>
        <w:rPr>
          <w:rFonts w:hint="eastAsia" w:ascii="Times New Roman" w:hAnsi="Times New Roman" w:eastAsia="仿宋" w:cs="Times New Roman"/>
          <w:color w:val="000000"/>
          <w:sz w:val="32"/>
          <w:szCs w:val="32"/>
          <w:highlight w:val="none"/>
          <w:lang w:val="en-US" w:eastAsia="zh-CN"/>
        </w:rPr>
        <w:t>0</w:t>
      </w:r>
      <w:r>
        <w:rPr>
          <w:rFonts w:ascii="Times New Roman" w:hAnsi="Times New Roman" w:eastAsia="仿宋" w:cs="Times New Roman"/>
          <w:color w:val="000000"/>
          <w:sz w:val="32"/>
          <w:szCs w:val="32"/>
          <w:highlight w:val="none"/>
        </w:rPr>
        <w:t>元</w:t>
      </w:r>
      <w:r>
        <w:rPr>
          <w:rFonts w:hint="eastAsia" w:ascii="Times New Roman" w:hAnsi="Times New Roman" w:eastAsia="仿宋" w:cs="Times New Roman"/>
          <w:color w:val="000000"/>
          <w:sz w:val="32"/>
          <w:szCs w:val="32"/>
          <w:highlight w:val="none"/>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隆尧县东方食品城项目建设服务中心</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隆尧县东方食品城项目建设服务中心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t>564991.86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86800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478191.86</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WFmZGQ1MGRkOGU3OGUyZmJiMDIxMzY3YWE1YzAifQ=="/>
  </w:docVars>
  <w:rsids>
    <w:rsidRoot w:val="00EE71BA"/>
    <w:rsid w:val="000C7140"/>
    <w:rsid w:val="00323B29"/>
    <w:rsid w:val="0039059E"/>
    <w:rsid w:val="007F0341"/>
    <w:rsid w:val="008014BC"/>
    <w:rsid w:val="009A521C"/>
    <w:rsid w:val="00D607DA"/>
    <w:rsid w:val="00DC6EE5"/>
    <w:rsid w:val="00EE71BA"/>
    <w:rsid w:val="00F867E4"/>
    <w:rsid w:val="011C5EA0"/>
    <w:rsid w:val="044539F0"/>
    <w:rsid w:val="05413748"/>
    <w:rsid w:val="06446A09"/>
    <w:rsid w:val="06915006"/>
    <w:rsid w:val="0828365C"/>
    <w:rsid w:val="0A32761B"/>
    <w:rsid w:val="0D92790F"/>
    <w:rsid w:val="0E4323F1"/>
    <w:rsid w:val="0E43752E"/>
    <w:rsid w:val="0F6459AD"/>
    <w:rsid w:val="10521CAA"/>
    <w:rsid w:val="10711D79"/>
    <w:rsid w:val="1150145A"/>
    <w:rsid w:val="12F62516"/>
    <w:rsid w:val="14625113"/>
    <w:rsid w:val="14D71046"/>
    <w:rsid w:val="15655FDB"/>
    <w:rsid w:val="159E53C9"/>
    <w:rsid w:val="162028FD"/>
    <w:rsid w:val="1C196838"/>
    <w:rsid w:val="1C777F35"/>
    <w:rsid w:val="1F9D6621"/>
    <w:rsid w:val="203A21C9"/>
    <w:rsid w:val="20601879"/>
    <w:rsid w:val="210573BC"/>
    <w:rsid w:val="22257254"/>
    <w:rsid w:val="226514FC"/>
    <w:rsid w:val="2406098A"/>
    <w:rsid w:val="285E5C32"/>
    <w:rsid w:val="29024D10"/>
    <w:rsid w:val="295E4069"/>
    <w:rsid w:val="29787C34"/>
    <w:rsid w:val="2B8149FB"/>
    <w:rsid w:val="2CA23219"/>
    <w:rsid w:val="2CC814BC"/>
    <w:rsid w:val="2EEE481B"/>
    <w:rsid w:val="32593DE4"/>
    <w:rsid w:val="34330B43"/>
    <w:rsid w:val="34D50545"/>
    <w:rsid w:val="362C66D2"/>
    <w:rsid w:val="39380872"/>
    <w:rsid w:val="39385CD4"/>
    <w:rsid w:val="39774D44"/>
    <w:rsid w:val="3A9D55D1"/>
    <w:rsid w:val="3B034D5C"/>
    <w:rsid w:val="3BDA7B7A"/>
    <w:rsid w:val="3DB14BC6"/>
    <w:rsid w:val="3DBC3A8A"/>
    <w:rsid w:val="3E296CBB"/>
    <w:rsid w:val="3F734AA5"/>
    <w:rsid w:val="40E40AFD"/>
    <w:rsid w:val="41524843"/>
    <w:rsid w:val="417A1C6A"/>
    <w:rsid w:val="41F367B7"/>
    <w:rsid w:val="4296707A"/>
    <w:rsid w:val="43641B26"/>
    <w:rsid w:val="43C507E0"/>
    <w:rsid w:val="44CA4414"/>
    <w:rsid w:val="460A7401"/>
    <w:rsid w:val="477F6315"/>
    <w:rsid w:val="483D737D"/>
    <w:rsid w:val="48BE4C6E"/>
    <w:rsid w:val="49297664"/>
    <w:rsid w:val="49DB003F"/>
    <w:rsid w:val="4B9C5415"/>
    <w:rsid w:val="4BDC3BFA"/>
    <w:rsid w:val="4D4E0B28"/>
    <w:rsid w:val="4D9C4A24"/>
    <w:rsid w:val="51B61293"/>
    <w:rsid w:val="520E10F5"/>
    <w:rsid w:val="542C0158"/>
    <w:rsid w:val="55F61D5C"/>
    <w:rsid w:val="56D7001A"/>
    <w:rsid w:val="57035747"/>
    <w:rsid w:val="59B9510A"/>
    <w:rsid w:val="5A013892"/>
    <w:rsid w:val="5B4123D9"/>
    <w:rsid w:val="5BFB2A8E"/>
    <w:rsid w:val="5C317F92"/>
    <w:rsid w:val="5CAA564F"/>
    <w:rsid w:val="5FAB6767"/>
    <w:rsid w:val="60B03529"/>
    <w:rsid w:val="61463829"/>
    <w:rsid w:val="61FF53ED"/>
    <w:rsid w:val="626F5B50"/>
    <w:rsid w:val="640D6BEF"/>
    <w:rsid w:val="64EB04D3"/>
    <w:rsid w:val="671C113C"/>
    <w:rsid w:val="67B4474D"/>
    <w:rsid w:val="68374F64"/>
    <w:rsid w:val="68727968"/>
    <w:rsid w:val="68DB25EE"/>
    <w:rsid w:val="6D135E16"/>
    <w:rsid w:val="6E274D51"/>
    <w:rsid w:val="6F18738B"/>
    <w:rsid w:val="6F2D56DC"/>
    <w:rsid w:val="6FEB586E"/>
    <w:rsid w:val="70EB554B"/>
    <w:rsid w:val="716B46E4"/>
    <w:rsid w:val="723A12BF"/>
    <w:rsid w:val="74D85CEA"/>
    <w:rsid w:val="76C84BF7"/>
    <w:rsid w:val="77AD2ED5"/>
    <w:rsid w:val="77B734C6"/>
    <w:rsid w:val="77D808EE"/>
    <w:rsid w:val="784C0017"/>
    <w:rsid w:val="79995A2A"/>
    <w:rsid w:val="7AB457E1"/>
    <w:rsid w:val="7AD46261"/>
    <w:rsid w:val="7BB016C5"/>
    <w:rsid w:val="7BEE2DA0"/>
    <w:rsid w:val="7D9B3EF0"/>
    <w:rsid w:val="7DA03D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39</Pages>
  <Words>12763</Words>
  <Characters>15125</Characters>
  <Lines>62</Lines>
  <Paragraphs>17</Paragraphs>
  <TotalTime>270</TotalTime>
  <ScaleCrop>false</ScaleCrop>
  <LinksUpToDate>false</LinksUpToDate>
  <CharactersWithSpaces>15194</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Administrator</cp:lastModifiedBy>
  <cp:lastPrinted>2020-01-10T15:53:00Z</cp:lastPrinted>
  <dcterms:modified xsi:type="dcterms:W3CDTF">2022-09-03T05:19:06Z</dcterms:modified>
  <cp:revision>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B9CB806312B24526A855218BB3BE1658</vt:lpwstr>
  </property>
</Properties>
</file>