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hint="eastAsia" w:ascii="仿宋" w:hAnsi="仿宋" w:eastAsia="仿宋" w:cs="仿宋"/>
          <w:sz w:val="44"/>
          <w:szCs w:val="44"/>
        </w:rPr>
      </w:pPr>
      <w:r>
        <w:rPr>
          <w:rFonts w:hint="eastAsia" w:ascii="仿宋" w:hAnsi="仿宋" w:eastAsia="仿宋" w:cs="仿宋"/>
          <w:sz w:val="44"/>
          <w:szCs w:val="44"/>
        </w:rPr>
        <w:t>隆尧县消防救援大队</w:t>
      </w:r>
    </w:p>
    <w:p>
      <w:pPr>
        <w:ind w:firstLine="880" w:firstLineChars="200"/>
        <w:jc w:val="center"/>
        <w:rPr>
          <w:rFonts w:hint="eastAsia" w:ascii="仿宋" w:hAnsi="仿宋" w:eastAsia="仿宋" w:cs="仿宋"/>
          <w:sz w:val="44"/>
          <w:szCs w:val="44"/>
        </w:rPr>
      </w:pPr>
      <w:r>
        <w:rPr>
          <w:rFonts w:hint="eastAsia" w:ascii="仿宋" w:hAnsi="仿宋" w:eastAsia="仿宋" w:cs="仿宋"/>
          <w:sz w:val="44"/>
          <w:szCs w:val="44"/>
        </w:rPr>
        <w:t>2021年部门预算信息公开情况说明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按照《预算法》、《地方预决算公开操作规程》和《</w:t>
      </w:r>
      <w:r>
        <w:rPr>
          <w:rFonts w:hint="eastAsia" w:ascii="仿宋" w:hAnsi="仿宋" w:eastAsia="仿宋" w:cs="仿宋"/>
          <w:sz w:val="32"/>
          <w:szCs w:val="32"/>
          <w:lang w:val="en-US" w:eastAsia="zh-CN"/>
        </w:rPr>
        <w:t>隆尧县县</w:t>
      </w:r>
      <w:r>
        <w:rPr>
          <w:rFonts w:hint="eastAsia" w:ascii="仿宋" w:hAnsi="仿宋" w:eastAsia="仿宋" w:cs="仿宋"/>
          <w:sz w:val="32"/>
          <w:szCs w:val="32"/>
        </w:rPr>
        <w:t>级预算公开办法》规定，现将隆尧县消防救援大队2021年部门预算公开如下：</w:t>
      </w:r>
    </w:p>
    <w:p>
      <w:pPr>
        <w:ind w:firstLine="640"/>
        <w:rPr>
          <w:rFonts w:hint="eastAsia" w:ascii="仿宋" w:hAnsi="仿宋" w:eastAsia="仿宋" w:cs="仿宋"/>
          <w:sz w:val="32"/>
          <w:szCs w:val="32"/>
        </w:rPr>
      </w:pPr>
      <w:r>
        <w:rPr>
          <w:rFonts w:hint="eastAsia" w:ascii="仿宋" w:hAnsi="仿宋" w:eastAsia="仿宋" w:cs="仿宋"/>
          <w:sz w:val="32"/>
          <w:szCs w:val="32"/>
        </w:rPr>
        <w:t>一、部门职责及机构设置情况</w:t>
      </w:r>
    </w:p>
    <w:p>
      <w:pPr>
        <w:pStyle w:val="10"/>
        <w:shd w:val="clear" w:color="auto" w:fill="FFFFFF"/>
        <w:spacing w:before="0" w:beforeAutospacing="0" w:after="225" w:afterAutospacing="0" w:line="360" w:lineRule="atLeast"/>
        <w:ind w:firstLine="480"/>
        <w:rPr>
          <w:rFonts w:hint="eastAsia" w:ascii="仿宋" w:hAnsi="仿宋" w:eastAsia="仿宋" w:cs="仿宋"/>
          <w:b/>
          <w:sz w:val="32"/>
          <w:szCs w:val="32"/>
        </w:rPr>
      </w:pPr>
      <w:r>
        <w:rPr>
          <w:rFonts w:hint="eastAsia" w:ascii="仿宋" w:hAnsi="仿宋" w:eastAsia="仿宋" w:cs="仿宋"/>
          <w:b/>
          <w:sz w:val="32"/>
          <w:szCs w:val="32"/>
        </w:rPr>
        <w:t>部门职责：</w:t>
      </w:r>
      <w:bookmarkStart w:id="4" w:name="_GoBack"/>
      <w:bookmarkEnd w:id="4"/>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(一)承担责任区消防安全宣传教育培训，普及消防知识;</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(二)定期进行防火检查，督促有关单位和个人落实防火责任制，及时消除火灾隐患;</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(三)建立防火检查档案，按照国家规定设置防火标志;</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(四)掌握责任区域的道路、消防水源、消防安全重点单位、重点部位等情况，建立相应的消防业务资料档案;</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(五)制定消防安全重点单位、重点部位的事故处置和灭火作战预案，定期组织演练;</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(六)指导培训义务消防队;</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(七)扑救火灾，保护火灾现场，协助有关部门调查火灾原因、处理火灾事故;</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(八)定期向消防救援机构报告消防工作情况;</w:t>
      </w:r>
    </w:p>
    <w:p>
      <w:pPr>
        <w:pStyle w:val="10"/>
        <w:shd w:val="clear" w:color="auto" w:fill="FFFFFF"/>
        <w:spacing w:before="0" w:beforeAutospacing="0" w:after="225" w:afterAutospacing="0" w:line="360" w:lineRule="atLeast"/>
        <w:ind w:firstLine="480"/>
        <w:rPr>
          <w:rFonts w:hint="eastAsia" w:ascii="仿宋" w:hAnsi="仿宋" w:eastAsia="仿宋" w:cs="仿宋"/>
          <w:kern w:val="2"/>
          <w:sz w:val="32"/>
          <w:szCs w:val="32"/>
        </w:rPr>
      </w:pPr>
      <w:r>
        <w:rPr>
          <w:rFonts w:hint="eastAsia" w:ascii="仿宋" w:hAnsi="仿宋" w:eastAsia="仿宋" w:cs="仿宋"/>
          <w:kern w:val="2"/>
          <w:sz w:val="32"/>
          <w:szCs w:val="32"/>
        </w:rPr>
        <w:t>(九)按规定应当履行的其他职责。</w:t>
      </w:r>
    </w:p>
    <w:p>
      <w:pPr>
        <w:ind w:firstLine="640" w:firstLineChars="200"/>
        <w:rPr>
          <w:rFonts w:hint="eastAsia" w:ascii="仿宋" w:hAnsi="仿宋" w:eastAsia="仿宋" w:cs="仿宋"/>
          <w:b/>
          <w:sz w:val="32"/>
          <w:szCs w:val="32"/>
        </w:rPr>
      </w:pPr>
    </w:p>
    <w:p>
      <w:pPr>
        <w:autoSpaceDE w:val="0"/>
        <w:autoSpaceDN w:val="0"/>
        <w:adjustRightInd w:val="0"/>
        <w:ind w:firstLine="640" w:firstLineChars="200"/>
        <w:jc w:val="left"/>
        <w:rPr>
          <w:rFonts w:hint="eastAsia" w:ascii="仿宋" w:hAnsi="仿宋" w:eastAsia="仿宋" w:cs="仿宋"/>
          <w:b/>
          <w:sz w:val="32"/>
          <w:szCs w:val="32"/>
        </w:rPr>
      </w:pPr>
      <w:r>
        <w:rPr>
          <w:rFonts w:hint="eastAsia" w:ascii="仿宋" w:hAnsi="仿宋" w:eastAsia="仿宋" w:cs="仿宋"/>
          <w:b/>
          <w:sz w:val="32"/>
          <w:szCs w:val="32"/>
        </w:rPr>
        <w:t>机构设置：</w:t>
      </w:r>
    </w:p>
    <w:p>
      <w:pPr>
        <w:jc w:val="center"/>
        <w:outlineLvl w:val="0"/>
        <w:rPr>
          <w:rFonts w:hint="eastAsia" w:ascii="仿宋" w:hAnsi="仿宋" w:eastAsia="仿宋" w:cs="仿宋"/>
          <w:sz w:val="32"/>
          <w:szCs w:val="24"/>
        </w:rPr>
      </w:pPr>
      <w:r>
        <w:rPr>
          <w:rFonts w:hint="eastAsia" w:ascii="仿宋" w:hAnsi="仿宋" w:eastAsia="仿宋" w:cs="仿宋"/>
          <w:sz w:val="32"/>
          <w:szCs w:val="24"/>
        </w:rPr>
        <w:t>部门机构设置情况</w:t>
      </w:r>
    </w:p>
    <w:tbl>
      <w:tblPr>
        <w:tblStyle w:val="11"/>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76"/>
        <w:gridCol w:w="1701"/>
        <w:gridCol w:w="1792"/>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单位名称</w:t>
            </w:r>
          </w:p>
        </w:tc>
        <w:tc>
          <w:tcPr>
            <w:tcW w:w="1701"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单位性质</w:t>
            </w:r>
          </w:p>
        </w:tc>
        <w:tc>
          <w:tcPr>
            <w:tcW w:w="1792"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单位规格</w:t>
            </w:r>
          </w:p>
        </w:tc>
        <w:tc>
          <w:tcPr>
            <w:tcW w:w="3013" w:type="dxa"/>
            <w:vMerge w:val="restart"/>
            <w:vAlign w:val="center"/>
          </w:tcPr>
          <w:p>
            <w:pPr>
              <w:spacing w:line="300" w:lineRule="exact"/>
              <w:jc w:val="center"/>
              <w:rPr>
                <w:rFonts w:hint="eastAsia" w:ascii="仿宋" w:hAnsi="仿宋" w:eastAsia="仿宋" w:cs="仿宋"/>
                <w:b/>
              </w:rPr>
            </w:pPr>
            <w:r>
              <w:rPr>
                <w:rFonts w:hint="eastAsia" w:ascii="仿宋" w:hAnsi="仿宋" w:eastAsia="仿宋" w:cs="仿宋"/>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276" w:type="dxa"/>
            <w:vMerge w:val="continue"/>
            <w:vAlign w:val="center"/>
          </w:tcPr>
          <w:p>
            <w:pPr>
              <w:spacing w:line="300" w:lineRule="exact"/>
              <w:jc w:val="left"/>
              <w:outlineLvl w:val="0"/>
              <w:rPr>
                <w:rFonts w:hint="eastAsia" w:ascii="仿宋" w:hAnsi="仿宋" w:eastAsia="仿宋" w:cs="仿宋"/>
              </w:rPr>
            </w:pPr>
          </w:p>
        </w:tc>
        <w:tc>
          <w:tcPr>
            <w:tcW w:w="1701" w:type="dxa"/>
            <w:vMerge w:val="continue"/>
            <w:vAlign w:val="center"/>
          </w:tcPr>
          <w:p>
            <w:pPr>
              <w:spacing w:line="300" w:lineRule="exact"/>
              <w:jc w:val="left"/>
              <w:outlineLvl w:val="0"/>
              <w:rPr>
                <w:rFonts w:hint="eastAsia" w:ascii="仿宋" w:hAnsi="仿宋" w:eastAsia="仿宋" w:cs="仿宋"/>
              </w:rPr>
            </w:pPr>
          </w:p>
        </w:tc>
        <w:tc>
          <w:tcPr>
            <w:tcW w:w="1792" w:type="dxa"/>
            <w:vMerge w:val="continue"/>
            <w:vAlign w:val="center"/>
          </w:tcPr>
          <w:p>
            <w:pPr>
              <w:spacing w:line="300" w:lineRule="exact"/>
              <w:jc w:val="left"/>
              <w:outlineLvl w:val="0"/>
              <w:rPr>
                <w:rFonts w:hint="eastAsia" w:ascii="仿宋" w:hAnsi="仿宋" w:eastAsia="仿宋" w:cs="仿宋"/>
              </w:rPr>
            </w:pPr>
          </w:p>
        </w:tc>
        <w:tc>
          <w:tcPr>
            <w:tcW w:w="3013" w:type="dxa"/>
            <w:vMerge w:val="continue"/>
            <w:vAlign w:val="center"/>
          </w:tcPr>
          <w:p>
            <w:pPr>
              <w:spacing w:line="300" w:lineRule="exact"/>
              <w:jc w:val="left"/>
              <w:outlineLvl w:val="0"/>
              <w:rPr>
                <w:rFonts w:hint="eastAsia" w:ascii="仿宋" w:hAnsi="仿宋" w:eastAsia="仿宋" w:cs="仿宋"/>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276" w:type="dxa"/>
            <w:vAlign w:val="center"/>
          </w:tcPr>
          <w:p>
            <w:pPr>
              <w:spacing w:line="300" w:lineRule="exact"/>
              <w:jc w:val="left"/>
              <w:rPr>
                <w:rFonts w:hint="eastAsia" w:ascii="仿宋" w:hAnsi="仿宋" w:eastAsia="仿宋" w:cs="仿宋"/>
              </w:rPr>
            </w:pPr>
            <w:r>
              <w:rPr>
                <w:rFonts w:hint="eastAsia" w:ascii="仿宋" w:hAnsi="仿宋" w:eastAsia="仿宋" w:cs="仿宋"/>
              </w:rPr>
              <w:t>隆尧县消防救援大队</w:t>
            </w:r>
          </w:p>
        </w:tc>
        <w:tc>
          <w:tcPr>
            <w:tcW w:w="1701" w:type="dxa"/>
            <w:vAlign w:val="center"/>
          </w:tcPr>
          <w:p>
            <w:pPr>
              <w:spacing w:line="300" w:lineRule="exact"/>
              <w:jc w:val="center"/>
              <w:rPr>
                <w:rFonts w:hint="eastAsia" w:ascii="仿宋" w:hAnsi="仿宋" w:eastAsia="仿宋" w:cs="仿宋"/>
              </w:rPr>
            </w:pPr>
            <w:r>
              <w:rPr>
                <w:rFonts w:hint="eastAsia" w:ascii="仿宋" w:hAnsi="仿宋" w:eastAsia="仿宋" w:cs="仿宋"/>
              </w:rPr>
              <w:t>行政</w:t>
            </w:r>
          </w:p>
        </w:tc>
        <w:tc>
          <w:tcPr>
            <w:tcW w:w="1792" w:type="dxa"/>
            <w:vAlign w:val="center"/>
          </w:tcPr>
          <w:p>
            <w:pPr>
              <w:spacing w:line="300" w:lineRule="exact"/>
              <w:jc w:val="center"/>
              <w:rPr>
                <w:rFonts w:hint="eastAsia" w:ascii="仿宋" w:hAnsi="仿宋" w:eastAsia="仿宋" w:cs="仿宋"/>
              </w:rPr>
            </w:pPr>
            <w:r>
              <w:rPr>
                <w:rFonts w:hint="eastAsia" w:ascii="仿宋" w:hAnsi="仿宋" w:eastAsia="仿宋" w:cs="仿宋"/>
              </w:rPr>
              <w:t>部门</w:t>
            </w:r>
          </w:p>
        </w:tc>
        <w:tc>
          <w:tcPr>
            <w:tcW w:w="3013" w:type="dxa"/>
            <w:vAlign w:val="center"/>
          </w:tcPr>
          <w:p>
            <w:pPr>
              <w:spacing w:line="300" w:lineRule="exact"/>
              <w:jc w:val="center"/>
              <w:rPr>
                <w:rFonts w:hint="eastAsia" w:ascii="仿宋" w:hAnsi="仿宋" w:eastAsia="仿宋" w:cs="仿宋"/>
              </w:rPr>
            </w:pPr>
            <w:r>
              <w:rPr>
                <w:rFonts w:hint="eastAsia" w:ascii="仿宋" w:hAnsi="仿宋" w:eastAsia="仿宋" w:cs="仿宋"/>
              </w:rPr>
              <w:t>财政拨款</w:t>
            </w:r>
          </w:p>
        </w:tc>
      </w:tr>
    </w:tbl>
    <w:p>
      <w:pPr>
        <w:ind w:firstLine="640" w:firstLineChars="200"/>
        <w:rPr>
          <w:rFonts w:hint="eastAsia" w:ascii="仿宋" w:hAnsi="仿宋" w:eastAsia="仿宋" w:cs="仿宋"/>
          <w:sz w:val="32"/>
          <w:szCs w:val="32"/>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二、部门预算安排的总体情况</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按照预算管理有关规定，目前我</w:t>
      </w:r>
      <w:r>
        <w:rPr>
          <w:rFonts w:hint="eastAsia" w:ascii="仿宋" w:hAnsi="仿宋" w:eastAsia="仿宋" w:cs="仿宋"/>
          <w:sz w:val="32"/>
          <w:szCs w:val="32"/>
          <w:lang w:val="en-US" w:eastAsia="zh-CN"/>
        </w:rPr>
        <w:t>县</w:t>
      </w:r>
      <w:r>
        <w:rPr>
          <w:rFonts w:hint="eastAsia" w:ascii="仿宋" w:hAnsi="仿宋" w:eastAsia="仿宋" w:cs="仿宋"/>
          <w:sz w:val="32"/>
          <w:szCs w:val="32"/>
        </w:rPr>
        <w:t>部门预算的编制实行综合预算管理，即全部收入和支出都反映在预算中。隆尧县消防救援大队的收支包含在部门预算中。</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反映本部门当年全部收入。2021年预算收入1881.32万元，其中：一般公共预算收入1441.32万元，基金预算收入440万元，财政专户核拨收入0万元，其他来源收入（单位资金）0万元，上年结转0万元。</w:t>
      </w:r>
    </w:p>
    <w:p>
      <w:pPr>
        <w:ind w:firstLine="640"/>
        <w:rPr>
          <w:rFonts w:hint="eastAsia" w:ascii="仿宋" w:hAnsi="仿宋" w:eastAsia="仿宋" w:cs="仿宋"/>
          <w:sz w:val="32"/>
          <w:szCs w:val="32"/>
        </w:rPr>
      </w:pPr>
      <w:r>
        <w:rPr>
          <w:rFonts w:hint="eastAsia" w:ascii="仿宋" w:hAnsi="仿宋" w:eastAsia="仿宋" w:cs="仿宋"/>
          <w:sz w:val="32"/>
          <w:szCs w:val="32"/>
        </w:rPr>
        <w:t>2、支出说明</w:t>
      </w:r>
    </w:p>
    <w:p>
      <w:pPr>
        <w:ind w:firstLine="64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收支预算总表支出栏、基本支出表、项目支出表按经济分类和支出功能分类科目编制，反映隆尧县消防救援大队年度部门预算中支出预算的总体情况。2021年支出预算</w:t>
      </w:r>
      <w:r>
        <w:rPr>
          <w:rFonts w:hint="eastAsia" w:ascii="仿宋" w:hAnsi="仿宋" w:eastAsia="仿宋" w:cs="仿宋"/>
          <w:b/>
          <w:sz w:val="32"/>
          <w:szCs w:val="32"/>
        </w:rPr>
        <w:t>1881.32</w:t>
      </w:r>
      <w:r>
        <w:rPr>
          <w:rFonts w:hint="eastAsia" w:ascii="仿宋" w:hAnsi="仿宋" w:eastAsia="仿宋" w:cs="仿宋"/>
          <w:sz w:val="32"/>
          <w:szCs w:val="32"/>
        </w:rPr>
        <w:t>万元，其中消防人员及附加经费934.1万元、消防业务经费267.98万元；项目支出679.24万元主要为涉密项目和预算内基建等。</w:t>
      </w:r>
    </w:p>
    <w:p>
      <w:pPr>
        <w:ind w:firstLine="640"/>
        <w:rPr>
          <w:rFonts w:hint="eastAsia" w:ascii="仿宋" w:hAnsi="仿宋" w:eastAsia="仿宋" w:cs="仿宋"/>
          <w:sz w:val="32"/>
          <w:szCs w:val="32"/>
        </w:rPr>
      </w:pPr>
      <w:r>
        <w:rPr>
          <w:rFonts w:hint="eastAsia" w:ascii="仿宋" w:hAnsi="仿宋" w:eastAsia="仿宋" w:cs="仿宋"/>
          <w:sz w:val="32"/>
          <w:szCs w:val="32"/>
        </w:rPr>
        <w:t>3、比上年增减情况</w:t>
      </w:r>
    </w:p>
    <w:p>
      <w:pPr>
        <w:ind w:firstLine="640"/>
        <w:rPr>
          <w:rFonts w:hint="eastAsia" w:ascii="仿宋" w:hAnsi="仿宋" w:eastAsia="仿宋" w:cs="仿宋"/>
          <w:sz w:val="32"/>
          <w:szCs w:val="32"/>
        </w:rPr>
      </w:pPr>
      <w:r>
        <w:rPr>
          <w:rFonts w:hint="eastAsia" w:ascii="仿宋" w:hAnsi="仿宋" w:eastAsia="仿宋" w:cs="仿宋"/>
          <w:sz w:val="32"/>
          <w:szCs w:val="32"/>
        </w:rPr>
        <w:t>2021年预算收支安排1881.32万元，较2020年年初预算增加145.8万元，其中：消防人员及附加经费支出增加666.02万元，主要为增加人员经费支出；消防业务经费支出增加107.04万元，主要为新建莲子镇消防站业务支出；项目支出减少627.26万元（2020年安排莲子镇消防站建设经费），主要为涉密项目和预算内基建等。</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三、机关运行经费安排情况</w:t>
      </w:r>
    </w:p>
    <w:p>
      <w:pPr>
        <w:ind w:firstLine="960" w:firstLineChars="300"/>
        <w:jc w:val="left"/>
        <w:rPr>
          <w:rFonts w:hint="eastAsia" w:ascii="仿宋" w:hAnsi="仿宋" w:eastAsia="仿宋" w:cs="仿宋"/>
          <w:sz w:val="32"/>
          <w:szCs w:val="32"/>
        </w:rPr>
      </w:pPr>
      <w:r>
        <w:rPr>
          <w:rFonts w:hint="eastAsia" w:ascii="仿宋" w:hAnsi="仿宋" w:eastAsia="仿宋" w:cs="仿宋"/>
          <w:sz w:val="32"/>
          <w:szCs w:val="32"/>
        </w:rPr>
        <w:t>2021年，我大队运行经费共计安排267.98万元，主要用于办公费、印刷费、水费、电费、邮电费、取暖费、专用材料、专用燃料和其他交通费等日常运行支出。</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四、财政拨款“三公”经费预算情况及增减变化原因</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2021年，我大队财政拨款“三公”经费预算安排0万元，其中因公出国（境）费0万元；公务用车购置及运维费0万元（其中：公务用车购置费为0万元，公务用车运维费0万元)；公务接待费0万元。"三公"经费与2020年持平。</w:t>
      </w:r>
    </w:p>
    <w:p>
      <w:pPr>
        <w:numPr>
          <w:ilvl w:val="0"/>
          <w:numId w:val="1"/>
        </w:numPr>
        <w:ind w:firstLine="640" w:firstLineChars="200"/>
        <w:rPr>
          <w:rFonts w:hint="eastAsia" w:ascii="仿宋" w:hAnsi="仿宋" w:eastAsia="仿宋" w:cs="仿宋"/>
          <w:sz w:val="32"/>
          <w:szCs w:val="32"/>
        </w:rPr>
      </w:pPr>
      <w:r>
        <w:rPr>
          <w:rFonts w:hint="eastAsia" w:ascii="仿宋" w:hAnsi="仿宋" w:eastAsia="仿宋" w:cs="仿宋"/>
          <w:sz w:val="32"/>
          <w:szCs w:val="32"/>
        </w:rPr>
        <w:t>预算绩效信息</w:t>
      </w:r>
    </w:p>
    <w:p>
      <w:pPr>
        <w:numPr>
          <w:ilvl w:val="0"/>
          <w:numId w:val="0"/>
        </w:numPr>
        <w:rPr>
          <w:rFonts w:hint="eastAsia" w:ascii="仿宋" w:hAnsi="仿宋" w:eastAsia="仿宋" w:cs="仿宋"/>
          <w:sz w:val="32"/>
          <w:szCs w:val="32"/>
          <w:lang w:val="en-US" w:eastAsia="zh-CN"/>
        </w:rPr>
      </w:pPr>
      <w:r>
        <w:rPr>
          <w:rFonts w:hint="eastAsia" w:ascii="仿宋" w:hAnsi="仿宋" w:eastAsia="仿宋" w:cs="仿宋"/>
          <w:b/>
          <w:sz w:val="32"/>
          <w:szCs w:val="32"/>
        </w:rPr>
        <w:t>第</w:t>
      </w:r>
      <w:r>
        <w:rPr>
          <w:rFonts w:hint="eastAsia" w:ascii="仿宋" w:hAnsi="仿宋" w:eastAsia="仿宋" w:cs="仿宋"/>
          <w:b/>
          <w:sz w:val="32"/>
          <w:szCs w:val="32"/>
          <w:lang w:val="en-US" w:eastAsia="zh-CN"/>
        </w:rPr>
        <w:t>一</w:t>
      </w:r>
      <w:r>
        <w:rPr>
          <w:rFonts w:hint="eastAsia" w:ascii="仿宋" w:hAnsi="仿宋" w:eastAsia="仿宋" w:cs="仿宋"/>
          <w:b/>
          <w:sz w:val="32"/>
          <w:szCs w:val="32"/>
        </w:rPr>
        <w:t>部分</w:t>
      </w:r>
      <w:r>
        <w:rPr>
          <w:rFonts w:hint="eastAsia" w:ascii="仿宋" w:hAnsi="仿宋" w:eastAsia="仿宋" w:cs="仿宋"/>
          <w:b/>
          <w:sz w:val="32"/>
          <w:szCs w:val="32"/>
          <w:lang w:val="en-US" w:eastAsia="zh-CN"/>
        </w:rPr>
        <w:t>整体绩效目标</w:t>
      </w:r>
    </w:p>
    <w:p>
      <w:pPr>
        <w:ind w:firstLine="640" w:firstLineChars="200"/>
        <w:rPr>
          <w:rFonts w:hint="eastAsia" w:ascii="仿宋" w:hAnsi="仿宋" w:eastAsia="仿宋" w:cs="仿宋"/>
          <w:color w:val="auto"/>
          <w:sz w:val="32"/>
          <w:szCs w:val="32"/>
        </w:rPr>
      </w:pPr>
      <w:bookmarkStart w:id="0" w:name="_Toc471398463"/>
      <w:r>
        <w:rPr>
          <w:rFonts w:hint="eastAsia" w:ascii="仿宋" w:hAnsi="仿宋" w:eastAsia="仿宋" w:cs="仿宋"/>
          <w:color w:val="auto"/>
          <w:sz w:val="32"/>
          <w:szCs w:val="32"/>
        </w:rPr>
        <w:t>（一）总体绩效目标</w:t>
      </w:r>
    </w:p>
    <w:p>
      <w:pPr>
        <w:pStyle w:val="10"/>
        <w:keepNext w:val="0"/>
        <w:keepLines w:val="0"/>
        <w:widowControl/>
        <w:suppressLineNumbers w:val="0"/>
        <w:spacing w:before="0" w:beforeAutospacing="0" w:after="0" w:afterAutospacing="0" w:line="600" w:lineRule="exact"/>
        <w:ind w:left="226" w:right="0" w:firstLine="640" w:firstLineChars="200"/>
        <w:rPr>
          <w:rFonts w:hint="eastAsia" w:ascii="仿宋" w:hAnsi="仿宋" w:eastAsia="仿宋" w:cs="仿宋"/>
          <w:kern w:val="2"/>
          <w:sz w:val="32"/>
          <w:szCs w:val="32"/>
          <w:lang w:val="en-US" w:eastAsia="zh-CN" w:bidi="ar-SA"/>
        </w:rPr>
      </w:pPr>
      <w:bookmarkStart w:id="1" w:name="_Toc64110028"/>
      <w:bookmarkStart w:id="2" w:name="_Toc60391233"/>
      <w:bookmarkStart w:id="3" w:name="_Toc64110071"/>
      <w:r>
        <w:rPr>
          <w:rFonts w:hint="eastAsia" w:ascii="仿宋" w:hAnsi="仿宋" w:eastAsia="仿宋" w:cs="仿宋"/>
          <w:kern w:val="2"/>
          <w:sz w:val="32"/>
          <w:szCs w:val="32"/>
          <w:lang w:val="en-US" w:eastAsia="zh-CN" w:bidi="ar-SA"/>
        </w:rPr>
        <w:t>2021年，是建党100周年大庆之年，是“十四五”开局之年，是消防救援队伍改革转隶收官之年，县消防救援大队一定以习近平总书记授旗训词精神为指引，</w:t>
      </w:r>
      <w:r>
        <w:rPr>
          <w:rFonts w:hint="eastAsia" w:ascii="仿宋" w:hAnsi="仿宋" w:eastAsia="仿宋" w:cs="仿宋"/>
          <w:color w:val="444444"/>
          <w:sz w:val="32"/>
          <w:szCs w:val="32"/>
        </w:rPr>
        <w:t>坚持党建统领，强基铸魂</w:t>
      </w:r>
      <w:r>
        <w:rPr>
          <w:rFonts w:hint="eastAsia" w:ascii="仿宋" w:hAnsi="仿宋" w:eastAsia="仿宋" w:cs="仿宋"/>
          <w:color w:val="444444"/>
          <w:sz w:val="32"/>
          <w:szCs w:val="32"/>
          <w:lang w:eastAsia="zh-CN"/>
        </w:rPr>
        <w:t>，</w:t>
      </w:r>
      <w:r>
        <w:rPr>
          <w:rFonts w:hint="eastAsia" w:ascii="仿宋" w:hAnsi="仿宋" w:eastAsia="仿宋" w:cs="仿宋"/>
          <w:color w:val="444444"/>
          <w:sz w:val="32"/>
          <w:szCs w:val="32"/>
        </w:rPr>
        <w:t>做强思想教育，继续为基层办实事、办好事</w:t>
      </w:r>
      <w:r>
        <w:rPr>
          <w:rFonts w:hint="eastAsia" w:ascii="仿宋" w:hAnsi="仿宋" w:eastAsia="仿宋" w:cs="仿宋"/>
          <w:color w:val="444444"/>
          <w:sz w:val="32"/>
          <w:szCs w:val="32"/>
          <w:lang w:eastAsia="zh-CN"/>
        </w:rPr>
        <w:t>。</w:t>
      </w:r>
      <w:r>
        <w:rPr>
          <w:rFonts w:hint="eastAsia" w:ascii="仿宋" w:hAnsi="仿宋" w:eastAsia="仿宋" w:cs="仿宋"/>
          <w:color w:val="444444"/>
          <w:sz w:val="32"/>
          <w:szCs w:val="32"/>
        </w:rPr>
        <w:t>坚持真练实训，强能精武，</w:t>
      </w:r>
      <w:r>
        <w:rPr>
          <w:rFonts w:hint="eastAsia" w:ascii="仿宋" w:hAnsi="仿宋" w:eastAsia="仿宋" w:cs="仿宋"/>
          <w:color w:val="444444"/>
          <w:sz w:val="32"/>
          <w:szCs w:val="32"/>
          <w:lang w:val="en-US" w:eastAsia="zh-CN"/>
        </w:rPr>
        <w:t>加强区域专业救援力量，</w:t>
      </w:r>
      <w:r>
        <w:rPr>
          <w:rFonts w:hint="eastAsia" w:ascii="仿宋" w:hAnsi="仿宋" w:eastAsia="仿宋" w:cs="仿宋"/>
          <w:color w:val="444444"/>
          <w:sz w:val="32"/>
          <w:szCs w:val="32"/>
        </w:rPr>
        <w:t>提升区域快速响应能力</w:t>
      </w:r>
      <w:r>
        <w:rPr>
          <w:rFonts w:hint="eastAsia" w:ascii="仿宋" w:hAnsi="仿宋" w:eastAsia="仿宋" w:cs="仿宋"/>
          <w:color w:val="444444"/>
          <w:sz w:val="32"/>
          <w:szCs w:val="32"/>
          <w:lang w:eastAsia="zh-CN"/>
        </w:rPr>
        <w:t>。</w:t>
      </w:r>
      <w:r>
        <w:rPr>
          <w:rFonts w:hint="eastAsia" w:ascii="仿宋" w:hAnsi="仿宋" w:eastAsia="仿宋" w:cs="仿宋"/>
          <w:color w:val="444444"/>
          <w:sz w:val="32"/>
          <w:szCs w:val="32"/>
          <w:lang w:val="en-US" w:eastAsia="zh-CN"/>
        </w:rPr>
        <w:t>牢固树立“人民至上，生命至上”的理念，确保我县消防救援工作再上新台阶。</w:t>
      </w:r>
    </w:p>
    <w:p>
      <w:pPr>
        <w:pStyle w:val="3"/>
        <w:ind w:firstLine="640" w:firstLineChars="200"/>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（二）分项绩效目标</w:t>
      </w:r>
      <w:bookmarkEnd w:id="1"/>
      <w:bookmarkEnd w:id="2"/>
      <w:bookmarkEnd w:id="3"/>
    </w:p>
    <w:p>
      <w:pPr>
        <w:keepNext w:val="0"/>
        <w:keepLines w:val="0"/>
        <w:widowControl w:val="0"/>
        <w:suppressLineNumbers w:val="0"/>
        <w:spacing w:before="0" w:beforeAutospacing="0" w:after="0" w:afterAutospacing="0" w:line="500" w:lineRule="exact"/>
        <w:ind w:left="0" w:right="0"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1、保障所属区域人民生命财产的安全。</w:t>
      </w:r>
    </w:p>
    <w:p>
      <w:pPr>
        <w:keepNext w:val="0"/>
        <w:keepLines w:val="0"/>
        <w:widowControl w:val="0"/>
        <w:suppressLineNumbers w:val="0"/>
        <w:spacing w:before="0" w:beforeAutospacing="0" w:after="0" w:afterAutospacing="0" w:line="500" w:lineRule="exact"/>
        <w:ind w:left="0" w:right="0"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2、维护社会稳定，提高群众安全感和满意度。</w:t>
      </w:r>
    </w:p>
    <w:p>
      <w:pPr>
        <w:keepNext w:val="0"/>
        <w:keepLines w:val="0"/>
        <w:widowControl w:val="0"/>
        <w:suppressLineNumbers w:val="0"/>
        <w:spacing w:before="0" w:beforeAutospacing="0" w:after="0" w:afterAutospacing="0" w:line="500" w:lineRule="exact"/>
        <w:ind w:left="0" w:right="0"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3、加强队伍管理，提高队伍的综合救援能力。</w:t>
      </w:r>
    </w:p>
    <w:p>
      <w:p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4、实现全县经济社会发展稳定和谐、人民生活安全有序。</w:t>
      </w:r>
    </w:p>
    <w:p>
      <w:pPr>
        <w:autoSpaceDE w:val="0"/>
        <w:autoSpaceDN w:val="0"/>
        <w:adjustRightInd w:val="0"/>
        <w:ind w:left="198"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2021年度各类资金整体使用管理情况总体必须规范，相关制度逐渐完善，支出符合政策文件规定。进一步加强对国家财经法律法规的学习，切实管好、用好各项资金，为我县的发展和社会和谐稳定做出积极的贡献。</w:t>
      </w:r>
    </w:p>
    <w:p>
      <w:pPr>
        <w:numPr>
          <w:ilvl w:val="0"/>
          <w:numId w:val="2"/>
        </w:numPr>
        <w:autoSpaceDE w:val="0"/>
        <w:autoSpaceDN w:val="0"/>
        <w:adjustRightInd w:val="0"/>
        <w:ind w:left="198"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工作保障措施</w:t>
      </w:r>
    </w:p>
    <w:p>
      <w:pPr>
        <w:numPr>
          <w:ilvl w:val="0"/>
          <w:numId w:val="3"/>
        </w:num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健全完善预算制度。根据上级全面实施绩效管理的相关规定，结合消防救援工作的实际情况。制定规范的预算流程制度，做好事前绩效评估、预算绩效目标设定、绩效运行监控等工作管理。为预算工作的正常运行打好基础。</w:t>
      </w:r>
    </w:p>
    <w:p>
      <w:pPr>
        <w:numPr>
          <w:ilvl w:val="0"/>
          <w:numId w:val="3"/>
        </w:num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加强支出管理。一方面，编细编实预算。在编制预算过程中，人员经费和日常公用经费严格执行相关规定标准，细化到具体科目；专项经费严格实行项目库管理，将符合工作投向、编制规范的项目纳入其中，根据财力可能和项目成熟度向财政申报进入财政项目库，将项目细化到可执行程度，确保批复即可执行。二方面，优化支出结构。树立过紧日子、苦日子的管理理念，结合实际情况和财政统一要求，对三公经费和一般性支出进行压减，集中财力办大事。</w:t>
      </w:r>
    </w:p>
    <w:p>
      <w:pPr>
        <w:numPr>
          <w:ilvl w:val="0"/>
          <w:numId w:val="3"/>
        </w:num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做好绩效自评。按财政要求，组织部门对上年度部门预算绩效开展自评，在自评过程中，对发现的问题及时整改。将评价结果与下年度预算安排相结合，调整优化支出结构，提高财政资金使用效益。</w:t>
      </w:r>
    </w:p>
    <w:p>
      <w:pPr>
        <w:rPr>
          <w:rFonts w:hint="eastAsia" w:ascii="仿宋" w:hAnsi="仿宋" w:eastAsia="仿宋" w:cs="仿宋"/>
          <w:sz w:val="52"/>
        </w:rPr>
        <w:sectPr>
          <w:headerReference r:id="rId3" w:type="default"/>
          <w:footerReference r:id="rId4" w:type="default"/>
          <w:pgSz w:w="16783" w:h="11850" w:orient="landscape"/>
          <w:pgMar w:top="1304" w:right="1985" w:bottom="1304" w:left="1134" w:header="851" w:footer="992" w:gutter="0"/>
          <w:pgNumType w:start="1"/>
          <w:cols w:space="720" w:num="1"/>
          <w:docGrid w:type="linesAndChars" w:linePitch="312" w:charSpace="0"/>
        </w:sectPr>
      </w:pPr>
    </w:p>
    <w:p>
      <w:pPr>
        <w:rPr>
          <w:rFonts w:hint="eastAsia" w:ascii="仿宋" w:hAnsi="仿宋" w:eastAsia="仿宋" w:cs="仿宋"/>
          <w:b/>
          <w:color w:val="auto"/>
          <w:sz w:val="32"/>
          <w:szCs w:val="32"/>
        </w:rPr>
      </w:pPr>
      <w:r>
        <w:rPr>
          <w:rFonts w:hint="eastAsia" w:ascii="仿宋" w:hAnsi="仿宋" w:eastAsia="仿宋" w:cs="仿宋"/>
          <w:b/>
          <w:color w:val="auto"/>
          <w:sz w:val="32"/>
          <w:szCs w:val="32"/>
        </w:rPr>
        <w:t>第二部分：预算项目绩效目标：</w:t>
      </w:r>
    </w:p>
    <w:p>
      <w:pPr>
        <w:keepNext w:val="0"/>
        <w:keepLines w:val="0"/>
        <w:widowControl w:val="0"/>
        <w:numPr>
          <w:ilvl w:val="0"/>
          <w:numId w:val="4"/>
        </w:numPr>
        <w:suppressLineNumbers w:val="0"/>
        <w:spacing w:before="0" w:beforeAutospacing="0" w:after="0" w:afterAutospacing="0"/>
        <w:ind w:left="0" w:right="0" w:firstLine="0"/>
        <w:jc w:val="both"/>
        <w:rPr>
          <w:rFonts w:hint="eastAsia" w:ascii="仿宋" w:hAnsi="仿宋" w:eastAsia="仿宋" w:cs="仿宋"/>
          <w:b/>
          <w:bCs w:val="0"/>
          <w:sz w:val="32"/>
          <w:szCs w:val="32"/>
          <w:lang w:val="en-US"/>
        </w:rPr>
      </w:pPr>
      <w:r>
        <w:rPr>
          <w:rFonts w:hint="eastAsia" w:ascii="仿宋" w:hAnsi="仿宋" w:eastAsia="仿宋" w:cs="仿宋"/>
          <w:b/>
          <w:bCs w:val="0"/>
          <w:kern w:val="2"/>
          <w:sz w:val="32"/>
          <w:szCs w:val="32"/>
          <w:lang w:val="en-US" w:eastAsia="zh-CN" w:bidi="ar"/>
        </w:rPr>
        <w:t>莲子镇消防站配套设施购置</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color w:val="000000"/>
                <w:sz w:val="18"/>
                <w:szCs w:val="18"/>
                <w:lang w:val="en-US"/>
              </w:rPr>
            </w:pPr>
            <w:r>
              <w:rPr>
                <w:rFonts w:hint="eastAsia" w:ascii="仿宋" w:hAnsi="仿宋" w:eastAsia="仿宋" w:cs="仿宋"/>
                <w:color w:val="000000"/>
                <w:sz w:val="24"/>
                <w:szCs w:val="24"/>
                <w:lang w:val="en-US"/>
              </w:rPr>
              <w:t>13052521BD61BU0YLSBGV</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宋体" w:hAnsi="宋体" w:eastAsia="宋体" w:cs="宋体"/>
                <w:color w:val="000000"/>
                <w:sz w:val="18"/>
                <w:szCs w:val="18"/>
                <w:lang w:val="en-US"/>
              </w:rPr>
            </w:pPr>
            <w:r>
              <w:rPr>
                <w:rFonts w:hint="eastAsia" w:ascii="仿宋" w:hAnsi="仿宋" w:eastAsia="仿宋" w:cs="仿宋"/>
                <w:color w:val="000000"/>
                <w:kern w:val="0"/>
                <w:sz w:val="24"/>
                <w:szCs w:val="24"/>
                <w:lang w:val="en-US" w:eastAsia="zh-CN"/>
              </w:rPr>
              <w:t>土地出让金/莲子镇消防站配套设施购置</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用于新建一级消防站项目办公设备、家具购买、电器、厨房等设施购置。</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保障基础设施完好有效</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项目正常执勤备战</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营造良好的生活工作学习环境</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设施到位率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良好的工作环境</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设施到位率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设施到位情况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按时完成</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设施齐全率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设施全部到位</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执勤率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良好的执勤备战环境</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服务对象满意度</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群众满意度总比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消防站建设标准</w:t>
            </w:r>
          </w:p>
        </w:tc>
      </w:tr>
    </w:tbl>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Times New Roman" w:hAnsi="Times New Roman" w:eastAsia="方正仿宋_GBK"/>
          <w:b/>
          <w:color w:val="FF0000"/>
          <w:sz w:val="32"/>
          <w:szCs w:val="32"/>
        </w:rPr>
      </w:pPr>
    </w:p>
    <w:p>
      <w:pPr>
        <w:bidi w:val="0"/>
        <w:rPr>
          <w:rFonts w:hint="eastAsia" w:ascii="Calibri" w:hAnsi="Calibri" w:eastAsia="宋体" w:cs="Times New Roman"/>
          <w:kern w:val="2"/>
          <w:sz w:val="21"/>
          <w:szCs w:val="22"/>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tabs>
          <w:tab w:val="left" w:pos="12476"/>
        </w:tabs>
        <w:bidi w:val="0"/>
        <w:jc w:val="left"/>
        <w:rPr>
          <w:rFonts w:hint="eastAsia"/>
          <w:lang w:val="en-US" w:eastAsia="zh-CN"/>
        </w:rPr>
      </w:pPr>
      <w:r>
        <w:rPr>
          <w:rFonts w:hint="eastAsia"/>
          <w:lang w:val="en-US" w:eastAsia="zh-CN"/>
        </w:rPr>
        <w:tab/>
      </w:r>
    </w:p>
    <w:p>
      <w:pPr>
        <w:tabs>
          <w:tab w:val="left" w:pos="12476"/>
        </w:tabs>
        <w:bidi w:val="0"/>
        <w:jc w:val="left"/>
        <w:rPr>
          <w:rFonts w:hint="eastAsia"/>
          <w:lang w:val="en-US" w:eastAsia="zh-CN"/>
        </w:rPr>
      </w:pPr>
    </w:p>
    <w:p>
      <w:pPr>
        <w:tabs>
          <w:tab w:val="left" w:pos="12476"/>
        </w:tabs>
        <w:bidi w:val="0"/>
        <w:jc w:val="left"/>
        <w:rPr>
          <w:rFonts w:hint="eastAsia"/>
          <w:lang w:val="en-US" w:eastAsia="zh-CN"/>
        </w:rPr>
      </w:pPr>
    </w:p>
    <w:p>
      <w:pPr>
        <w:tabs>
          <w:tab w:val="left" w:pos="12476"/>
        </w:tabs>
        <w:bidi w:val="0"/>
        <w:jc w:val="left"/>
        <w:rPr>
          <w:rFonts w:hint="eastAsia" w:ascii="仿宋" w:hAnsi="仿宋" w:eastAsia="仿宋" w:cs="仿宋"/>
          <w:lang w:val="en-US" w:eastAsia="zh-CN"/>
        </w:rPr>
      </w:pPr>
      <w:r>
        <w:rPr>
          <w:rFonts w:hint="eastAsia" w:ascii="仿宋" w:hAnsi="仿宋" w:eastAsia="仿宋" w:cs="仿宋"/>
          <w:b/>
          <w:bCs w:val="0"/>
          <w:kern w:val="2"/>
          <w:sz w:val="32"/>
          <w:szCs w:val="32"/>
          <w:lang w:val="en-US" w:eastAsia="zh-CN" w:bidi="ar"/>
        </w:rPr>
        <w:t>2、地震救援模拟训练基地建设</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13052521WUOZWDK7HAXQY</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土地出让金/地震救援模拟训练基地建设</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用于新消防站地震救援模拟训练基地的建设</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提高消防指战员灾害事故救援能力及心理训练</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掌握灾害的特点及预防、救援方法</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训练基地的完成情况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训练基地建设标准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达标率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质量达到建设标准</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训练基地的完成情况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项目实际成本</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项目实际成本</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社会效益指标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队员应急处置率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掌握灾害特点</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服务对象满意度指标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群众的满意情况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训练基地建设标准</w:t>
            </w:r>
          </w:p>
        </w:tc>
      </w:tr>
    </w:tbl>
    <w:p>
      <w:pPr>
        <w:tabs>
          <w:tab w:val="left" w:pos="12476"/>
        </w:tabs>
        <w:bidi w:val="0"/>
        <w:jc w:val="left"/>
        <w:rPr>
          <w:rFonts w:hint="eastAsia"/>
          <w:lang w:val="en-US" w:eastAsia="zh-CN"/>
        </w:rPr>
      </w:pPr>
    </w:p>
    <w:p>
      <w:pPr>
        <w:pStyle w:val="3"/>
        <w:rPr>
          <w:rFonts w:ascii="Times New Roman" w:hAnsi="Times New Roman" w:eastAsia="方正仿宋_GBK"/>
        </w:rPr>
      </w:pPr>
    </w:p>
    <w:p>
      <w:pPr>
        <w:pStyle w:val="3"/>
        <w:rPr>
          <w:rFonts w:ascii="Times New Roman" w:hAnsi="Times New Roman" w:eastAsia="方正仿宋_GBK"/>
        </w:rPr>
      </w:pPr>
    </w:p>
    <w:p>
      <w:pPr>
        <w:pStyle w:val="3"/>
        <w:rPr>
          <w:rFonts w:ascii="Times New Roman" w:hAnsi="Times New Roman" w:eastAsia="方正仿宋_GBK"/>
        </w:rPr>
      </w:pPr>
    </w:p>
    <w:p>
      <w:pPr>
        <w:pStyle w:val="3"/>
        <w:rPr>
          <w:rFonts w:ascii="Times New Roman" w:hAnsi="Times New Roman" w:eastAsia="方正仿宋_GBK"/>
        </w:rPr>
      </w:pPr>
    </w:p>
    <w:p>
      <w:pPr>
        <w:pStyle w:val="3"/>
        <w:rPr>
          <w:rFonts w:ascii="Times New Roman" w:hAnsi="Times New Roman" w:eastAsia="方正仿宋_GBK"/>
        </w:rPr>
      </w:pPr>
    </w:p>
    <w:p>
      <w:pPr>
        <w:pStyle w:val="3"/>
        <w:rPr>
          <w:rFonts w:ascii="Times New Roman" w:hAnsi="Times New Roman" w:eastAsia="方正仿宋_GBK"/>
        </w:rPr>
      </w:pPr>
    </w:p>
    <w:p/>
    <w:p>
      <w:pPr>
        <w:numPr>
          <w:ilvl w:val="0"/>
          <w:numId w:val="0"/>
        </w:numPr>
        <w:tabs>
          <w:tab w:val="left" w:pos="12476"/>
        </w:tabs>
        <w:bidi w:val="0"/>
        <w:ind w:leftChars="0"/>
        <w:jc w:val="left"/>
        <w:rPr>
          <w:rFonts w:hint="default" w:ascii="仿宋" w:hAnsi="仿宋" w:eastAsia="仿宋" w:cs="仿宋"/>
          <w:b/>
          <w:bCs w:val="0"/>
          <w:kern w:val="2"/>
          <w:sz w:val="32"/>
          <w:szCs w:val="32"/>
          <w:lang w:val="en-US" w:eastAsia="zh-CN" w:bidi="ar"/>
        </w:rPr>
      </w:pPr>
      <w:r>
        <w:rPr>
          <w:rFonts w:hint="eastAsia" w:ascii="仿宋" w:hAnsi="仿宋" w:eastAsia="仿宋" w:cs="仿宋"/>
          <w:b/>
          <w:bCs w:val="0"/>
          <w:kern w:val="2"/>
          <w:sz w:val="32"/>
          <w:szCs w:val="32"/>
          <w:lang w:val="en-US" w:eastAsia="zh-CN" w:bidi="ar"/>
        </w:rPr>
        <w:t>3、灭火救援器材设备购置</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130525218LQD9GUS2EW4N</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土地出让金/灭火救援器材设备购置</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kern w:val="0"/>
                <w:sz w:val="24"/>
                <w:szCs w:val="24"/>
                <w:lang w:val="en-US" w:eastAsia="zh-CN"/>
              </w:rPr>
              <w:t>保障消防员在执勤战斗中的各项安全措施，增强队伍灭火救援力量</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保障消防员在执勤战斗中的安全防护</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达到个人防护装备配备标准</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增强队伍灭火救援能力</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到位率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达到个人防护装备配备标准</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综合性消防救援专业队伍建设方案</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完好率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达到个人防护装备配备标准</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综合性消防救援专业队伍建设方案</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投入使用情况</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达到个人防护装备配备标准</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综合性消防救援专业队伍建设方案</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资金成本</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项目实际成本</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综合性消防救援专业队伍建设方案</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执勤率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保障消防员在执勤战斗中的安全防护</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综合性消防救援专业队伍建设方案</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服务对象满意度指标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群众的满意总占比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综合性消防救援专业队伍建设方案</w:t>
            </w:r>
          </w:p>
        </w:tc>
      </w:tr>
    </w:tbl>
    <w:p>
      <w:pPr>
        <w:pStyle w:val="3"/>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rPr>
          <w:rFonts w:ascii="Times New Roman" w:hAnsi="Times New Roman" w:eastAsia="方正仿宋_GBK"/>
        </w:rPr>
      </w:pPr>
    </w:p>
    <w:p>
      <w:pPr>
        <w:autoSpaceDE w:val="0"/>
        <w:autoSpaceDN w:val="0"/>
        <w:adjustRightInd w:val="0"/>
        <w:jc w:val="left"/>
        <w:rPr>
          <w:rFonts w:hint="eastAsia" w:ascii="黑体" w:hAnsi="黑体" w:eastAsia="黑体"/>
          <w:sz w:val="32"/>
          <w:szCs w:val="32"/>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4、</w:t>
      </w:r>
      <w:r>
        <w:rPr>
          <w:rFonts w:hint="eastAsia" w:ascii="仿宋" w:hAnsi="仿宋" w:eastAsia="仿宋" w:cs="仿宋"/>
          <w:b/>
          <w:bCs w:val="0"/>
          <w:kern w:val="2"/>
          <w:sz w:val="32"/>
          <w:szCs w:val="32"/>
          <w:lang w:val="en-US" w:eastAsia="zh-CN" w:bidi="ar"/>
        </w:rPr>
        <w:t>指挥中心建设</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13052521EGI2EGGR4HDPX</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指挥中心建设</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便于接警、视频会议和视频监控灾害事故现场</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视频会议和视频监控灾害事故现场</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有效保障人民生命财产安全</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便于接出警</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使用率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达到建设标准</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指挥中心建设标准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利用率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进行连线指挥、视频监控、召开视频会议</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指挥中心建设标准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利用率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保障莲子镇消防站正常投入使用</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指挥中心建设标准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资金成本</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资金成本</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指挥中心建设标准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使用率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快速有效接出警</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指挥中心建设标准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指挥中心建设标准</w:t>
            </w:r>
          </w:p>
        </w:tc>
      </w:tr>
    </w:tbl>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5、基础设施建设维护经费</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13052521B3HMMEU6UYN2T</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基础设施建设维护经费</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用于基础设施建设维修</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保障基础设施完好有效</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接出警基础设施使用情况</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基础设施正产运行</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接出警任务完成情况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基础设施建设维护标准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优良率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结项鉴定优秀等项目数量占结项总数量的比例</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基础设施建设维护标准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完好率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有效解决取水困难问题</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基础设施建设维护标准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使用率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达到城乡消防设施建设数量要求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基础设施建设维护标准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完好率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正常使用情况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基础设施建设维护标准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基础设施建设维护标准</w:t>
            </w:r>
          </w:p>
        </w:tc>
      </w:tr>
    </w:tbl>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6、消防站附属设施建设经费</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130525217VBMWNTQU9HPC</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消防站附属设施建设经费</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用于莲子镇消防站附属设施建设</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4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提升灾害事故处置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保障投入执勤</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确保全县消防站安全</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服务覆盖人数</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覆盖的常住人口数</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优良率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投入执勤情况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工程进度完成情况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利用率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正常生活、工作环境情况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长期使用性</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长期保障人民群众对灾害事故的需求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一级消防站建设标准</w:t>
            </w:r>
          </w:p>
        </w:tc>
      </w:tr>
    </w:tbl>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7、办案补助</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13052521WILLHX7LD68FV</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eastAsia="zh-CN"/>
              </w:rPr>
              <w:t>办案补助</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用于消防人员被装购置、发放</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15"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加强应急管理</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完善被装统一</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内务统一</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人均发放率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被装统一</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被装配备标准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人均发放率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被装统一</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被装配备标准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当年任务完成情况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被装配备标准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被装统一</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被装配备标准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长期使用性</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满足队员被装统一的需求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被装配备标准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被装配备标准</w:t>
            </w:r>
          </w:p>
        </w:tc>
      </w:tr>
    </w:tbl>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8、消防业务经费</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13052521OE1XUEUYECUF1</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eastAsia="zh-CN"/>
              </w:rPr>
              <w:t>消防业务经费</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eastAsia" w:ascii="仿宋" w:hAnsi="仿宋" w:eastAsia="仿宋" w:cs="仿宋"/>
                <w:color w:val="000000"/>
                <w:sz w:val="24"/>
                <w:szCs w:val="24"/>
                <w:lang w:val="en-US" w:eastAsia="zh-CN"/>
              </w:rPr>
              <w:t>用于消防大队车辆运行维护、办公、水电、取暖、宣传印刷等</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15"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25</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50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75</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减少消除火灾隐患</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保障人民生命财产安全</w:t>
            </w:r>
          </w:p>
        </w:tc>
      </w:tr>
      <w:tr>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保障单位正常运行率</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保障单位正常运行率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保障单位正常运行</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jc w:val="left"/>
              <w:textAlignment w:val="top"/>
              <w:rPr>
                <w:rFonts w:hint="default" w:ascii="宋体" w:hAnsi="宋体" w:eastAsia="宋体" w:cs="宋体"/>
                <w:i w:val="0"/>
                <w:color w:val="000000"/>
                <w:kern w:val="2"/>
                <w:sz w:val="18"/>
                <w:szCs w:val="18"/>
                <w:u w:val="none"/>
                <w:lang w:val="en-US" w:eastAsia="zh-CN" w:bidi="ar-SA"/>
              </w:rPr>
            </w:pPr>
            <w:r>
              <w:rPr>
                <w:rFonts w:hint="eastAsia" w:ascii="仿宋" w:hAnsi="仿宋" w:eastAsia="仿宋" w:cs="仿宋"/>
                <w:color w:val="000000"/>
                <w:kern w:val="0"/>
                <w:sz w:val="24"/>
                <w:szCs w:val="24"/>
                <w:lang w:val="en-US" w:eastAsia="zh-CN"/>
              </w:rPr>
              <w:t>日常办公、出警</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消防宣传覆盖率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消防宣传</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日常办公、出警</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当年消防正常任务完成情况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日常办公、出警</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正常办公、生活和执勤备战</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正常办公、生活和执勤备战</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日常办公、出警</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基本公共服务水平</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top"/>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挽回的经济损失</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日常办公、出警</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日常办公、出警</w:t>
            </w:r>
          </w:p>
        </w:tc>
      </w:tr>
    </w:tbl>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default"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9、消防人员及附加经费</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13052521H0WK0AHVBW8VY</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eastAsia="zh-CN"/>
              </w:rPr>
              <w:t>消防人员及附加经费</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default" w:ascii="仿宋" w:hAnsi="仿宋" w:eastAsia="仿宋" w:cs="仿宋"/>
                <w:color w:val="000000"/>
                <w:sz w:val="24"/>
                <w:szCs w:val="24"/>
                <w:lang w:val="en-US" w:eastAsia="zh-CN"/>
              </w:rPr>
              <w:t>用于消防人员工资福利支出</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15"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25</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50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75</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减少有骨干人员流失</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提升人员工作积极性</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提高消防人员待遇</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提升消防人员收入</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提高消防指挥员收入</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有利于队伍稳定和减少人才流失。</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到位情况</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到位情况</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消防安全、队伍稳定</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有利于队伍稳定和消防指战员权益得到保障</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达到省市文件通知关于消防人员工资福利待遇标准要求</w:t>
            </w:r>
          </w:p>
        </w:tc>
      </w:tr>
    </w:tbl>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eastAsia" w:ascii="仿宋" w:hAnsi="仿宋" w:eastAsia="仿宋" w:cs="仿宋"/>
          <w:b/>
          <w:bCs/>
          <w:sz w:val="32"/>
          <w:szCs w:val="32"/>
          <w:highlight w:val="none"/>
          <w:lang w:val="en-US" w:eastAsia="zh-CN"/>
        </w:rPr>
      </w:pPr>
    </w:p>
    <w:p>
      <w:pPr>
        <w:autoSpaceDE w:val="0"/>
        <w:autoSpaceDN w:val="0"/>
        <w:adjustRightInd w:val="0"/>
        <w:jc w:val="left"/>
        <w:rPr>
          <w:rFonts w:hint="default" w:ascii="仿宋" w:hAnsi="仿宋" w:eastAsia="仿宋" w:cs="仿宋"/>
          <w:b/>
          <w:bCs/>
          <w:sz w:val="32"/>
          <w:szCs w:val="32"/>
          <w:highlight w:val="none"/>
          <w:lang w:val="en-US" w:eastAsia="zh-CN"/>
        </w:rPr>
      </w:pPr>
      <w:r>
        <w:rPr>
          <w:rFonts w:hint="eastAsia" w:ascii="仿宋" w:hAnsi="仿宋" w:eastAsia="仿宋" w:cs="仿宋"/>
          <w:b/>
          <w:bCs/>
          <w:sz w:val="32"/>
          <w:szCs w:val="32"/>
          <w:highlight w:val="none"/>
          <w:lang w:val="en-US" w:eastAsia="zh-CN"/>
        </w:rPr>
        <w:t>10、消防站建设经费</w:t>
      </w:r>
    </w:p>
    <w:tbl>
      <w:tblPr>
        <w:tblStyle w:val="11"/>
        <w:tblpPr w:leftFromText="180" w:rightFromText="180" w:vertAnchor="text" w:horzAnchor="page" w:tblpX="3761" w:tblpY="351"/>
        <w:tblOverlap w:val="never"/>
        <w:tblW w:w="9675" w:type="dxa"/>
        <w:tblInd w:w="0" w:type="dxa"/>
        <w:tblLayout w:type="fixed"/>
        <w:tblCellMar>
          <w:top w:w="0" w:type="dxa"/>
          <w:left w:w="0" w:type="dxa"/>
          <w:bottom w:w="0" w:type="dxa"/>
          <w:right w:w="0" w:type="dxa"/>
        </w:tblCellMar>
      </w:tblPr>
      <w:tblGrid>
        <w:gridCol w:w="1495"/>
        <w:gridCol w:w="1020"/>
        <w:gridCol w:w="1475"/>
        <w:gridCol w:w="1980"/>
        <w:gridCol w:w="630"/>
        <w:gridCol w:w="645"/>
        <w:gridCol w:w="2430"/>
      </w:tblGrid>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项目编码</w:t>
            </w:r>
          </w:p>
        </w:tc>
        <w:tc>
          <w:tcPr>
            <w:tcW w:w="447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rPr>
              <w:t>13052521GX1GBV0KWYPB3</w:t>
            </w:r>
          </w:p>
        </w:tc>
        <w:tc>
          <w:tcPr>
            <w:tcW w:w="3705" w:type="dxa"/>
            <w:gridSpan w:val="3"/>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sz w:val="24"/>
                <w:szCs w:val="24"/>
                <w:lang w:val="en-US"/>
              </w:rPr>
            </w:pPr>
            <w:r>
              <w:rPr>
                <w:rFonts w:hint="eastAsia" w:ascii="仿宋" w:hAnsi="仿宋" w:eastAsia="仿宋" w:cs="仿宋"/>
                <w:color w:val="000000"/>
                <w:sz w:val="24"/>
                <w:szCs w:val="24"/>
                <w:lang w:val="en-US" w:eastAsia="zh-CN"/>
              </w:rPr>
              <w:t>消防站建设经费</w:t>
            </w:r>
          </w:p>
        </w:tc>
      </w:tr>
      <w:tr>
        <w:tblPrEx>
          <w:tblCellMar>
            <w:top w:w="0" w:type="dxa"/>
            <w:left w:w="0" w:type="dxa"/>
            <w:bottom w:w="0" w:type="dxa"/>
            <w:right w:w="0" w:type="dxa"/>
          </w:tblCellMar>
        </w:tblPrEx>
        <w:trPr>
          <w:trHeight w:val="420" w:hRule="atLeast"/>
        </w:trPr>
        <w:tc>
          <w:tcPr>
            <w:tcW w:w="5970" w:type="dxa"/>
            <w:gridSpan w:val="4"/>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项目绩效模板</w:t>
            </w:r>
          </w:p>
        </w:tc>
        <w:tc>
          <w:tcPr>
            <w:tcW w:w="3705" w:type="dxa"/>
            <w:gridSpan w:val="3"/>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widowControl w:val="0"/>
              <w:suppressLineNumbers w:val="0"/>
              <w:spacing w:before="0" w:beforeAutospacing="0" w:after="0" w:afterAutospacing="0"/>
              <w:ind w:left="0" w:right="0"/>
              <w:jc w:val="both"/>
              <w:rPr>
                <w:rFonts w:hint="eastAsia" w:ascii="宋体" w:hAnsi="宋体" w:eastAsia="宋体" w:cs="宋体"/>
                <w:color w:val="000000"/>
                <w:sz w:val="18"/>
                <w:szCs w:val="18"/>
                <w:lang w:val="en-US"/>
              </w:rPr>
            </w:pPr>
          </w:p>
        </w:tc>
      </w:tr>
      <w:tr>
        <w:tblPrEx>
          <w:tblCellMar>
            <w:top w:w="0" w:type="dxa"/>
            <w:left w:w="0" w:type="dxa"/>
            <w:bottom w:w="0" w:type="dxa"/>
            <w:right w:w="0" w:type="dxa"/>
          </w:tblCellMar>
        </w:tblPrEx>
        <w:trPr>
          <w:trHeight w:val="88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资金用途</w:t>
            </w:r>
          </w:p>
        </w:tc>
        <w:tc>
          <w:tcPr>
            <w:tcW w:w="8180" w:type="dxa"/>
            <w:gridSpan w:val="6"/>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宋体" w:hAnsi="宋体" w:eastAsia="宋体" w:cs="宋体"/>
                <w:color w:val="000000"/>
                <w:sz w:val="18"/>
                <w:szCs w:val="18"/>
                <w:lang w:val="en-US" w:eastAsia="zh-CN"/>
              </w:rPr>
            </w:pPr>
            <w:r>
              <w:rPr>
                <w:rFonts w:hint="default" w:ascii="仿宋" w:hAnsi="仿宋" w:eastAsia="仿宋" w:cs="仿宋"/>
                <w:color w:val="000000"/>
                <w:sz w:val="24"/>
                <w:szCs w:val="24"/>
                <w:lang w:val="en-US" w:eastAsia="zh-CN"/>
              </w:rPr>
              <w:t>用于隆尧县新建一级消防站</w:t>
            </w:r>
          </w:p>
        </w:tc>
      </w:tr>
      <w:tr>
        <w:tblPrEx>
          <w:tblCellMar>
            <w:top w:w="0" w:type="dxa"/>
            <w:left w:w="0" w:type="dxa"/>
            <w:bottom w:w="0" w:type="dxa"/>
            <w:right w:w="0" w:type="dxa"/>
          </w:tblCellMar>
        </w:tblPrEx>
        <w:trPr>
          <w:trHeight w:val="44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资金支出计划</w:t>
            </w: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3</w:t>
            </w:r>
            <w:r>
              <w:rPr>
                <w:rFonts w:hint="eastAsia" w:ascii="仿宋" w:hAnsi="仿宋" w:eastAsia="仿宋" w:cs="仿宋"/>
                <w:b/>
                <w:bCs w:val="0"/>
                <w:color w:val="000000"/>
                <w:kern w:val="0"/>
                <w:sz w:val="24"/>
                <w:szCs w:val="24"/>
              </w:rPr>
              <w:t>月底</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6</w:t>
            </w:r>
            <w:r>
              <w:rPr>
                <w:rFonts w:hint="eastAsia" w:ascii="仿宋" w:hAnsi="仿宋" w:eastAsia="仿宋" w:cs="仿宋"/>
                <w:b/>
                <w:bCs w:val="0"/>
                <w:color w:val="000000"/>
                <w:kern w:val="0"/>
                <w:sz w:val="24"/>
                <w:szCs w:val="24"/>
              </w:rPr>
              <w:t>月底</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10</w:t>
            </w:r>
            <w:r>
              <w:rPr>
                <w:rFonts w:hint="eastAsia" w:ascii="仿宋" w:hAnsi="仿宋" w:eastAsia="仿宋" w:cs="仿宋"/>
                <w:b/>
                <w:bCs w:val="0"/>
                <w:color w:val="000000"/>
                <w:kern w:val="0"/>
                <w:sz w:val="24"/>
                <w:szCs w:val="24"/>
              </w:rPr>
              <w:t>月底</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lang w:val="en-US"/>
              </w:rPr>
              <w:t>12</w:t>
            </w:r>
            <w:r>
              <w:rPr>
                <w:rFonts w:hint="eastAsia" w:ascii="仿宋" w:hAnsi="仿宋" w:eastAsia="仿宋" w:cs="仿宋"/>
                <w:b/>
                <w:bCs w:val="0"/>
                <w:color w:val="000000"/>
                <w:kern w:val="0"/>
                <w:sz w:val="24"/>
                <w:szCs w:val="24"/>
              </w:rPr>
              <w:t>月底</w:t>
            </w:r>
          </w:p>
        </w:tc>
      </w:tr>
      <w:tr>
        <w:tblPrEx>
          <w:tblCellMar>
            <w:top w:w="0" w:type="dxa"/>
            <w:left w:w="0" w:type="dxa"/>
            <w:bottom w:w="0" w:type="dxa"/>
            <w:right w:w="0" w:type="dxa"/>
          </w:tblCellMar>
        </w:tblPrEx>
        <w:trPr>
          <w:trHeight w:val="415"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249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0</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sz w:val="24"/>
                <w:szCs w:val="24"/>
                <w:lang w:val="en-US" w:eastAsia="zh-CN"/>
              </w:rPr>
            </w:pPr>
            <w:r>
              <w:rPr>
                <w:rFonts w:hint="eastAsia" w:ascii="仿宋" w:hAnsi="仿宋" w:eastAsia="仿宋" w:cs="仿宋"/>
                <w:color w:val="000000"/>
                <w:sz w:val="24"/>
                <w:szCs w:val="24"/>
                <w:lang w:val="en-US" w:eastAsia="zh-CN"/>
              </w:rPr>
              <w:t>——</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绩效目标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目标1</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提升灾害事故处置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目标2</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保障投入执勤</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目标3</w:t>
            </w:r>
          </w:p>
        </w:tc>
        <w:tc>
          <w:tcPr>
            <w:tcW w:w="7160" w:type="dxa"/>
            <w:gridSpan w:val="5"/>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确保全县消防站安全</w:t>
            </w:r>
          </w:p>
        </w:tc>
      </w:tr>
      <w:tr>
        <w:tblPrEx>
          <w:tblCellMar>
            <w:top w:w="0" w:type="dxa"/>
            <w:left w:w="0" w:type="dxa"/>
            <w:bottom w:w="0" w:type="dxa"/>
            <w:right w:w="0" w:type="dxa"/>
          </w:tblCellMar>
        </w:tblPrEx>
        <w:trPr>
          <w:trHeight w:val="5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宋体" w:hAnsi="宋体" w:eastAsia="宋体" w:cs="宋体"/>
                <w:b/>
                <w:bCs w:val="0"/>
                <w:color w:val="000000"/>
                <w:sz w:val="18"/>
                <w:szCs w:val="18"/>
                <w:lang w:val="en-US"/>
              </w:rPr>
            </w:pPr>
            <w:r>
              <w:rPr>
                <w:rFonts w:hint="eastAsia" w:ascii="仿宋" w:hAnsi="仿宋" w:eastAsia="仿宋" w:cs="仿宋"/>
                <w:b/>
                <w:bCs w:val="0"/>
                <w:color w:val="000000"/>
                <w:kern w:val="0"/>
                <w:sz w:val="24"/>
                <w:szCs w:val="24"/>
              </w:rPr>
              <w:t>一级指标</w:t>
            </w:r>
          </w:p>
        </w:tc>
        <w:tc>
          <w:tcPr>
            <w:tcW w:w="102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二级指标</w:t>
            </w:r>
          </w:p>
        </w:tc>
        <w:tc>
          <w:tcPr>
            <w:tcW w:w="147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三级指标</w:t>
            </w:r>
          </w:p>
        </w:tc>
        <w:tc>
          <w:tcPr>
            <w:tcW w:w="198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绩效指标描述（指标内容）</w:t>
            </w:r>
          </w:p>
        </w:tc>
        <w:tc>
          <w:tcPr>
            <w:tcW w:w="1275" w:type="dxa"/>
            <w:gridSpan w:val="2"/>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指标值</w:t>
            </w:r>
          </w:p>
        </w:tc>
        <w:tc>
          <w:tcPr>
            <w:tcW w:w="2430"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指标确定依据</w:t>
            </w:r>
          </w:p>
        </w:tc>
      </w:tr>
      <w:tr>
        <w:tblPrEx>
          <w:tblCellMar>
            <w:top w:w="0" w:type="dxa"/>
            <w:left w:w="0" w:type="dxa"/>
            <w:bottom w:w="0" w:type="dxa"/>
            <w:right w:w="0" w:type="dxa"/>
          </w:tblCellMar>
        </w:tblPrEx>
        <w:trPr>
          <w:trHeight w:val="5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47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98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符号</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eastAsia" w:ascii="仿宋" w:hAnsi="仿宋" w:eastAsia="仿宋" w:cs="仿宋"/>
                <w:b/>
                <w:bCs w:val="0"/>
                <w:color w:val="000000"/>
                <w:kern w:val="0"/>
                <w:sz w:val="24"/>
                <w:szCs w:val="24"/>
                <w:lang w:val="en-US"/>
              </w:rPr>
            </w:pPr>
            <w:r>
              <w:rPr>
                <w:rFonts w:hint="eastAsia" w:ascii="仿宋" w:hAnsi="仿宋" w:eastAsia="仿宋" w:cs="仿宋"/>
                <w:b/>
                <w:bCs w:val="0"/>
                <w:color w:val="000000"/>
                <w:kern w:val="0"/>
                <w:sz w:val="24"/>
                <w:szCs w:val="24"/>
              </w:rPr>
              <w:t>值</w:t>
            </w:r>
          </w:p>
        </w:tc>
        <w:tc>
          <w:tcPr>
            <w:tcW w:w="2430"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r>
      <w:tr>
        <w:tblPrEx>
          <w:tblCellMar>
            <w:top w:w="0" w:type="dxa"/>
            <w:left w:w="0" w:type="dxa"/>
            <w:bottom w:w="0" w:type="dxa"/>
            <w:right w:w="0" w:type="dxa"/>
          </w:tblCellMar>
        </w:tblPrEx>
        <w:trPr>
          <w:trHeight w:val="700" w:hRule="atLeast"/>
        </w:trPr>
        <w:tc>
          <w:tcPr>
            <w:tcW w:w="1495" w:type="dxa"/>
            <w:vMerge w:val="restart"/>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产出指标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数量指标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服务覆盖人数</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覆盖的常住人口数</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top"/>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质量指标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优良率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投入执勤情况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时效指标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完成率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工程进度完成情况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vMerge w:val="continue"/>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rPr>
                <w:rFonts w:hint="default" w:ascii="Times New Roman" w:hAnsi="Times New Roman" w:cs="Times New Roman"/>
                <w:sz w:val="20"/>
                <w:szCs w:val="20"/>
              </w:rPr>
            </w:pP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成本指标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利用率</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正常生活、工作环境情况</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效益指标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可持续影响指标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长期使用性</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长期保障人民群众对灾害事故的需求</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r>
        <w:tblPrEx>
          <w:tblCellMar>
            <w:top w:w="0" w:type="dxa"/>
            <w:left w:w="0" w:type="dxa"/>
            <w:bottom w:w="0" w:type="dxa"/>
            <w:right w:w="0" w:type="dxa"/>
          </w:tblCellMar>
        </w:tblPrEx>
        <w:trPr>
          <w:trHeight w:val="700" w:hRule="atLeast"/>
        </w:trPr>
        <w:tc>
          <w:tcPr>
            <w:tcW w:w="149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center"/>
              <w:textAlignment w:val="center"/>
              <w:rPr>
                <w:rFonts w:hint="default" w:ascii="Microsoft Sans Serif" w:hAnsi="Microsoft Sans Serif" w:eastAsia="Microsoft Sans Serif" w:cs="Microsoft Sans Serif"/>
                <w:b/>
                <w:bCs w:val="0"/>
                <w:color w:val="000000"/>
                <w:sz w:val="18"/>
                <w:szCs w:val="18"/>
                <w:lang w:val="en-US"/>
              </w:rPr>
            </w:pPr>
            <w:r>
              <w:rPr>
                <w:rFonts w:hint="default" w:ascii="仿宋" w:hAnsi="仿宋" w:eastAsia="仿宋" w:cs="仿宋"/>
                <w:b/>
                <w:bCs w:val="0"/>
                <w:color w:val="000000"/>
                <w:kern w:val="0"/>
                <w:sz w:val="24"/>
                <w:szCs w:val="24"/>
              </w:rPr>
              <w:t>满意度指标</w:t>
            </w:r>
          </w:p>
        </w:tc>
        <w:tc>
          <w:tcPr>
            <w:tcW w:w="102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群众满意度指标</w:t>
            </w:r>
          </w:p>
        </w:tc>
        <w:tc>
          <w:tcPr>
            <w:tcW w:w="147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群众满意度</w:t>
            </w:r>
          </w:p>
        </w:tc>
        <w:tc>
          <w:tcPr>
            <w:tcW w:w="198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群众满意数量总占比</w:t>
            </w:r>
          </w:p>
        </w:tc>
        <w:tc>
          <w:tcPr>
            <w:tcW w:w="6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rPr>
              <w:t>≥</w:t>
            </w:r>
          </w:p>
        </w:tc>
        <w:tc>
          <w:tcPr>
            <w:tcW w:w="64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leftChars="0" w:right="0" w:rightChars="0"/>
              <w:jc w:val="left"/>
              <w:textAlignment w:val="center"/>
              <w:rPr>
                <w:rFonts w:hint="eastAsia" w:ascii="仿宋" w:hAnsi="仿宋" w:eastAsia="仿宋" w:cs="仿宋"/>
                <w:color w:val="000000"/>
                <w:kern w:val="0"/>
                <w:sz w:val="24"/>
                <w:szCs w:val="24"/>
                <w:lang w:val="en-US"/>
              </w:rPr>
            </w:pPr>
            <w:r>
              <w:rPr>
                <w:rFonts w:hint="eastAsia" w:ascii="仿宋" w:hAnsi="仿宋" w:eastAsia="仿宋" w:cs="仿宋"/>
                <w:color w:val="000000"/>
                <w:kern w:val="0"/>
                <w:sz w:val="24"/>
                <w:szCs w:val="24"/>
                <w:lang w:val="en-US" w:eastAsia="zh-CN"/>
              </w:rPr>
              <w:t>100</w:t>
            </w:r>
          </w:p>
        </w:tc>
        <w:tc>
          <w:tcPr>
            <w:tcW w:w="2430"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spacing w:before="0" w:beforeAutospacing="0" w:after="0" w:afterAutospacing="0"/>
              <w:ind w:left="0" w:right="0"/>
              <w:jc w:val="left"/>
              <w:textAlignment w:val="center"/>
              <w:rPr>
                <w:rFonts w:hint="default" w:ascii="仿宋" w:hAnsi="仿宋" w:eastAsia="仿宋" w:cs="仿宋"/>
                <w:color w:val="000000"/>
                <w:kern w:val="0"/>
                <w:sz w:val="24"/>
                <w:szCs w:val="24"/>
                <w:lang w:val="en-US" w:eastAsia="zh-CN"/>
              </w:rPr>
            </w:pPr>
            <w:r>
              <w:rPr>
                <w:rFonts w:hint="eastAsia" w:ascii="仿宋" w:hAnsi="仿宋" w:eastAsia="仿宋" w:cs="仿宋"/>
                <w:color w:val="000000"/>
                <w:kern w:val="0"/>
                <w:sz w:val="24"/>
                <w:szCs w:val="24"/>
                <w:lang w:val="en-US" w:eastAsia="zh-CN"/>
              </w:rPr>
              <w:t>一级消防站建设标准</w:t>
            </w:r>
          </w:p>
        </w:tc>
      </w:tr>
    </w:tbl>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autoSpaceDE w:val="0"/>
        <w:autoSpaceDN w:val="0"/>
        <w:adjustRightInd w:val="0"/>
        <w:jc w:val="left"/>
        <w:rPr>
          <w:rFonts w:hint="eastAsia" w:ascii="仿宋" w:hAnsi="仿宋" w:eastAsia="仿宋" w:cs="仿宋"/>
          <w:b/>
          <w:bCs/>
          <w:sz w:val="32"/>
          <w:szCs w:val="32"/>
          <w:highlight w:val="yellow"/>
        </w:rPr>
      </w:pPr>
    </w:p>
    <w:p>
      <w:pPr>
        <w:numPr>
          <w:ilvl w:val="0"/>
          <w:numId w:val="1"/>
        </w:numPr>
        <w:autoSpaceDE w:val="0"/>
        <w:autoSpaceDN w:val="0"/>
        <w:adjustRightInd w:val="0"/>
        <w:ind w:left="0" w:leftChars="0"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政府采购预算情况</w:t>
      </w:r>
    </w:p>
    <w:p>
      <w:pPr>
        <w:numPr>
          <w:ilvl w:val="0"/>
          <w:numId w:val="0"/>
        </w:num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2021年，隆尧县消防救援大队安排政府采购预算0.00万元。具体内容见下表。</w:t>
      </w:r>
    </w:p>
    <w:tbl>
      <w:tblPr>
        <w:tblStyle w:val="11"/>
        <w:tblpPr w:leftFromText="180" w:rightFromText="180" w:vertAnchor="text" w:horzAnchor="page" w:tblpX="496" w:tblpY="1113"/>
        <w:tblOverlap w:val="never"/>
        <w:tblW w:w="1542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79"/>
        <w:gridCol w:w="957"/>
        <w:gridCol w:w="949"/>
        <w:gridCol w:w="949"/>
        <w:gridCol w:w="949"/>
        <w:gridCol w:w="949"/>
        <w:gridCol w:w="949"/>
        <w:gridCol w:w="949"/>
        <w:gridCol w:w="949"/>
        <w:gridCol w:w="949"/>
        <w:gridCol w:w="949"/>
        <w:gridCol w:w="949"/>
        <w:gridCol w:w="949"/>
        <w:gridCol w:w="949"/>
        <w:gridCol w:w="950"/>
        <w:gridCol w:w="9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4" w:hRule="atLeast"/>
        </w:trPr>
        <w:tc>
          <w:tcPr>
            <w:tcW w:w="15420" w:type="dxa"/>
            <w:gridSpan w:val="16"/>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ascii="方正小标宋_GBK" w:hAnsi="方正小标宋_GBK" w:eastAsia="方正小标宋_GBK" w:cs="方正小标宋_GBK"/>
                <w:i w:val="0"/>
                <w:iCs w:val="0"/>
                <w:color w:val="000000"/>
                <w:sz w:val="36"/>
                <w:szCs w:val="36"/>
                <w:u w:val="none"/>
              </w:rPr>
            </w:pPr>
            <w:r>
              <w:rPr>
                <w:rFonts w:hint="eastAsia" w:ascii="方正小标宋_GBK" w:hAnsi="方正小标宋_GBK" w:eastAsia="方正小标宋_GBK" w:cs="方正小标宋_GBK"/>
                <w:i w:val="0"/>
                <w:iCs w:val="0"/>
                <w:color w:val="000000"/>
                <w:kern w:val="0"/>
                <w:sz w:val="36"/>
                <w:szCs w:val="36"/>
                <w:u w:val="none"/>
                <w:lang w:val="en-US" w:eastAsia="zh-CN" w:bidi="ar"/>
              </w:rPr>
              <w:t>部门政府采购预算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1" w:hRule="atLeast"/>
        </w:trPr>
        <w:tc>
          <w:tcPr>
            <w:tcW w:w="15420" w:type="dxa"/>
            <w:gridSpan w:val="16"/>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方正小标宋_GBK" w:hAnsi="方正小标宋_GBK" w:eastAsia="方正小标宋_GBK" w:cs="方正小标宋_GBK"/>
                <w:i w:val="0"/>
                <w:iCs w:val="0"/>
                <w:color w:val="000000"/>
                <w:sz w:val="24"/>
                <w:szCs w:val="24"/>
                <w:u w:val="none"/>
              </w:rPr>
            </w:pPr>
            <w:r>
              <w:rPr>
                <w:rFonts w:hint="eastAsia" w:ascii="方正小标宋_GBK" w:hAnsi="方正小标宋_GBK" w:eastAsia="方正小标宋_GBK" w:cs="方正小标宋_GBK"/>
                <w:i w:val="0"/>
                <w:iCs w:val="0"/>
                <w:color w:val="000000"/>
                <w:kern w:val="0"/>
                <w:sz w:val="24"/>
                <w:szCs w:val="24"/>
                <w:u w:val="none"/>
                <w:lang w:val="en-US" w:eastAsia="zh-CN" w:bidi="ar"/>
              </w:rPr>
              <w:t xml:space="preserve">903隆尧县消防救援大队                                                                                               </w:t>
            </w:r>
            <w:r>
              <w:rPr>
                <w:rFonts w:hint="eastAsia" w:ascii="仿宋" w:hAnsi="仿宋" w:eastAsia="仿宋" w:cs="仿宋"/>
                <w:i w:val="0"/>
                <w:iCs w:val="0"/>
                <w:color w:val="000000"/>
                <w:kern w:val="0"/>
                <w:sz w:val="24"/>
                <w:szCs w:val="24"/>
                <w:u w:val="none"/>
                <w:lang w:val="en-US" w:eastAsia="zh-CN" w:bidi="ar"/>
              </w:rPr>
              <w:t xml:space="preserve"> 单位：万元  </w:t>
            </w:r>
            <w:r>
              <w:rPr>
                <w:rFonts w:hint="eastAsia" w:ascii="方正小标宋_GBK" w:hAnsi="方正小标宋_GBK" w:eastAsia="方正小标宋_GBK" w:cs="方正小标宋_GBK"/>
                <w:i w:val="0"/>
                <w:iCs w:val="0"/>
                <w:color w:val="000000"/>
                <w:kern w:val="0"/>
                <w:sz w:val="24"/>
                <w:szCs w:val="24"/>
                <w:u w:val="none"/>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政府采购项目来源</w:t>
            </w:r>
          </w:p>
        </w:tc>
        <w:tc>
          <w:tcPr>
            <w:tcW w:w="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采购物品名称</w:t>
            </w:r>
          </w:p>
        </w:tc>
        <w:tc>
          <w:tcPr>
            <w:tcW w:w="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政府采购目录序号</w:t>
            </w:r>
          </w:p>
        </w:tc>
        <w:tc>
          <w:tcPr>
            <w:tcW w:w="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 xml:space="preserve">计量 </w:t>
            </w:r>
          </w:p>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w:t>
            </w:r>
          </w:p>
        </w:tc>
        <w:tc>
          <w:tcPr>
            <w:tcW w:w="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95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单价</w:t>
            </w:r>
          </w:p>
        </w:tc>
        <w:tc>
          <w:tcPr>
            <w:tcW w:w="0" w:type="auto"/>
            <w:gridSpan w:val="8"/>
            <w:tcBorders>
              <w:top w:val="single" w:color="000000" w:sz="4" w:space="0"/>
              <w:left w:val="single" w:color="000000" w:sz="4" w:space="0"/>
              <w:bottom w:val="single" w:color="000000" w:sz="4" w:space="0"/>
              <w:right w:val="single" w:color="000000" w:sz="4" w:space="0"/>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政府采购金额（当年部门预算安排资金）</w:t>
            </w:r>
          </w:p>
        </w:tc>
        <w:tc>
          <w:tcPr>
            <w:tcW w:w="9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2022年  预留中  小微企  业份额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95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预算</w:t>
            </w:r>
          </w:p>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w:t>
            </w: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5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合计</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一般公共预算拨款</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基金预算拨款</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国有资本经营预算拨款</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财政专户核拨</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    资金</w:t>
            </w:r>
          </w:p>
        </w:tc>
        <w:tc>
          <w:tcPr>
            <w:tcW w:w="95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财政拨    款结转</w:t>
            </w:r>
          </w:p>
        </w:tc>
        <w:tc>
          <w:tcPr>
            <w:tcW w:w="9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非财政    拨款结    转结余</w:t>
            </w:r>
          </w:p>
        </w:tc>
        <w:tc>
          <w:tcPr>
            <w:tcW w:w="9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2"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pPr>
              <w:rPr>
                <w:rFonts w:hint="eastAsia" w:ascii="宋体" w:hAnsi="宋体" w:eastAsia="宋体" w:cs="宋体"/>
                <w:i w:val="0"/>
                <w:iCs w:val="0"/>
                <w:color w:val="000000"/>
                <w:sz w:val="24"/>
                <w:szCs w:val="24"/>
                <w:u w:val="none"/>
              </w:rPr>
            </w:pPr>
          </w:p>
        </w:tc>
      </w:tr>
    </w:tbl>
    <w:p>
      <w:pPr>
        <w:numPr>
          <w:ilvl w:val="0"/>
          <w:numId w:val="0"/>
        </w:numPr>
        <w:spacing w:line="500" w:lineRule="exact"/>
        <w:jc w:val="left"/>
        <w:rPr>
          <w:rFonts w:hint="default" w:ascii="仿宋" w:hAnsi="仿宋" w:eastAsia="仿宋" w:cs="仿宋"/>
          <w:b w:val="0"/>
          <w:color w:val="444444"/>
          <w:kern w:val="0"/>
          <w:sz w:val="32"/>
          <w:szCs w:val="32"/>
          <w:lang w:val="en-US" w:eastAsia="zh-CN" w:bidi="ar-SA"/>
        </w:rPr>
      </w:pPr>
    </w:p>
    <w:p>
      <w:pPr>
        <w:numPr>
          <w:ilvl w:val="0"/>
          <w:numId w:val="0"/>
        </w:numPr>
        <w:autoSpaceDE w:val="0"/>
        <w:autoSpaceDN w:val="0"/>
        <w:adjustRightInd w:val="0"/>
        <w:ind w:leftChars="200"/>
        <w:jc w:val="left"/>
        <w:rPr>
          <w:rFonts w:hint="eastAsia" w:ascii="仿宋" w:hAnsi="仿宋" w:eastAsia="仿宋" w:cs="仿宋"/>
          <w:sz w:val="28"/>
          <w:szCs w:val="28"/>
        </w:rPr>
      </w:pPr>
      <w:r>
        <w:rPr>
          <w:rFonts w:hint="eastAsia" w:ascii="仿宋" w:hAnsi="仿宋" w:eastAsia="仿宋" w:cs="仿宋"/>
          <w:sz w:val="28"/>
          <w:szCs w:val="28"/>
        </w:rPr>
        <w:t>注：同一采购目录序号的物品，其单价会因配置规格不同而变动，均符合资产配置标准。涉密采购事项按照相关规定执行。</w:t>
      </w:r>
    </w:p>
    <w:p>
      <w:pPr>
        <w:numPr>
          <w:ilvl w:val="0"/>
          <w:numId w:val="0"/>
        </w:numPr>
        <w:autoSpaceDE w:val="0"/>
        <w:autoSpaceDN w:val="0"/>
        <w:adjustRightInd w:val="0"/>
        <w:ind w:leftChars="200"/>
        <w:jc w:val="left"/>
        <w:rPr>
          <w:rFonts w:hint="eastAsia" w:ascii="仿宋" w:hAnsi="仿宋" w:eastAsia="仿宋" w:cs="仿宋"/>
          <w:sz w:val="28"/>
          <w:szCs w:val="28"/>
        </w:rPr>
      </w:pPr>
      <w:r>
        <w:rPr>
          <w:rFonts w:hint="eastAsia" w:ascii="仿宋" w:hAnsi="仿宋" w:eastAsia="仿宋" w:cs="仿宋"/>
          <w:sz w:val="28"/>
          <w:szCs w:val="28"/>
        </w:rPr>
        <w:t>注：无政府采购预算，空表列示。</w:t>
      </w:r>
    </w:p>
    <w:p>
      <w:pPr>
        <w:numPr>
          <w:ilvl w:val="0"/>
          <w:numId w:val="1"/>
        </w:numPr>
        <w:autoSpaceDE w:val="0"/>
        <w:autoSpaceDN w:val="0"/>
        <w:adjustRightInd w:val="0"/>
        <w:ind w:left="0" w:leftChars="0"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国有资产信息</w:t>
      </w:r>
    </w:p>
    <w:p>
      <w:pPr>
        <w:numPr>
          <w:ilvl w:val="0"/>
          <w:numId w:val="0"/>
        </w:numPr>
        <w:spacing w:line="500" w:lineRule="exact"/>
        <w:ind w:firstLine="640" w:firstLineChars="200"/>
        <w:jc w:val="left"/>
        <w:rPr>
          <w:rFonts w:hint="eastAsia" w:ascii="仿宋" w:hAnsi="仿宋" w:eastAsia="仿宋" w:cs="仿宋"/>
          <w:b w:val="0"/>
          <w:color w:val="444444"/>
          <w:kern w:val="0"/>
          <w:sz w:val="32"/>
          <w:szCs w:val="32"/>
          <w:lang w:val="en-US" w:eastAsia="zh-CN" w:bidi="ar-SA"/>
        </w:rPr>
      </w:pPr>
      <w:r>
        <w:rPr>
          <w:rFonts w:hint="eastAsia" w:ascii="仿宋" w:hAnsi="仿宋" w:eastAsia="仿宋" w:cs="仿宋"/>
          <w:b w:val="0"/>
          <w:color w:val="444444"/>
          <w:kern w:val="0"/>
          <w:sz w:val="32"/>
          <w:szCs w:val="32"/>
          <w:lang w:val="en-US" w:eastAsia="zh-CN" w:bidi="ar-SA"/>
        </w:rPr>
        <w:t>隆尧县消防救援大队（含所属单位）上年末固定资产金额为0.00万元（详见下表）。本年度拟购置固定资产总额为0.00万元，已按要求列入政府采购预算，详见政府采购预算表。</w:t>
      </w:r>
    </w:p>
    <w:tbl>
      <w:tblPr>
        <w:tblStyle w:val="11"/>
        <w:tblW w:w="133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18"/>
        <w:gridCol w:w="3151"/>
        <w:gridCol w:w="47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3320" w:type="dxa"/>
            <w:gridSpan w:val="3"/>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ascii="方正小标宋_GBK" w:hAnsi="方正小标宋_GBK" w:eastAsia="方正小标宋_GBK" w:cs="方正小标宋_GBK"/>
                <w:i w:val="0"/>
                <w:iCs w:val="0"/>
                <w:color w:val="000000"/>
                <w:sz w:val="36"/>
                <w:szCs w:val="36"/>
                <w:u w:val="none"/>
              </w:rPr>
            </w:pPr>
            <w:r>
              <w:rPr>
                <w:rFonts w:hint="eastAsia" w:ascii="方正小标宋_GBK" w:hAnsi="方正小标宋_GBK" w:eastAsia="方正小标宋_GBK" w:cs="方正小标宋_GBK"/>
                <w:i w:val="0"/>
                <w:iCs w:val="0"/>
                <w:color w:val="000000"/>
                <w:kern w:val="0"/>
                <w:sz w:val="36"/>
                <w:szCs w:val="36"/>
                <w:u w:val="none"/>
                <w:lang w:val="en-US" w:eastAsia="zh-CN" w:bidi="ar"/>
              </w:rPr>
              <w:t>部门固定资产占用情况表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4" w:hRule="atLeast"/>
        </w:trPr>
        <w:tc>
          <w:tcPr>
            <w:tcW w:w="13320" w:type="dxa"/>
            <w:gridSpan w:val="3"/>
            <w:tcBorders>
              <w:top w:val="nil"/>
              <w:left w:val="nil"/>
              <w:bottom w:val="nil"/>
              <w:right w:val="nil"/>
            </w:tcBorders>
            <w:shd w:val="clear" w:color="auto" w:fill="auto"/>
            <w:vAlign w:val="bottom"/>
          </w:tcPr>
          <w:p>
            <w:pPr>
              <w:keepNext w:val="0"/>
              <w:keepLines w:val="0"/>
              <w:widowControl/>
              <w:suppressLineNumbers w:val="0"/>
              <w:jc w:val="left"/>
              <w:textAlignment w:val="bottom"/>
              <w:rPr>
                <w:rFonts w:hint="eastAsia" w:ascii="方正小标宋_GBK" w:hAnsi="方正小标宋_GBK" w:eastAsia="方正小标宋_GBK" w:cs="方正小标宋_GBK"/>
                <w:i w:val="0"/>
                <w:iCs w:val="0"/>
                <w:color w:val="000000"/>
                <w:sz w:val="24"/>
                <w:szCs w:val="24"/>
                <w:u w:val="none"/>
              </w:rPr>
            </w:pPr>
            <w:r>
              <w:rPr>
                <w:rFonts w:hint="eastAsia" w:ascii="方正小标宋_GBK" w:hAnsi="方正小标宋_GBK" w:eastAsia="方正小标宋_GBK" w:cs="方正小标宋_GBK"/>
                <w:i w:val="0"/>
                <w:iCs w:val="0"/>
                <w:color w:val="000000"/>
                <w:kern w:val="0"/>
                <w:sz w:val="24"/>
                <w:szCs w:val="24"/>
                <w:u w:val="none"/>
                <w:lang w:val="en-US" w:eastAsia="zh-CN" w:bidi="ar"/>
              </w:rPr>
              <w:t xml:space="preserve">903隆尧县消防救援大队                                                                   截止时间：2021-12-31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7" w:hRule="atLeast"/>
        </w:trPr>
        <w:tc>
          <w:tcPr>
            <w:tcW w:w="54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w:t>
            </w:r>
          </w:p>
        </w:tc>
        <w:tc>
          <w:tcPr>
            <w:tcW w:w="31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w:t>
            </w:r>
          </w:p>
        </w:tc>
        <w:tc>
          <w:tcPr>
            <w:tcW w:w="475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价值（金额单位：万元）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418"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both"/>
              <w:rPr>
                <w:rFonts w:hint="eastAsia" w:ascii="宋体" w:hAnsi="宋体" w:eastAsia="宋体" w:cs="宋体"/>
                <w:i w:val="0"/>
                <w:iCs w:val="0"/>
                <w:color w:val="000000"/>
                <w:sz w:val="24"/>
                <w:szCs w:val="24"/>
                <w:u w:val="none"/>
              </w:rPr>
            </w:pPr>
          </w:p>
        </w:tc>
        <w:tc>
          <w:tcPr>
            <w:tcW w:w="315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both"/>
              <w:rPr>
                <w:rFonts w:hint="eastAsia" w:ascii="宋体" w:hAnsi="宋体" w:eastAsia="宋体" w:cs="宋体"/>
                <w:i w:val="0"/>
                <w:iCs w:val="0"/>
                <w:color w:val="000000"/>
                <w:sz w:val="24"/>
                <w:szCs w:val="24"/>
                <w:u w:val="none"/>
              </w:rPr>
            </w:pPr>
          </w:p>
        </w:tc>
        <w:tc>
          <w:tcPr>
            <w:tcW w:w="4751" w:type="dxa"/>
            <w:tcBorders>
              <w:top w:val="single" w:color="000000" w:sz="4" w:space="0"/>
              <w:left w:val="single" w:color="000000" w:sz="4" w:space="0"/>
              <w:bottom w:val="single" w:color="000000" w:sz="4" w:space="0"/>
              <w:right w:val="single" w:color="000000" w:sz="4" w:space="0"/>
            </w:tcBorders>
            <w:shd w:val="clear" w:color="auto" w:fill="auto"/>
            <w:noWrap/>
            <w:vAlign w:val="bottom"/>
          </w:tcPr>
          <w:p>
            <w:pPr>
              <w:jc w:val="both"/>
              <w:rPr>
                <w:rFonts w:hint="eastAsia" w:ascii="宋体" w:hAnsi="宋体" w:eastAsia="宋体" w:cs="宋体"/>
                <w:i w:val="0"/>
                <w:iCs w:val="0"/>
                <w:color w:val="000000"/>
                <w:sz w:val="24"/>
                <w:szCs w:val="24"/>
                <w:u w:val="none"/>
              </w:rPr>
            </w:pPr>
          </w:p>
        </w:tc>
      </w:tr>
    </w:tbl>
    <w:p>
      <w:pPr>
        <w:numPr>
          <w:ilvl w:val="0"/>
          <w:numId w:val="0"/>
        </w:numPr>
        <w:autoSpaceDE w:val="0"/>
        <w:autoSpaceDN w:val="0"/>
        <w:adjustRightInd w:val="0"/>
        <w:ind w:leftChars="20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注：无固定资产占用情况，空表列示。</w:t>
      </w:r>
    </w:p>
    <w:p>
      <w:pPr>
        <w:numPr>
          <w:ilvl w:val="0"/>
          <w:numId w:val="1"/>
        </w:numPr>
        <w:autoSpaceDE w:val="0"/>
        <w:autoSpaceDN w:val="0"/>
        <w:adjustRightInd w:val="0"/>
        <w:ind w:left="0" w:leftChars="0"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名词解释</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1、一般公共预算拨款收入：</w:t>
      </w:r>
      <w:r>
        <w:rPr>
          <w:rFonts w:hint="eastAsia" w:ascii="仿宋" w:hAnsi="仿宋" w:eastAsia="仿宋" w:cs="仿宋"/>
          <w:sz w:val="32"/>
          <w:szCs w:val="32"/>
        </w:rPr>
        <w:t>指</w:t>
      </w:r>
      <w:r>
        <w:rPr>
          <w:rFonts w:hint="eastAsia" w:ascii="仿宋" w:hAnsi="仿宋" w:eastAsia="仿宋" w:cs="仿宋"/>
          <w:sz w:val="32"/>
          <w:szCs w:val="32"/>
          <w:lang w:val="en-US" w:eastAsia="zh-CN"/>
        </w:rPr>
        <w:t>县</w:t>
      </w:r>
      <w:r>
        <w:rPr>
          <w:rFonts w:hint="eastAsia" w:ascii="仿宋" w:hAnsi="仿宋" w:eastAsia="仿宋" w:cs="仿宋"/>
          <w:sz w:val="32"/>
          <w:szCs w:val="32"/>
        </w:rPr>
        <w:t>级财政当年拨付的资金。</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2、事业收入：</w:t>
      </w:r>
      <w:r>
        <w:rPr>
          <w:rFonts w:hint="eastAsia" w:ascii="仿宋" w:hAnsi="仿宋" w:eastAsia="仿宋" w:cs="仿宋"/>
          <w:sz w:val="32"/>
          <w:szCs w:val="32"/>
        </w:rPr>
        <w:t>指事业单位开展专业业务活动及辅助活动所取得的收入。</w:t>
      </w:r>
    </w:p>
    <w:p>
      <w:pPr>
        <w:tabs>
          <w:tab w:val="left" w:pos="11490"/>
        </w:tabs>
        <w:ind w:firstLine="640" w:firstLineChars="200"/>
        <w:rPr>
          <w:rFonts w:hint="eastAsia" w:ascii="仿宋" w:hAnsi="仿宋" w:eastAsia="仿宋" w:cs="仿宋"/>
          <w:b/>
          <w:sz w:val="32"/>
          <w:szCs w:val="32"/>
        </w:rPr>
      </w:pPr>
      <w:r>
        <w:rPr>
          <w:rFonts w:hint="eastAsia" w:ascii="仿宋" w:hAnsi="仿宋" w:eastAsia="仿宋" w:cs="仿宋"/>
          <w:b/>
          <w:sz w:val="32"/>
          <w:szCs w:val="32"/>
        </w:rPr>
        <w:t>3、其他收入：</w:t>
      </w:r>
      <w:r>
        <w:rPr>
          <w:rFonts w:hint="eastAsia" w:ascii="仿宋" w:hAnsi="仿宋" w:eastAsia="仿宋" w:cs="仿宋"/>
          <w:sz w:val="32"/>
          <w:szCs w:val="32"/>
        </w:rPr>
        <w:t>指除“一般公共预算拨款收入”、“事业收入”等以外的收入。主要是按规定动用的租房收入、存款利息收入等。</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4、基本支出：</w:t>
      </w:r>
      <w:r>
        <w:rPr>
          <w:rFonts w:hint="eastAsia" w:ascii="仿宋" w:hAnsi="仿宋" w:eastAsia="仿宋" w:cs="仿宋"/>
          <w:sz w:val="32"/>
          <w:szCs w:val="32"/>
        </w:rPr>
        <w:t>指为保障机构正常运转、完成日常工作任务而发生的人员支出和公用支出。</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5、项目支出：</w:t>
      </w:r>
      <w:r>
        <w:rPr>
          <w:rFonts w:hint="eastAsia" w:ascii="仿宋" w:hAnsi="仿宋" w:eastAsia="仿宋" w:cs="仿宋"/>
          <w:sz w:val="32"/>
          <w:szCs w:val="32"/>
        </w:rPr>
        <w:t>指在基本支出之外为完成特定行政任务和事业发展目标所发生的支出。</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6、上缴上级支出：</w:t>
      </w:r>
      <w:r>
        <w:rPr>
          <w:rFonts w:hint="eastAsia" w:ascii="仿宋" w:hAnsi="仿宋" w:eastAsia="仿宋" w:cs="仿宋"/>
          <w:sz w:val="32"/>
          <w:szCs w:val="32"/>
        </w:rPr>
        <w:t>指下级单位上缴上级的支出。</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7、“三公”经费：</w:t>
      </w:r>
      <w:r>
        <w:rPr>
          <w:rFonts w:hint="eastAsia" w:ascii="仿宋" w:hAnsi="仿宋" w:eastAsia="仿宋" w:cs="仿宋"/>
          <w:sz w:val="32"/>
          <w:szCs w:val="32"/>
        </w:rPr>
        <w:t>纳入</w:t>
      </w:r>
      <w:r>
        <w:rPr>
          <w:rFonts w:hint="eastAsia" w:ascii="仿宋" w:hAnsi="仿宋" w:eastAsia="仿宋" w:cs="仿宋"/>
          <w:sz w:val="32"/>
          <w:szCs w:val="32"/>
          <w:lang w:val="en-US" w:eastAsia="zh-CN"/>
        </w:rPr>
        <w:t>县</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val="en-US" w:eastAsia="zh-CN"/>
        </w:rPr>
        <w:t>县</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8、机关运行费：</w:t>
      </w:r>
      <w:r>
        <w:rPr>
          <w:rFonts w:hint="eastAsia" w:ascii="仿宋" w:hAnsi="仿宋" w:eastAsia="仿宋" w:cs="仿宋"/>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0" w:firstLineChars="200"/>
        <w:rPr>
          <w:rFonts w:hint="eastAsia" w:ascii="仿宋" w:hAnsi="仿宋" w:eastAsia="仿宋" w:cs="仿宋"/>
          <w:sz w:val="32"/>
          <w:szCs w:val="32"/>
        </w:rPr>
      </w:pPr>
      <w:r>
        <w:rPr>
          <w:rFonts w:hint="eastAsia" w:ascii="仿宋" w:hAnsi="仿宋" w:eastAsia="仿宋" w:cs="仿宋"/>
          <w:b/>
          <w:sz w:val="32"/>
          <w:szCs w:val="32"/>
        </w:rPr>
        <w:t>9、上年结转：</w:t>
      </w:r>
      <w:r>
        <w:rPr>
          <w:rFonts w:hint="eastAsia" w:ascii="仿宋" w:hAnsi="仿宋" w:eastAsia="仿宋" w:cs="仿宋"/>
          <w:sz w:val="32"/>
          <w:szCs w:val="32"/>
        </w:rPr>
        <w:t>指以前年度尚未完成、结转到本年仍按原规定用途继续使用的资金。</w:t>
      </w:r>
    </w:p>
    <w:p>
      <w:pPr>
        <w:autoSpaceDE w:val="0"/>
        <w:autoSpaceDN w:val="0"/>
        <w:adjustRightInd w:val="0"/>
        <w:ind w:firstLine="640" w:firstLineChars="200"/>
        <w:jc w:val="left"/>
        <w:rPr>
          <w:rFonts w:hint="eastAsia" w:ascii="仿宋" w:hAnsi="仿宋" w:eastAsia="仿宋" w:cs="仿宋"/>
          <w:sz w:val="32"/>
          <w:szCs w:val="32"/>
        </w:rPr>
      </w:pPr>
      <w:r>
        <w:rPr>
          <w:rFonts w:hint="eastAsia" w:ascii="仿宋" w:hAnsi="仿宋" w:eastAsia="仿宋" w:cs="仿宋"/>
          <w:sz w:val="32"/>
          <w:szCs w:val="32"/>
        </w:rPr>
        <w:t>九、其他需要说明的事项</w:t>
      </w:r>
    </w:p>
    <w:p>
      <w:pPr>
        <w:ind w:firstLine="640" w:firstLineChars="200"/>
        <w:rPr>
          <w:rFonts w:hint="eastAsia" w:ascii="仿宋" w:hAnsi="仿宋" w:eastAsia="仿宋" w:cs="仿宋"/>
          <w:sz w:val="32"/>
          <w:szCs w:val="32"/>
          <w:lang w:eastAsia="zh-CN"/>
        </w:rPr>
        <w:sectPr>
          <w:pgSz w:w="16839" w:h="11907" w:orient="landscape"/>
          <w:pgMar w:top="1304" w:right="1985" w:bottom="1304" w:left="1134" w:header="851" w:footer="992" w:gutter="0"/>
          <w:cols w:space="720" w:num="1"/>
          <w:docGrid w:type="linesAndChars" w:linePitch="312" w:charSpace="0"/>
        </w:sectPr>
      </w:pPr>
      <w:r>
        <w:rPr>
          <w:rFonts w:hint="eastAsia" w:ascii="仿宋" w:hAnsi="仿宋" w:eastAsia="仿宋" w:cs="仿宋"/>
          <w:sz w:val="32"/>
          <w:szCs w:val="32"/>
        </w:rPr>
        <w:t>我部门无其他需要说明的事项</w:t>
      </w:r>
      <w:r>
        <w:rPr>
          <w:rFonts w:hint="eastAsia" w:ascii="仿宋" w:hAnsi="仿宋" w:eastAsia="仿宋" w:cs="仿宋"/>
          <w:sz w:val="32"/>
          <w:szCs w:val="32"/>
          <w:lang w:eastAsia="zh-CN"/>
        </w:rPr>
        <w:t>。</w:t>
      </w:r>
    </w:p>
    <w:bookmarkEnd w:id="0"/>
    <w:p>
      <w:pPr>
        <w:autoSpaceDE w:val="0"/>
        <w:autoSpaceDN w:val="0"/>
        <w:adjustRightInd w:val="0"/>
        <w:jc w:val="left"/>
      </w:pPr>
    </w:p>
    <w:sectPr>
      <w:headerReference r:id="rId7" w:type="first"/>
      <w:footerReference r:id="rId10" w:type="first"/>
      <w:headerReference r:id="rId5" w:type="default"/>
      <w:footerReference r:id="rId8" w:type="default"/>
      <w:headerReference r:id="rId6" w:type="even"/>
      <w:footerReference r:id="rId9" w:type="even"/>
      <w:pgSz w:w="16839" w:h="11907" w:orient="landscape"/>
      <w:pgMar w:top="1304" w:right="1985" w:bottom="1304" w:left="1134"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onsolas">
    <w:panose1 w:val="020B0609020204030204"/>
    <w:charset w:val="00"/>
    <w:family w:val="auto"/>
    <w:pitch w:val="default"/>
    <w:sig w:usb0="E00006FF" w:usb1="0000FCFF" w:usb2="00000001" w:usb3="00000000" w:csb0="6000019F" w:csb1="DFD70000"/>
  </w:font>
  <w:font w:name="仿宋">
    <w:panose1 w:val="02010609060101010101"/>
    <w:charset w:val="86"/>
    <w:family w:val="auto"/>
    <w:pitch w:val="default"/>
    <w:sig w:usb0="800002BF" w:usb1="38CF7CFA" w:usb2="00000016" w:usb3="00000000" w:csb0="00040001" w:csb1="00000000"/>
  </w:font>
  <w:font w:name="Microsoft Sans Serif">
    <w:panose1 w:val="020B0604020202020204"/>
    <w:charset w:val="00"/>
    <w:family w:val="auto"/>
    <w:pitch w:val="default"/>
    <w:sig w:usb0="E5002EFF" w:usb1="C000605B" w:usb2="00000029" w:usb3="00000000" w:csb0="200101FF" w:csb1="2028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58420" cy="278765"/>
              <wp:effectExtent l="0" t="0" r="0" b="0"/>
              <wp:wrapNone/>
              <wp:docPr id="1" name="文本框 7"/>
              <wp:cNvGraphicFramePr/>
              <a:graphic xmlns:a="http://schemas.openxmlformats.org/drawingml/2006/main">
                <a:graphicData uri="http://schemas.microsoft.com/office/word/2010/wordprocessingShape">
                  <wps:wsp>
                    <wps:cNvSpPr txBox="1"/>
                    <wps:spPr>
                      <a:xfrm>
                        <a:off x="0" y="0"/>
                        <a:ext cx="58420" cy="278765"/>
                      </a:xfrm>
                      <a:prstGeom prst="rect">
                        <a:avLst/>
                      </a:prstGeom>
                      <a:noFill/>
                      <a:ln>
                        <a:noFill/>
                      </a:ln>
                    </wps:spPr>
                    <wps:txbx>
                      <w:txbxContent>
                        <w:p>
                          <w:pPr>
                            <w:pStyle w:val="5"/>
                            <w:rPr>
                              <w:rStyle w:val="14"/>
                            </w:rPr>
                          </w:pPr>
                          <w:r>
                            <w:rPr>
                              <w:rStyle w:val="14"/>
                            </w:rPr>
                            <w:fldChar w:fldCharType="begin"/>
                          </w:r>
                          <w:r>
                            <w:rPr>
                              <w:rStyle w:val="14"/>
                            </w:rPr>
                            <w:instrText xml:space="preserve">PAGE  </w:instrText>
                          </w:r>
                          <w:r>
                            <w:rPr>
                              <w:rStyle w:val="14"/>
                            </w:rPr>
                            <w:fldChar w:fldCharType="separate"/>
                          </w:r>
                          <w:r>
                            <w:rPr>
                              <w:rStyle w:val="14"/>
                            </w:rPr>
                            <w:t>4</w:t>
                          </w:r>
                          <w:r>
                            <w:rPr>
                              <w:rStyle w:val="14"/>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21.95pt;width:4.6pt;mso-position-horizontal:center;mso-position-horizontal-relative:margin;mso-wrap-style:none;z-index:251659264;mso-width-relative:page;mso-height-relative:page;" filled="f" stroked="f" coordsize="21600,21600" o:gfxdata="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Jb4oDrRAAAAAgEAAA8AAAAAAAAAAQAgAAAAIgAAAGRycy9kb3du&#10;cmV2LnhtbFBLAQIUABQAAAAIAIdO4kDu1YL7zQEAAJYDAAAOAAAAAAAAAAEAIAAAACABAABkcnMv&#10;ZTJvRG9jLnhtbFBLBQYAAAAABgAGAFkBAABfBQAAAAA=&#10;">
              <v:fill on="f" focussize="0,0"/>
              <v:stroke on="f"/>
              <v:imagedata o:title=""/>
              <o:lock v:ext="edit" aspectratio="f"/>
              <v:textbox inset="0mm,0mm,0mm,0mm" style="mso-fit-shape-to-text:t;">
                <w:txbxContent>
                  <w:p>
                    <w:pPr>
                      <w:pStyle w:val="5"/>
                      <w:rPr>
                        <w:rStyle w:val="14"/>
                      </w:rPr>
                    </w:pPr>
                    <w:r>
                      <w:rPr>
                        <w:rStyle w:val="14"/>
                      </w:rPr>
                      <w:fldChar w:fldCharType="begin"/>
                    </w:r>
                    <w:r>
                      <w:rPr>
                        <w:rStyle w:val="14"/>
                      </w:rPr>
                      <w:instrText xml:space="preserve">PAGE  </w:instrText>
                    </w:r>
                    <w:r>
                      <w:rPr>
                        <w:rStyle w:val="14"/>
                      </w:rPr>
                      <w:fldChar w:fldCharType="separate"/>
                    </w:r>
                    <w:r>
                      <w:rPr>
                        <w:rStyle w:val="14"/>
                      </w:rPr>
                      <w:t>4</w:t>
                    </w:r>
                    <w:r>
                      <w:rPr>
                        <w:rStyle w:val="14"/>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E15B71F"/>
    <w:multiLevelType w:val="singleLevel"/>
    <w:tmpl w:val="EE15B71F"/>
    <w:lvl w:ilvl="0" w:tentative="0">
      <w:start w:val="1"/>
      <w:numFmt w:val="decimal"/>
      <w:suff w:val="nothing"/>
      <w:lvlText w:val="%1、"/>
      <w:lvlJc w:val="left"/>
    </w:lvl>
  </w:abstractNum>
  <w:abstractNum w:abstractNumId="1">
    <w:nsid w:val="FDEB0CBF"/>
    <w:multiLevelType w:val="singleLevel"/>
    <w:tmpl w:val="FDEB0CBF"/>
    <w:lvl w:ilvl="0" w:tentative="0">
      <w:start w:val="5"/>
      <w:numFmt w:val="chineseCounting"/>
      <w:suff w:val="nothing"/>
      <w:lvlText w:val="%1、"/>
      <w:lvlJc w:val="left"/>
      <w:rPr>
        <w:rFonts w:hint="eastAsia"/>
      </w:rPr>
    </w:lvl>
  </w:abstractNum>
  <w:abstractNum w:abstractNumId="2">
    <w:nsid w:val="760904AB"/>
    <w:multiLevelType w:val="singleLevel"/>
    <w:tmpl w:val="760904AB"/>
    <w:lvl w:ilvl="0" w:tentative="0">
      <w:start w:val="3"/>
      <w:numFmt w:val="chineseCounting"/>
      <w:suff w:val="nothing"/>
      <w:lvlText w:val="（%1）"/>
      <w:lvlJc w:val="left"/>
      <w:rPr>
        <w:rFonts w:hint="eastAsia"/>
      </w:rPr>
    </w:lvl>
  </w:abstractNum>
  <w:abstractNum w:abstractNumId="3">
    <w:nsid w:val="79FE8907"/>
    <w:multiLevelType w:val="multilevel"/>
    <w:tmpl w:val="79FE8907"/>
    <w:lvl w:ilvl="0" w:tentative="0">
      <w:start w:val="1"/>
      <w:numFmt w:val="decimal"/>
      <w:suff w:val="nothing"/>
      <w:lvlText w:val="%1、"/>
      <w:lvlJc w:val="left"/>
      <w:pPr>
        <w:tabs>
          <w:tab w:val="left" w:pos="0"/>
        </w:tabs>
        <w:ind w:left="0" w:firstLine="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doNotUseIndentAsNumberingTabStop/>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RjNjc2ZjNjZGMzM2I1MTU5MWY4MWMxOTBlZmU4ZmEifQ=="/>
  </w:docVars>
  <w:rsids>
    <w:rsidRoot w:val="00F66032"/>
    <w:rsid w:val="00001E74"/>
    <w:rsid w:val="00004436"/>
    <w:rsid w:val="00020BC9"/>
    <w:rsid w:val="00034786"/>
    <w:rsid w:val="00037AF6"/>
    <w:rsid w:val="000405D0"/>
    <w:rsid w:val="0004257D"/>
    <w:rsid w:val="00042F57"/>
    <w:rsid w:val="00054CDC"/>
    <w:rsid w:val="0006483E"/>
    <w:rsid w:val="000658A6"/>
    <w:rsid w:val="000677CB"/>
    <w:rsid w:val="00074766"/>
    <w:rsid w:val="00075D5F"/>
    <w:rsid w:val="0008102F"/>
    <w:rsid w:val="00086527"/>
    <w:rsid w:val="00087AAF"/>
    <w:rsid w:val="000B529B"/>
    <w:rsid w:val="000C3A19"/>
    <w:rsid w:val="000D52E9"/>
    <w:rsid w:val="000E1F02"/>
    <w:rsid w:val="000E617A"/>
    <w:rsid w:val="000E7D3F"/>
    <w:rsid w:val="00104D5C"/>
    <w:rsid w:val="001245BB"/>
    <w:rsid w:val="001251A3"/>
    <w:rsid w:val="00133E19"/>
    <w:rsid w:val="001364F4"/>
    <w:rsid w:val="00145C78"/>
    <w:rsid w:val="00146AA7"/>
    <w:rsid w:val="00160D6E"/>
    <w:rsid w:val="00170CAA"/>
    <w:rsid w:val="00170D1F"/>
    <w:rsid w:val="0018714B"/>
    <w:rsid w:val="0019071F"/>
    <w:rsid w:val="00191B75"/>
    <w:rsid w:val="001A149B"/>
    <w:rsid w:val="001B4EF3"/>
    <w:rsid w:val="001B5B76"/>
    <w:rsid w:val="001D42D2"/>
    <w:rsid w:val="001E0757"/>
    <w:rsid w:val="001F5ED5"/>
    <w:rsid w:val="001F7873"/>
    <w:rsid w:val="001F7B5A"/>
    <w:rsid w:val="00201B2D"/>
    <w:rsid w:val="002174E4"/>
    <w:rsid w:val="00221DDC"/>
    <w:rsid w:val="00237E4E"/>
    <w:rsid w:val="00241FD4"/>
    <w:rsid w:val="00251B12"/>
    <w:rsid w:val="00296113"/>
    <w:rsid w:val="002A673A"/>
    <w:rsid w:val="002B4DAA"/>
    <w:rsid w:val="002C07BE"/>
    <w:rsid w:val="002C5E13"/>
    <w:rsid w:val="002C62BC"/>
    <w:rsid w:val="002C7DF9"/>
    <w:rsid w:val="002D3AEA"/>
    <w:rsid w:val="002D7683"/>
    <w:rsid w:val="002E0EB8"/>
    <w:rsid w:val="002E65C2"/>
    <w:rsid w:val="002F126F"/>
    <w:rsid w:val="002F1536"/>
    <w:rsid w:val="002F3E58"/>
    <w:rsid w:val="0030542C"/>
    <w:rsid w:val="00311B7A"/>
    <w:rsid w:val="00322EC1"/>
    <w:rsid w:val="00343CD7"/>
    <w:rsid w:val="0035104D"/>
    <w:rsid w:val="00372FA3"/>
    <w:rsid w:val="00394A20"/>
    <w:rsid w:val="003A6A7D"/>
    <w:rsid w:val="003B2422"/>
    <w:rsid w:val="003D24CB"/>
    <w:rsid w:val="003D2C83"/>
    <w:rsid w:val="003D417F"/>
    <w:rsid w:val="003D719C"/>
    <w:rsid w:val="003E1B80"/>
    <w:rsid w:val="003F60E9"/>
    <w:rsid w:val="00400F01"/>
    <w:rsid w:val="004056B8"/>
    <w:rsid w:val="00407D08"/>
    <w:rsid w:val="004248B8"/>
    <w:rsid w:val="00424943"/>
    <w:rsid w:val="004315C7"/>
    <w:rsid w:val="0043175C"/>
    <w:rsid w:val="0043380A"/>
    <w:rsid w:val="00436327"/>
    <w:rsid w:val="00437296"/>
    <w:rsid w:val="00451590"/>
    <w:rsid w:val="00451871"/>
    <w:rsid w:val="0045609B"/>
    <w:rsid w:val="00461F76"/>
    <w:rsid w:val="004631FC"/>
    <w:rsid w:val="004706DE"/>
    <w:rsid w:val="00472923"/>
    <w:rsid w:val="00485694"/>
    <w:rsid w:val="0049455E"/>
    <w:rsid w:val="00496109"/>
    <w:rsid w:val="004A6DB1"/>
    <w:rsid w:val="004B0C3A"/>
    <w:rsid w:val="004D3AC8"/>
    <w:rsid w:val="004D5788"/>
    <w:rsid w:val="004E1BD7"/>
    <w:rsid w:val="004E3066"/>
    <w:rsid w:val="004E74CD"/>
    <w:rsid w:val="005024BE"/>
    <w:rsid w:val="005069C1"/>
    <w:rsid w:val="00516094"/>
    <w:rsid w:val="00516E04"/>
    <w:rsid w:val="00545D0E"/>
    <w:rsid w:val="00547611"/>
    <w:rsid w:val="00557CFF"/>
    <w:rsid w:val="00565588"/>
    <w:rsid w:val="00572067"/>
    <w:rsid w:val="00573562"/>
    <w:rsid w:val="005737E8"/>
    <w:rsid w:val="00590ECE"/>
    <w:rsid w:val="00591078"/>
    <w:rsid w:val="005911E4"/>
    <w:rsid w:val="005915C2"/>
    <w:rsid w:val="00592ADD"/>
    <w:rsid w:val="005A2F44"/>
    <w:rsid w:val="005C5CF5"/>
    <w:rsid w:val="00602878"/>
    <w:rsid w:val="00605A11"/>
    <w:rsid w:val="00612D3C"/>
    <w:rsid w:val="00614A29"/>
    <w:rsid w:val="0061668A"/>
    <w:rsid w:val="0062201D"/>
    <w:rsid w:val="006364A7"/>
    <w:rsid w:val="00637255"/>
    <w:rsid w:val="00643AA7"/>
    <w:rsid w:val="00650D4B"/>
    <w:rsid w:val="00653C6B"/>
    <w:rsid w:val="0066346C"/>
    <w:rsid w:val="00673D76"/>
    <w:rsid w:val="00674CD7"/>
    <w:rsid w:val="00681162"/>
    <w:rsid w:val="006854F0"/>
    <w:rsid w:val="0069624B"/>
    <w:rsid w:val="006A0542"/>
    <w:rsid w:val="006A1B2A"/>
    <w:rsid w:val="006B1C4A"/>
    <w:rsid w:val="006B610D"/>
    <w:rsid w:val="006C0E0F"/>
    <w:rsid w:val="006C6991"/>
    <w:rsid w:val="006D2233"/>
    <w:rsid w:val="006E49F5"/>
    <w:rsid w:val="006E7804"/>
    <w:rsid w:val="006E7E97"/>
    <w:rsid w:val="006F2193"/>
    <w:rsid w:val="007013C8"/>
    <w:rsid w:val="00704330"/>
    <w:rsid w:val="00717B1E"/>
    <w:rsid w:val="00746441"/>
    <w:rsid w:val="00753836"/>
    <w:rsid w:val="0075393C"/>
    <w:rsid w:val="00754592"/>
    <w:rsid w:val="00757DCE"/>
    <w:rsid w:val="007701B8"/>
    <w:rsid w:val="0077207E"/>
    <w:rsid w:val="00774CF0"/>
    <w:rsid w:val="00776C08"/>
    <w:rsid w:val="00786726"/>
    <w:rsid w:val="00792F3A"/>
    <w:rsid w:val="007C180B"/>
    <w:rsid w:val="007C219A"/>
    <w:rsid w:val="007C4F9B"/>
    <w:rsid w:val="007D50B5"/>
    <w:rsid w:val="007E00F8"/>
    <w:rsid w:val="007E1DA8"/>
    <w:rsid w:val="007E4BA0"/>
    <w:rsid w:val="007E4D52"/>
    <w:rsid w:val="007F6C26"/>
    <w:rsid w:val="00813208"/>
    <w:rsid w:val="00822135"/>
    <w:rsid w:val="0083214F"/>
    <w:rsid w:val="008334AE"/>
    <w:rsid w:val="00836FED"/>
    <w:rsid w:val="0083724E"/>
    <w:rsid w:val="00845CD2"/>
    <w:rsid w:val="00852B0D"/>
    <w:rsid w:val="00863385"/>
    <w:rsid w:val="00881692"/>
    <w:rsid w:val="00883D1A"/>
    <w:rsid w:val="008934A3"/>
    <w:rsid w:val="008A25C2"/>
    <w:rsid w:val="008A6576"/>
    <w:rsid w:val="008B3CC5"/>
    <w:rsid w:val="008B52CD"/>
    <w:rsid w:val="008D42CC"/>
    <w:rsid w:val="008E4261"/>
    <w:rsid w:val="008F321B"/>
    <w:rsid w:val="008F4662"/>
    <w:rsid w:val="00900BF9"/>
    <w:rsid w:val="00904CDD"/>
    <w:rsid w:val="00905D08"/>
    <w:rsid w:val="00925753"/>
    <w:rsid w:val="00931831"/>
    <w:rsid w:val="009425F4"/>
    <w:rsid w:val="009537C8"/>
    <w:rsid w:val="00965683"/>
    <w:rsid w:val="00966C5C"/>
    <w:rsid w:val="0097130F"/>
    <w:rsid w:val="00972D31"/>
    <w:rsid w:val="00973104"/>
    <w:rsid w:val="00987029"/>
    <w:rsid w:val="00987706"/>
    <w:rsid w:val="00995BF0"/>
    <w:rsid w:val="009A16D5"/>
    <w:rsid w:val="009A353D"/>
    <w:rsid w:val="009B0B77"/>
    <w:rsid w:val="009B511E"/>
    <w:rsid w:val="009D3DF1"/>
    <w:rsid w:val="009E0BB0"/>
    <w:rsid w:val="00A02FED"/>
    <w:rsid w:val="00A0345F"/>
    <w:rsid w:val="00A42BFB"/>
    <w:rsid w:val="00A44E3D"/>
    <w:rsid w:val="00A62942"/>
    <w:rsid w:val="00A72D2E"/>
    <w:rsid w:val="00A7347D"/>
    <w:rsid w:val="00A74447"/>
    <w:rsid w:val="00A74CE5"/>
    <w:rsid w:val="00A75DBE"/>
    <w:rsid w:val="00A910D2"/>
    <w:rsid w:val="00A911E7"/>
    <w:rsid w:val="00A939D9"/>
    <w:rsid w:val="00AC6958"/>
    <w:rsid w:val="00AD08A2"/>
    <w:rsid w:val="00AD32B2"/>
    <w:rsid w:val="00AF1C21"/>
    <w:rsid w:val="00AF4530"/>
    <w:rsid w:val="00B03617"/>
    <w:rsid w:val="00B07D9E"/>
    <w:rsid w:val="00B12122"/>
    <w:rsid w:val="00B20712"/>
    <w:rsid w:val="00B32F84"/>
    <w:rsid w:val="00B33B75"/>
    <w:rsid w:val="00B43238"/>
    <w:rsid w:val="00B45DD3"/>
    <w:rsid w:val="00B52632"/>
    <w:rsid w:val="00B727A9"/>
    <w:rsid w:val="00B75216"/>
    <w:rsid w:val="00B84D97"/>
    <w:rsid w:val="00B91D52"/>
    <w:rsid w:val="00B92986"/>
    <w:rsid w:val="00B9490F"/>
    <w:rsid w:val="00BA1ACD"/>
    <w:rsid w:val="00BA4785"/>
    <w:rsid w:val="00BA534E"/>
    <w:rsid w:val="00BB1A2F"/>
    <w:rsid w:val="00BD09F8"/>
    <w:rsid w:val="00BD4B2D"/>
    <w:rsid w:val="00BE0E8E"/>
    <w:rsid w:val="00C0360F"/>
    <w:rsid w:val="00C06277"/>
    <w:rsid w:val="00C16800"/>
    <w:rsid w:val="00C2722B"/>
    <w:rsid w:val="00C35176"/>
    <w:rsid w:val="00C46530"/>
    <w:rsid w:val="00C570A2"/>
    <w:rsid w:val="00C667DC"/>
    <w:rsid w:val="00C67658"/>
    <w:rsid w:val="00C67C66"/>
    <w:rsid w:val="00C7719B"/>
    <w:rsid w:val="00CA59B0"/>
    <w:rsid w:val="00CA7176"/>
    <w:rsid w:val="00CB3D48"/>
    <w:rsid w:val="00CB4665"/>
    <w:rsid w:val="00CC75B0"/>
    <w:rsid w:val="00CD0BF2"/>
    <w:rsid w:val="00CD1AE7"/>
    <w:rsid w:val="00CD23E7"/>
    <w:rsid w:val="00CD2773"/>
    <w:rsid w:val="00CD31CC"/>
    <w:rsid w:val="00CE143B"/>
    <w:rsid w:val="00CE3D34"/>
    <w:rsid w:val="00CF3455"/>
    <w:rsid w:val="00CF6673"/>
    <w:rsid w:val="00D0024A"/>
    <w:rsid w:val="00D01660"/>
    <w:rsid w:val="00D17ABB"/>
    <w:rsid w:val="00D27003"/>
    <w:rsid w:val="00D4166E"/>
    <w:rsid w:val="00D440D6"/>
    <w:rsid w:val="00D97D00"/>
    <w:rsid w:val="00DA7FF9"/>
    <w:rsid w:val="00DB4A9B"/>
    <w:rsid w:val="00DC6F06"/>
    <w:rsid w:val="00DD38EC"/>
    <w:rsid w:val="00DE0873"/>
    <w:rsid w:val="00DE2AA4"/>
    <w:rsid w:val="00DE666F"/>
    <w:rsid w:val="00E167C7"/>
    <w:rsid w:val="00E2482E"/>
    <w:rsid w:val="00E273A5"/>
    <w:rsid w:val="00E34E80"/>
    <w:rsid w:val="00E41AAA"/>
    <w:rsid w:val="00E61DF2"/>
    <w:rsid w:val="00E70C0A"/>
    <w:rsid w:val="00E73D47"/>
    <w:rsid w:val="00E76E4E"/>
    <w:rsid w:val="00E82C63"/>
    <w:rsid w:val="00E91254"/>
    <w:rsid w:val="00EA3186"/>
    <w:rsid w:val="00EA7492"/>
    <w:rsid w:val="00EB1BEC"/>
    <w:rsid w:val="00EC2F6B"/>
    <w:rsid w:val="00EC4247"/>
    <w:rsid w:val="00EC47F6"/>
    <w:rsid w:val="00ED2F22"/>
    <w:rsid w:val="00ED7CF6"/>
    <w:rsid w:val="00EE62A0"/>
    <w:rsid w:val="00EE65B8"/>
    <w:rsid w:val="00EF06C7"/>
    <w:rsid w:val="00F026CD"/>
    <w:rsid w:val="00F10008"/>
    <w:rsid w:val="00F149E2"/>
    <w:rsid w:val="00F159B6"/>
    <w:rsid w:val="00F40CD8"/>
    <w:rsid w:val="00F449F1"/>
    <w:rsid w:val="00F66032"/>
    <w:rsid w:val="00F728BF"/>
    <w:rsid w:val="00F72D63"/>
    <w:rsid w:val="00F87A16"/>
    <w:rsid w:val="00F87C1E"/>
    <w:rsid w:val="00F93AD4"/>
    <w:rsid w:val="00F958C2"/>
    <w:rsid w:val="00F97C0C"/>
    <w:rsid w:val="00FA3D33"/>
    <w:rsid w:val="00FA66A5"/>
    <w:rsid w:val="00FB5FCB"/>
    <w:rsid w:val="00FC6F96"/>
    <w:rsid w:val="00FD351A"/>
    <w:rsid w:val="00FD73AD"/>
    <w:rsid w:val="00FE75D7"/>
    <w:rsid w:val="00FF6131"/>
    <w:rsid w:val="010A6AF3"/>
    <w:rsid w:val="01C51C69"/>
    <w:rsid w:val="03191291"/>
    <w:rsid w:val="05C91A0F"/>
    <w:rsid w:val="08A62A08"/>
    <w:rsid w:val="0C017A30"/>
    <w:rsid w:val="0F0003EE"/>
    <w:rsid w:val="10E2355A"/>
    <w:rsid w:val="12F0183D"/>
    <w:rsid w:val="142B11B3"/>
    <w:rsid w:val="146B4CAE"/>
    <w:rsid w:val="150C751F"/>
    <w:rsid w:val="15396DCC"/>
    <w:rsid w:val="169E0A88"/>
    <w:rsid w:val="16F22525"/>
    <w:rsid w:val="18A42918"/>
    <w:rsid w:val="1A536ED2"/>
    <w:rsid w:val="1B734279"/>
    <w:rsid w:val="1C6F60DA"/>
    <w:rsid w:val="1F045AFB"/>
    <w:rsid w:val="1FC76B67"/>
    <w:rsid w:val="20930B2D"/>
    <w:rsid w:val="21ED615F"/>
    <w:rsid w:val="22596DF9"/>
    <w:rsid w:val="24216FFC"/>
    <w:rsid w:val="25024CD3"/>
    <w:rsid w:val="25CA14F6"/>
    <w:rsid w:val="2ACD65F0"/>
    <w:rsid w:val="2AFB1270"/>
    <w:rsid w:val="2FF12E6B"/>
    <w:rsid w:val="30A263AC"/>
    <w:rsid w:val="32C923D1"/>
    <w:rsid w:val="34F358A2"/>
    <w:rsid w:val="35821B03"/>
    <w:rsid w:val="37F430F7"/>
    <w:rsid w:val="39C72511"/>
    <w:rsid w:val="3AEB618A"/>
    <w:rsid w:val="3AFF3130"/>
    <w:rsid w:val="3B526765"/>
    <w:rsid w:val="40BC16A9"/>
    <w:rsid w:val="45351C1A"/>
    <w:rsid w:val="46CF6E48"/>
    <w:rsid w:val="47885B4D"/>
    <w:rsid w:val="49747CF2"/>
    <w:rsid w:val="4D5D2911"/>
    <w:rsid w:val="4F034F65"/>
    <w:rsid w:val="4F284B98"/>
    <w:rsid w:val="4FDD43AA"/>
    <w:rsid w:val="51845B80"/>
    <w:rsid w:val="51FA12EE"/>
    <w:rsid w:val="522F5EC1"/>
    <w:rsid w:val="53AC7EB5"/>
    <w:rsid w:val="596D7022"/>
    <w:rsid w:val="5DD31CCC"/>
    <w:rsid w:val="5E9F3FC1"/>
    <w:rsid w:val="63F25AC9"/>
    <w:rsid w:val="66FD7A5F"/>
    <w:rsid w:val="67F12DCB"/>
    <w:rsid w:val="680D5506"/>
    <w:rsid w:val="6BBB0CB7"/>
    <w:rsid w:val="6C2976BB"/>
    <w:rsid w:val="701860CA"/>
    <w:rsid w:val="713D1D81"/>
    <w:rsid w:val="75187A08"/>
    <w:rsid w:val="77792892"/>
    <w:rsid w:val="78BA1E08"/>
    <w:rsid w:val="79D043DB"/>
    <w:rsid w:val="7A7C6379"/>
    <w:rsid w:val="7B1E7052"/>
    <w:rsid w:val="7D754847"/>
    <w:rsid w:val="7EFD73D2"/>
    <w:rsid w:val="7F2771C1"/>
    <w:rsid w:val="7F374FDD"/>
    <w:rsid w:val="7FFE2B1C"/>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nhideWhenUsed="0" w:uiPriority="99" w:semiHidden="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qFormat="1" w:unhideWhenUsed="0"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qFormat="1"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iPriority="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25"/>
    <w:qFormat/>
    <w:locked/>
    <w:uiPriority w:val="99"/>
    <w:pPr>
      <w:keepNext/>
      <w:keepLines/>
      <w:spacing w:before="340" w:after="330" w:line="578" w:lineRule="auto"/>
      <w:outlineLvl w:val="0"/>
    </w:pPr>
    <w:rPr>
      <w:b/>
      <w:kern w:val="44"/>
      <w:sz w:val="44"/>
      <w:szCs w:val="20"/>
    </w:rPr>
  </w:style>
  <w:style w:type="paragraph" w:styleId="3">
    <w:name w:val="heading 2"/>
    <w:basedOn w:val="1"/>
    <w:next w:val="1"/>
    <w:link w:val="26"/>
    <w:qFormat/>
    <w:locked/>
    <w:uiPriority w:val="99"/>
    <w:pPr>
      <w:keepNext/>
      <w:keepLines/>
      <w:spacing w:before="260" w:after="260" w:line="416" w:lineRule="auto"/>
      <w:outlineLvl w:val="1"/>
    </w:pPr>
    <w:rPr>
      <w:rFonts w:ascii="Cambria" w:hAnsi="Cambria"/>
      <w:b/>
      <w:sz w:val="32"/>
      <w:szCs w:val="20"/>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29"/>
    <w:semiHidden/>
    <w:qFormat/>
    <w:uiPriority w:val="99"/>
    <w:rPr>
      <w:kern w:val="0"/>
      <w:sz w:val="18"/>
      <w:szCs w:val="20"/>
    </w:rPr>
  </w:style>
  <w:style w:type="paragraph" w:styleId="5">
    <w:name w:val="footer"/>
    <w:basedOn w:val="1"/>
    <w:link w:val="28"/>
    <w:qFormat/>
    <w:uiPriority w:val="99"/>
    <w:pPr>
      <w:tabs>
        <w:tab w:val="center" w:pos="4153"/>
        <w:tab w:val="right" w:pos="8306"/>
      </w:tabs>
      <w:snapToGrid w:val="0"/>
      <w:jc w:val="left"/>
    </w:pPr>
    <w:rPr>
      <w:rFonts w:ascii="Times New Roman" w:hAnsi="Times New Roman"/>
      <w:kern w:val="0"/>
      <w:sz w:val="18"/>
      <w:szCs w:val="20"/>
    </w:rPr>
  </w:style>
  <w:style w:type="paragraph" w:styleId="6">
    <w:name w:val="header"/>
    <w:basedOn w:val="1"/>
    <w:link w:val="27"/>
    <w:qFormat/>
    <w:uiPriority w:val="99"/>
    <w:pPr>
      <w:pBdr>
        <w:bottom w:val="single" w:color="auto" w:sz="6" w:space="1"/>
      </w:pBdr>
      <w:tabs>
        <w:tab w:val="center" w:pos="4153"/>
        <w:tab w:val="right" w:pos="8306"/>
      </w:tabs>
      <w:snapToGrid w:val="0"/>
      <w:jc w:val="center"/>
    </w:pPr>
    <w:rPr>
      <w:rFonts w:ascii="Times New Roman" w:hAnsi="Times New Roman"/>
      <w:kern w:val="0"/>
      <w:sz w:val="18"/>
      <w:szCs w:val="20"/>
    </w:rPr>
  </w:style>
  <w:style w:type="paragraph" w:styleId="7">
    <w:name w:val="toc 1"/>
    <w:basedOn w:val="1"/>
    <w:next w:val="1"/>
    <w:qFormat/>
    <w:uiPriority w:val="99"/>
    <w:rPr>
      <w:rFonts w:ascii="Times New Roman" w:hAnsi="Times New Roman"/>
      <w:szCs w:val="24"/>
    </w:rPr>
  </w:style>
  <w:style w:type="paragraph" w:styleId="8">
    <w:name w:val="footnote text"/>
    <w:basedOn w:val="1"/>
    <w:link w:val="31"/>
    <w:semiHidden/>
    <w:qFormat/>
    <w:uiPriority w:val="99"/>
    <w:pPr>
      <w:snapToGrid w:val="0"/>
      <w:jc w:val="left"/>
    </w:pPr>
    <w:rPr>
      <w:kern w:val="0"/>
      <w:sz w:val="18"/>
      <w:szCs w:val="20"/>
    </w:rPr>
  </w:style>
  <w:style w:type="paragraph" w:styleId="9">
    <w:name w:val="toc 2"/>
    <w:basedOn w:val="1"/>
    <w:next w:val="1"/>
    <w:qFormat/>
    <w:uiPriority w:val="99"/>
    <w:pPr>
      <w:ind w:left="420" w:leftChars="200"/>
    </w:pPr>
    <w:rPr>
      <w:rFonts w:ascii="Times New Roman" w:hAnsi="Times New Roman"/>
      <w:szCs w:val="24"/>
    </w:rPr>
  </w:style>
  <w:style w:type="paragraph" w:styleId="10">
    <w:name w:val="Normal (Web)"/>
    <w:basedOn w:val="1"/>
    <w:semiHidden/>
    <w:unhideWhenUsed/>
    <w:qFormat/>
    <w:uiPriority w:val="99"/>
    <w:pPr>
      <w:widowControl/>
      <w:spacing w:before="100" w:beforeAutospacing="1" w:after="100" w:afterAutospacing="1"/>
      <w:jc w:val="left"/>
    </w:pPr>
    <w:rPr>
      <w:rFonts w:ascii="宋体" w:hAnsi="宋体" w:cs="宋体"/>
      <w:kern w:val="0"/>
      <w:sz w:val="24"/>
      <w:szCs w:val="24"/>
    </w:rPr>
  </w:style>
  <w:style w:type="character" w:styleId="13">
    <w:name w:val="Strong"/>
    <w:basedOn w:val="12"/>
    <w:qFormat/>
    <w:locked/>
    <w:uiPriority w:val="0"/>
    <w:rPr>
      <w:b/>
      <w:color w:val="D40009"/>
    </w:rPr>
  </w:style>
  <w:style w:type="character" w:styleId="14">
    <w:name w:val="page number"/>
    <w:semiHidden/>
    <w:qFormat/>
    <w:uiPriority w:val="99"/>
    <w:rPr>
      <w:rFonts w:cs="Times New Roman"/>
    </w:rPr>
  </w:style>
  <w:style w:type="character" w:styleId="15">
    <w:name w:val="FollowedHyperlink"/>
    <w:basedOn w:val="12"/>
    <w:semiHidden/>
    <w:unhideWhenUsed/>
    <w:qFormat/>
    <w:uiPriority w:val="99"/>
    <w:rPr>
      <w:color w:val="337AB7"/>
      <w:u w:val="none"/>
    </w:rPr>
  </w:style>
  <w:style w:type="character" w:styleId="16">
    <w:name w:val="HTML Definition"/>
    <w:basedOn w:val="12"/>
    <w:semiHidden/>
    <w:unhideWhenUsed/>
    <w:qFormat/>
    <w:uiPriority w:val="99"/>
    <w:rPr>
      <w:i/>
    </w:rPr>
  </w:style>
  <w:style w:type="character" w:styleId="17">
    <w:name w:val="HTML Typewriter"/>
    <w:basedOn w:val="12"/>
    <w:semiHidden/>
    <w:unhideWhenUsed/>
    <w:qFormat/>
    <w:uiPriority w:val="99"/>
    <w:rPr>
      <w:rFonts w:ascii="Courier New" w:hAnsi="Courier New"/>
      <w:sz w:val="20"/>
    </w:rPr>
  </w:style>
  <w:style w:type="character" w:styleId="18">
    <w:name w:val="Hyperlink"/>
    <w:qFormat/>
    <w:uiPriority w:val="99"/>
    <w:rPr>
      <w:rFonts w:cs="Times New Roman"/>
      <w:color w:val="0000FF"/>
      <w:u w:val="single"/>
    </w:rPr>
  </w:style>
  <w:style w:type="character" w:styleId="19">
    <w:name w:val="HTML Code"/>
    <w:basedOn w:val="12"/>
    <w:semiHidden/>
    <w:unhideWhenUsed/>
    <w:qFormat/>
    <w:uiPriority w:val="99"/>
    <w:rPr>
      <w:rFonts w:hint="default" w:ascii="Consolas" w:hAnsi="Consolas" w:eastAsia="Consolas" w:cs="Consolas"/>
      <w:color w:val="C7254E"/>
      <w:sz w:val="21"/>
      <w:szCs w:val="21"/>
      <w:shd w:val="clear" w:fill="F9F2F4"/>
    </w:rPr>
  </w:style>
  <w:style w:type="character" w:styleId="20">
    <w:name w:val="footnote reference"/>
    <w:semiHidden/>
    <w:qFormat/>
    <w:uiPriority w:val="99"/>
    <w:rPr>
      <w:rFonts w:cs="Times New Roman"/>
      <w:vertAlign w:val="superscript"/>
    </w:rPr>
  </w:style>
  <w:style w:type="character" w:styleId="21">
    <w:name w:val="HTML Keyboard"/>
    <w:basedOn w:val="12"/>
    <w:semiHidden/>
    <w:unhideWhenUsed/>
    <w:qFormat/>
    <w:uiPriority w:val="99"/>
    <w:rPr>
      <w:rFonts w:hint="default" w:ascii="Consolas" w:hAnsi="Consolas" w:eastAsia="Consolas" w:cs="Consolas"/>
      <w:color w:val="FFFFFF"/>
      <w:sz w:val="21"/>
      <w:szCs w:val="21"/>
      <w:shd w:val="clear" w:fill="333333"/>
    </w:rPr>
  </w:style>
  <w:style w:type="character" w:styleId="22">
    <w:name w:val="HTML Sample"/>
    <w:basedOn w:val="12"/>
    <w:semiHidden/>
    <w:unhideWhenUsed/>
    <w:qFormat/>
    <w:uiPriority w:val="99"/>
    <w:rPr>
      <w:rFonts w:ascii="Consolas" w:hAnsi="Consolas" w:eastAsia="Consolas" w:cs="Consolas"/>
      <w:sz w:val="21"/>
      <w:szCs w:val="21"/>
    </w:rPr>
  </w:style>
  <w:style w:type="character" w:customStyle="1" w:styleId="23">
    <w:name w:val="Heading 1 Char"/>
    <w:qFormat/>
    <w:locked/>
    <w:uiPriority w:val="99"/>
    <w:rPr>
      <w:rFonts w:cs="Times New Roman"/>
      <w:b/>
      <w:kern w:val="44"/>
      <w:sz w:val="44"/>
    </w:rPr>
  </w:style>
  <w:style w:type="character" w:customStyle="1" w:styleId="24">
    <w:name w:val="Heading 2 Char"/>
    <w:semiHidden/>
    <w:qFormat/>
    <w:locked/>
    <w:uiPriority w:val="99"/>
    <w:rPr>
      <w:rFonts w:ascii="Cambria" w:hAnsi="Cambria" w:eastAsia="宋体" w:cs="Times New Roman"/>
      <w:b/>
      <w:sz w:val="32"/>
    </w:rPr>
  </w:style>
  <w:style w:type="character" w:customStyle="1" w:styleId="25">
    <w:name w:val="标题 1 字符"/>
    <w:link w:val="2"/>
    <w:qFormat/>
    <w:locked/>
    <w:uiPriority w:val="99"/>
    <w:rPr>
      <w:rFonts w:ascii="Calibri" w:hAnsi="Calibri" w:eastAsia="宋体"/>
      <w:b/>
      <w:kern w:val="44"/>
      <w:sz w:val="44"/>
      <w:lang w:val="en-US" w:eastAsia="zh-CN"/>
    </w:rPr>
  </w:style>
  <w:style w:type="character" w:customStyle="1" w:styleId="26">
    <w:name w:val="标题 2 字符"/>
    <w:link w:val="3"/>
    <w:qFormat/>
    <w:locked/>
    <w:uiPriority w:val="99"/>
    <w:rPr>
      <w:rFonts w:ascii="Cambria" w:hAnsi="Cambria" w:eastAsia="宋体"/>
      <w:b/>
      <w:kern w:val="2"/>
      <w:sz w:val="32"/>
      <w:lang w:val="en-US" w:eastAsia="zh-CN"/>
    </w:rPr>
  </w:style>
  <w:style w:type="character" w:customStyle="1" w:styleId="27">
    <w:name w:val="页眉 字符"/>
    <w:link w:val="6"/>
    <w:qFormat/>
    <w:locked/>
    <w:uiPriority w:val="99"/>
    <w:rPr>
      <w:rFonts w:ascii="Times New Roman" w:hAnsi="Times New Roman" w:eastAsia="宋体" w:cs="Times New Roman"/>
      <w:sz w:val="18"/>
    </w:rPr>
  </w:style>
  <w:style w:type="character" w:customStyle="1" w:styleId="28">
    <w:name w:val="页脚 字符"/>
    <w:link w:val="5"/>
    <w:qFormat/>
    <w:locked/>
    <w:uiPriority w:val="99"/>
    <w:rPr>
      <w:rFonts w:ascii="Times New Roman" w:hAnsi="Times New Roman" w:eastAsia="宋体" w:cs="Times New Roman"/>
      <w:sz w:val="18"/>
    </w:rPr>
  </w:style>
  <w:style w:type="character" w:customStyle="1" w:styleId="29">
    <w:name w:val="批注框文本 字符"/>
    <w:link w:val="4"/>
    <w:semiHidden/>
    <w:qFormat/>
    <w:locked/>
    <w:uiPriority w:val="99"/>
    <w:rPr>
      <w:rFonts w:cs="Times New Roman"/>
      <w:sz w:val="18"/>
    </w:rPr>
  </w:style>
  <w:style w:type="paragraph" w:customStyle="1" w:styleId="30">
    <w:name w:val="Default"/>
    <w:qFormat/>
    <w:uiPriority w:val="99"/>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31">
    <w:name w:val="脚注文本 字符"/>
    <w:link w:val="8"/>
    <w:semiHidden/>
    <w:qFormat/>
    <w:locked/>
    <w:uiPriority w:val="99"/>
    <w:rPr>
      <w:rFonts w:ascii="Calibri" w:hAnsi="Calibri" w:eastAsia="宋体" w:cs="Times New Roman"/>
      <w:sz w:val="18"/>
    </w:rPr>
  </w:style>
  <w:style w:type="character" w:customStyle="1" w:styleId="32">
    <w:name w:val="Char Char1"/>
    <w:qFormat/>
    <w:uiPriority w:val="99"/>
    <w:rPr>
      <w:kern w:val="2"/>
      <w:sz w:val="18"/>
    </w:rPr>
  </w:style>
  <w:style w:type="character" w:customStyle="1" w:styleId="33">
    <w:name w:val="nth-child(1)"/>
    <w:basedOn w:val="12"/>
    <w:qFormat/>
    <w:uiPriority w:val="0"/>
  </w:style>
  <w:style w:type="character" w:customStyle="1" w:styleId="34">
    <w:name w:val="nth-child(2)7"/>
    <w:basedOn w:val="12"/>
    <w:qFormat/>
    <w:uiPriority w:val="0"/>
  </w:style>
  <w:style w:type="character" w:customStyle="1" w:styleId="35">
    <w:name w:val="first-child"/>
    <w:basedOn w:val="12"/>
    <w:qFormat/>
    <w:uiPriority w:val="0"/>
  </w:style>
  <w:style w:type="character" w:customStyle="1" w:styleId="36">
    <w:name w:val="nth-child(2)"/>
    <w:basedOn w:val="12"/>
    <w:qFormat/>
    <w:uiPriority w:val="0"/>
    <w:rPr>
      <w:color w:val="CC0000"/>
    </w:rPr>
  </w:style>
  <w:style w:type="character" w:customStyle="1" w:styleId="37">
    <w:name w:val="nth-child(1)7"/>
    <w:basedOn w:val="12"/>
    <w:qFormat/>
    <w:uiPriority w:val="0"/>
  </w:style>
  <w:style w:type="character" w:customStyle="1" w:styleId="38">
    <w:name w:val="font01"/>
    <w:basedOn w:val="12"/>
    <w:qFormat/>
    <w:uiPriority w:val="0"/>
    <w:rPr>
      <w:rFonts w:hint="eastAsia" w:ascii="宋体" w:hAnsi="宋体" w:eastAsia="宋体" w:cs="宋体"/>
      <w:color w:val="000000"/>
      <w:sz w:val="24"/>
      <w:szCs w:val="24"/>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4.xml" Type="http://schemas.openxmlformats.org/officeDocument/2006/relationships/footer"/><Relationship Id="rId11" Target="theme/theme1.xml" Type="http://schemas.openxmlformats.org/officeDocument/2006/relationships/theme"/><Relationship Id="rId12" Target="../customXml/item1.xml" Type="http://schemas.openxmlformats.org/officeDocument/2006/relationships/customXml"/><Relationship Id="rId13" Target="numbering.xml" Type="http://schemas.openxmlformats.org/officeDocument/2006/relationships/numbering"/><Relationship Id="rId14"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header2.xml" Type="http://schemas.openxmlformats.org/officeDocument/2006/relationships/header"/><Relationship Id="rId6" Target="header3.xml" Type="http://schemas.openxmlformats.org/officeDocument/2006/relationships/header"/><Relationship Id="rId7" Target="header4.xml" Type="http://schemas.openxmlformats.org/officeDocument/2006/relationships/header"/><Relationship Id="rId8" Target="footer2.xml" Type="http://schemas.openxmlformats.org/officeDocument/2006/relationships/footer"/><Relationship Id="rId9" Target="footer3.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24</Pages>
  <Words>6400</Words>
  <Characters>6898</Characters>
  <Lines>100</Lines>
  <Paragraphs>28</Paragraphs>
  <TotalTime>38</TotalTime>
  <ScaleCrop>false</ScaleCrop>
  <LinksUpToDate>false</LinksUpToDate>
  <CharactersWithSpaces>7396</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2021-02-19T03:58:00Z</dcterms:created>
  <dc:creator>guest</dc:creator>
  <cp:lastModifiedBy>晶璞</cp:lastModifiedBy>
  <cp:lastPrinted>2021-02-23T10:01:00Z</cp:lastPrinted>
  <dcterms:modified xsi:type="dcterms:W3CDTF">2022-09-01T06:53:54Z</dcterms:modified>
  <cp:revision>53</cp:revision>
  <dc:title>河北省委办公厅2021年部门预算信息公开情况说明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9C217424B95C4113B17219DF3F1487B4</vt:lpwstr>
  </property>
</Properties>
</file>